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A32" w:rsidRPr="00AA1CD5" w:rsidRDefault="00FA495F" w:rsidP="008B7FC5">
      <w:pPr>
        <w:pStyle w:val="EstiloPortada"/>
        <w:ind w:left="2977" w:right="0"/>
        <w:rPr>
          <w:sz w:val="40"/>
          <w:szCs w:val="40"/>
        </w:rPr>
      </w:pPr>
      <w:r w:rsidRPr="00AA1CD5">
        <w:rPr>
          <w:rFonts w:ascii="Arial" w:hAnsi="Arial" w:cs="Arial"/>
          <w:noProof/>
          <w:color w:val="BFBFBF" w:themeColor="background1" w:themeShade="BF"/>
          <w:sz w:val="40"/>
          <w:szCs w:val="40"/>
          <w:lang w:val="es-ES" w:eastAsia="es-ES"/>
        </w:rPr>
        <mc:AlternateContent>
          <mc:Choice Requires="wps">
            <w:drawing>
              <wp:anchor distT="0" distB="0" distL="114300" distR="114300" simplePos="0" relativeHeight="251657728" behindDoc="0" locked="0" layoutInCell="1" allowOverlap="1" wp14:anchorId="6D290095" wp14:editId="590842CC">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2273D" w:rsidRPr="003A7956" w:rsidRDefault="0002273D" w:rsidP="004C3423">
                            <w:pPr>
                              <w:spacing w:after="0"/>
                              <w:ind w:firstLine="0"/>
                              <w:jc w:val="center"/>
                              <w:rPr>
                                <w:sz w:val="18"/>
                                <w:szCs w:val="18"/>
                                <w:lang w:val="es-ES"/>
                              </w:rPr>
                            </w:pPr>
                            <w:r w:rsidRPr="003A7956">
                              <w:rPr>
                                <w:sz w:val="18"/>
                                <w:szCs w:val="18"/>
                                <w:lang w:val="es-ES"/>
                              </w:rPr>
                              <w:t>CAMARA DE</w:t>
                            </w:r>
                          </w:p>
                          <w:p w:rsidR="0002273D" w:rsidRPr="003A7956" w:rsidRDefault="0002273D" w:rsidP="004C3423">
                            <w:pPr>
                              <w:spacing w:after="0"/>
                              <w:ind w:firstLine="0"/>
                              <w:jc w:val="center"/>
                              <w:rPr>
                                <w:sz w:val="18"/>
                                <w:szCs w:val="18"/>
                                <w:lang w:val="es-ES"/>
                              </w:rPr>
                            </w:pPr>
                            <w:r w:rsidRPr="003A7956">
                              <w:rPr>
                                <w:sz w:val="18"/>
                                <w:szCs w:val="18"/>
                                <w:lang w:val="es-ES"/>
                              </w:rPr>
                              <w:t>COMPTOS</w:t>
                            </w:r>
                          </w:p>
                          <w:p w:rsidR="0002273D" w:rsidRPr="003A7956" w:rsidRDefault="0002273D" w:rsidP="004C3423">
                            <w:pPr>
                              <w:spacing w:after="0"/>
                              <w:ind w:firstLine="0"/>
                              <w:jc w:val="center"/>
                              <w:rPr>
                                <w:sz w:val="18"/>
                                <w:szCs w:val="18"/>
                                <w:lang w:val="es-ES"/>
                              </w:rPr>
                            </w:pPr>
                            <w:r w:rsidRPr="003A7956">
                              <w:rPr>
                                <w:sz w:val="18"/>
                                <w:szCs w:val="18"/>
                                <w:lang w:val="es-ES"/>
                              </w:rPr>
                              <w:t>DE NAVARRA</w:t>
                            </w:r>
                          </w:p>
                          <w:p w:rsidR="0002273D" w:rsidRPr="003A7956" w:rsidRDefault="0002273D" w:rsidP="004C3423">
                            <w:pPr>
                              <w:spacing w:after="0"/>
                              <w:ind w:firstLine="0"/>
                              <w:jc w:val="center"/>
                              <w:rPr>
                                <w:color w:val="808080"/>
                                <w:sz w:val="18"/>
                                <w:szCs w:val="18"/>
                                <w:lang w:val="es-ES"/>
                              </w:rPr>
                            </w:pPr>
                            <w:r w:rsidRPr="003A7956">
                              <w:rPr>
                                <w:color w:val="808080"/>
                                <w:sz w:val="18"/>
                                <w:szCs w:val="18"/>
                                <w:lang w:val="es-ES"/>
                              </w:rPr>
                              <w:t>NAFARROAKO</w:t>
                            </w:r>
                          </w:p>
                          <w:p w:rsidR="0002273D" w:rsidRPr="003A7956" w:rsidRDefault="0002273D" w:rsidP="004C3423">
                            <w:pPr>
                              <w:spacing w:after="0"/>
                              <w:ind w:firstLine="0"/>
                              <w:jc w:val="center"/>
                              <w:rPr>
                                <w:color w:val="808080"/>
                                <w:sz w:val="18"/>
                                <w:szCs w:val="18"/>
                                <w:lang w:val="es-ES"/>
                              </w:rPr>
                            </w:pPr>
                            <w:r w:rsidRPr="003A7956">
                              <w:rPr>
                                <w:color w:val="808080"/>
                                <w:sz w:val="18"/>
                                <w:szCs w:val="18"/>
                                <w:lang w:val="es-ES"/>
                              </w:rPr>
                              <w:t>KONTUEN</w:t>
                            </w:r>
                          </w:p>
                          <w:p w:rsidR="0002273D" w:rsidRPr="003A7956" w:rsidRDefault="0002273D" w:rsidP="004C3423">
                            <w:pPr>
                              <w:spacing w:after="0"/>
                              <w:ind w:firstLine="0"/>
                              <w:jc w:val="center"/>
                              <w:rPr>
                                <w:color w:val="808080"/>
                                <w:sz w:val="18"/>
                                <w:szCs w:val="18"/>
                                <w:lang w:val="es-ES"/>
                              </w:rPr>
                            </w:pPr>
                            <w:r w:rsidRPr="003A7956">
                              <w:rPr>
                                <w:color w:val="808080"/>
                                <w:sz w:val="18"/>
                                <w:szCs w:val="18"/>
                                <w:lang w:val="es-ES"/>
                              </w:rPr>
                              <w:t>GANBERA</w:t>
                            </w:r>
                          </w:p>
                          <w:p w:rsidR="0002273D" w:rsidRPr="002C7026" w:rsidRDefault="0002273D"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02273D" w:rsidRPr="003A7956" w:rsidRDefault="0002273D" w:rsidP="004C3423">
                      <w:pPr>
                        <w:spacing w:after="0"/>
                        <w:ind w:firstLine="0"/>
                        <w:jc w:val="center"/>
                        <w:rPr>
                          <w:sz w:val="18"/>
                          <w:szCs w:val="18"/>
                          <w:lang w:val="es-ES"/>
                        </w:rPr>
                      </w:pPr>
                      <w:r w:rsidRPr="003A7956">
                        <w:rPr>
                          <w:sz w:val="18"/>
                          <w:szCs w:val="18"/>
                          <w:lang w:val="es-ES"/>
                        </w:rPr>
                        <w:t>CAMARA DE</w:t>
                      </w:r>
                    </w:p>
                    <w:p w:rsidR="0002273D" w:rsidRPr="003A7956" w:rsidRDefault="0002273D" w:rsidP="004C3423">
                      <w:pPr>
                        <w:spacing w:after="0"/>
                        <w:ind w:firstLine="0"/>
                        <w:jc w:val="center"/>
                        <w:rPr>
                          <w:sz w:val="18"/>
                          <w:szCs w:val="18"/>
                          <w:lang w:val="es-ES"/>
                        </w:rPr>
                      </w:pPr>
                      <w:r w:rsidRPr="003A7956">
                        <w:rPr>
                          <w:sz w:val="18"/>
                          <w:szCs w:val="18"/>
                          <w:lang w:val="es-ES"/>
                        </w:rPr>
                        <w:t>COMPTOS</w:t>
                      </w:r>
                    </w:p>
                    <w:p w:rsidR="0002273D" w:rsidRPr="003A7956" w:rsidRDefault="0002273D" w:rsidP="004C3423">
                      <w:pPr>
                        <w:spacing w:after="0"/>
                        <w:ind w:firstLine="0"/>
                        <w:jc w:val="center"/>
                        <w:rPr>
                          <w:sz w:val="18"/>
                          <w:szCs w:val="18"/>
                          <w:lang w:val="es-ES"/>
                        </w:rPr>
                      </w:pPr>
                      <w:r w:rsidRPr="003A7956">
                        <w:rPr>
                          <w:sz w:val="18"/>
                          <w:szCs w:val="18"/>
                          <w:lang w:val="es-ES"/>
                        </w:rPr>
                        <w:t>DE NAVARRA</w:t>
                      </w:r>
                    </w:p>
                    <w:p w:rsidR="0002273D" w:rsidRPr="003A7956" w:rsidRDefault="0002273D" w:rsidP="004C3423">
                      <w:pPr>
                        <w:spacing w:after="0"/>
                        <w:ind w:firstLine="0"/>
                        <w:jc w:val="center"/>
                        <w:rPr>
                          <w:color w:val="808080"/>
                          <w:sz w:val="18"/>
                          <w:szCs w:val="18"/>
                          <w:lang w:val="es-ES"/>
                        </w:rPr>
                      </w:pPr>
                      <w:r w:rsidRPr="003A7956">
                        <w:rPr>
                          <w:color w:val="808080"/>
                          <w:sz w:val="18"/>
                          <w:szCs w:val="18"/>
                          <w:lang w:val="es-ES"/>
                        </w:rPr>
                        <w:t>NAFARROAKO</w:t>
                      </w:r>
                    </w:p>
                    <w:p w:rsidR="0002273D" w:rsidRPr="003A7956" w:rsidRDefault="0002273D" w:rsidP="004C3423">
                      <w:pPr>
                        <w:spacing w:after="0"/>
                        <w:ind w:firstLine="0"/>
                        <w:jc w:val="center"/>
                        <w:rPr>
                          <w:color w:val="808080"/>
                          <w:sz w:val="18"/>
                          <w:szCs w:val="18"/>
                          <w:lang w:val="es-ES"/>
                        </w:rPr>
                      </w:pPr>
                      <w:r w:rsidRPr="003A7956">
                        <w:rPr>
                          <w:color w:val="808080"/>
                          <w:sz w:val="18"/>
                          <w:szCs w:val="18"/>
                          <w:lang w:val="es-ES"/>
                        </w:rPr>
                        <w:t>KONTUEN</w:t>
                      </w:r>
                    </w:p>
                    <w:p w:rsidR="0002273D" w:rsidRPr="003A7956" w:rsidRDefault="0002273D" w:rsidP="004C3423">
                      <w:pPr>
                        <w:spacing w:after="0"/>
                        <w:ind w:firstLine="0"/>
                        <w:jc w:val="center"/>
                        <w:rPr>
                          <w:color w:val="808080"/>
                          <w:sz w:val="18"/>
                          <w:szCs w:val="18"/>
                          <w:lang w:val="es-ES"/>
                        </w:rPr>
                      </w:pPr>
                      <w:r w:rsidRPr="003A7956">
                        <w:rPr>
                          <w:color w:val="808080"/>
                          <w:sz w:val="18"/>
                          <w:szCs w:val="18"/>
                          <w:lang w:val="es-ES"/>
                        </w:rPr>
                        <w:t>GANBERA</w:t>
                      </w:r>
                    </w:p>
                    <w:p w:rsidR="0002273D" w:rsidRPr="002C7026" w:rsidRDefault="0002273D" w:rsidP="002C7026">
                      <w:pPr>
                        <w:spacing w:after="0"/>
                        <w:ind w:firstLine="0"/>
                        <w:jc w:val="center"/>
                        <w:rPr>
                          <w:rFonts w:ascii="Trajan" w:hAnsi="Trajan"/>
                          <w:color w:val="808080"/>
                          <w:sz w:val="18"/>
                          <w:szCs w:val="18"/>
                          <w:lang w:val="es-ES"/>
                        </w:rPr>
                      </w:pPr>
                    </w:p>
                  </w:txbxContent>
                </v:textbox>
              </v:shape>
            </w:pict>
          </mc:Fallback>
        </mc:AlternateContent>
      </w:r>
    </w:p>
    <w:p w:rsidR="008B7FC5" w:rsidRPr="008B7FC5" w:rsidRDefault="008B7FC5" w:rsidP="008B7FC5">
      <w:pPr>
        <w:pStyle w:val="EstiloPortada"/>
        <w:ind w:left="2977" w:right="0"/>
        <w:rPr>
          <w:sz w:val="48"/>
          <w:szCs w:val="48"/>
        </w:rPr>
      </w:pPr>
      <w:r w:rsidRPr="008B7FC5">
        <w:rPr>
          <w:sz w:val="48"/>
          <w:szCs w:val="48"/>
        </w:rPr>
        <w:t xml:space="preserve">Elección del sistema de </w:t>
      </w:r>
    </w:p>
    <w:p w:rsidR="008B7FC5" w:rsidRDefault="008B7FC5" w:rsidP="008B7FC5">
      <w:pPr>
        <w:pStyle w:val="EstiloPortada"/>
        <w:ind w:left="2977" w:right="0"/>
        <w:rPr>
          <w:sz w:val="48"/>
          <w:szCs w:val="48"/>
        </w:rPr>
      </w:pPr>
      <w:r w:rsidRPr="008B7FC5">
        <w:rPr>
          <w:sz w:val="48"/>
          <w:szCs w:val="48"/>
        </w:rPr>
        <w:t xml:space="preserve">abastecimiento </w:t>
      </w:r>
    </w:p>
    <w:p w:rsidR="008B7FC5" w:rsidRDefault="008B7FC5" w:rsidP="008B7FC5">
      <w:pPr>
        <w:pStyle w:val="EstiloPortada"/>
        <w:ind w:left="2977" w:right="0"/>
        <w:rPr>
          <w:sz w:val="48"/>
          <w:szCs w:val="48"/>
        </w:rPr>
      </w:pPr>
      <w:r w:rsidRPr="008B7FC5">
        <w:rPr>
          <w:sz w:val="48"/>
          <w:szCs w:val="48"/>
        </w:rPr>
        <w:t xml:space="preserve">de </w:t>
      </w:r>
      <w:r w:rsidRPr="00AD3D56">
        <w:rPr>
          <w:sz w:val="48"/>
          <w:szCs w:val="48"/>
        </w:rPr>
        <w:t xml:space="preserve">agua en alta </w:t>
      </w:r>
      <w:r w:rsidRPr="008B7FC5">
        <w:rPr>
          <w:sz w:val="48"/>
          <w:szCs w:val="48"/>
        </w:rPr>
        <w:t xml:space="preserve">de la </w:t>
      </w:r>
    </w:p>
    <w:p w:rsidR="001C3A32" w:rsidRPr="008B7FC5" w:rsidRDefault="008B7FC5" w:rsidP="008B7FC5">
      <w:pPr>
        <w:pStyle w:val="EstiloPortada"/>
        <w:ind w:left="2977" w:right="0"/>
        <w:rPr>
          <w:sz w:val="48"/>
          <w:szCs w:val="48"/>
        </w:rPr>
      </w:pPr>
      <w:r w:rsidRPr="008B7FC5">
        <w:rPr>
          <w:sz w:val="48"/>
          <w:szCs w:val="48"/>
        </w:rPr>
        <w:t>Mancomunidad de Mairaga</w:t>
      </w:r>
    </w:p>
    <w:p w:rsidR="001C3A32" w:rsidRPr="00204979" w:rsidRDefault="001C3A32" w:rsidP="00891D73">
      <w:pPr>
        <w:pStyle w:val="texto"/>
      </w:pPr>
    </w:p>
    <w:p w:rsidR="001C3A32" w:rsidRPr="00204979" w:rsidRDefault="001C3A32" w:rsidP="00891D73">
      <w:pPr>
        <w:pStyle w:val="texto"/>
      </w:pPr>
    </w:p>
    <w:p w:rsidR="002F2530" w:rsidRPr="00204979" w:rsidRDefault="002F2530" w:rsidP="00891D73">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716463" w:rsidRPr="001D4F09" w:rsidRDefault="00E277B6" w:rsidP="009936FC">
      <w:pPr>
        <w:pStyle w:val="Fechaportada"/>
      </w:pPr>
      <w:r>
        <w:t>Enero de 2018</w:t>
      </w:r>
    </w:p>
    <w:p w:rsidR="008E3FFE" w:rsidRPr="001D4F09" w:rsidRDefault="008E3FFE" w:rsidP="00891D73">
      <w:pPr>
        <w:pStyle w:val="ndice"/>
        <w:rPr>
          <w:rFonts w:ascii="Times New Roman" w:hAnsi="Times New Roman"/>
        </w:rPr>
        <w:sectPr w:rsidR="008E3FFE" w:rsidRPr="001D4F09" w:rsidSect="0019660E">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9E2D8C" w:rsidRDefault="009E2D8C" w:rsidP="009E2D8C">
      <w:pPr>
        <w:pStyle w:val="ndice"/>
      </w:pPr>
      <w:r w:rsidRPr="00891D73">
        <w:lastRenderedPageBreak/>
        <w:t>Índice</w:t>
      </w:r>
    </w:p>
    <w:p w:rsidR="009E2D8C" w:rsidRPr="004740FB" w:rsidRDefault="009E2D8C" w:rsidP="00094055">
      <w:pPr>
        <w:pStyle w:val="ndice"/>
        <w:jc w:val="right"/>
        <w:rPr>
          <w:b w:val="0"/>
          <w:i/>
          <w:sz w:val="16"/>
          <w:szCs w:val="16"/>
        </w:rPr>
      </w:pPr>
      <w:r w:rsidRPr="004740FB">
        <w:rPr>
          <w:b w:val="0"/>
          <w:i/>
          <w:sz w:val="16"/>
          <w:szCs w:val="16"/>
        </w:rPr>
        <w:t>P</w:t>
      </w:r>
      <w:r>
        <w:rPr>
          <w:b w:val="0"/>
          <w:i/>
          <w:sz w:val="16"/>
          <w:szCs w:val="16"/>
        </w:rPr>
        <w:t>á</w:t>
      </w:r>
      <w:r w:rsidRPr="004740FB">
        <w:rPr>
          <w:b w:val="0"/>
          <w:i/>
          <w:sz w:val="16"/>
          <w:szCs w:val="16"/>
        </w:rPr>
        <w:t>gina</w:t>
      </w:r>
    </w:p>
    <w:p w:rsidR="00774AA7" w:rsidRDefault="0014728F">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505686765" w:history="1">
        <w:r w:rsidR="00774AA7" w:rsidRPr="00F4782B">
          <w:rPr>
            <w:rStyle w:val="Hipervnculo"/>
            <w:noProof/>
          </w:rPr>
          <w:t>I. Introducción</w:t>
        </w:r>
        <w:r w:rsidR="00774AA7">
          <w:rPr>
            <w:noProof/>
            <w:webHidden/>
          </w:rPr>
          <w:tab/>
        </w:r>
        <w:r w:rsidR="00774AA7">
          <w:rPr>
            <w:noProof/>
            <w:webHidden/>
          </w:rPr>
          <w:fldChar w:fldCharType="begin"/>
        </w:r>
        <w:r w:rsidR="00774AA7">
          <w:rPr>
            <w:noProof/>
            <w:webHidden/>
          </w:rPr>
          <w:instrText xml:space="preserve"> PAGEREF _Toc505686765 \h </w:instrText>
        </w:r>
        <w:r w:rsidR="00774AA7">
          <w:rPr>
            <w:noProof/>
            <w:webHidden/>
          </w:rPr>
        </w:r>
        <w:r w:rsidR="00774AA7">
          <w:rPr>
            <w:noProof/>
            <w:webHidden/>
          </w:rPr>
          <w:fldChar w:fldCharType="separate"/>
        </w:r>
        <w:r w:rsidR="00774AA7">
          <w:rPr>
            <w:noProof/>
            <w:webHidden/>
          </w:rPr>
          <w:t>3</w:t>
        </w:r>
        <w:r w:rsidR="00774AA7">
          <w:rPr>
            <w:noProof/>
            <w:webHidden/>
          </w:rPr>
          <w:fldChar w:fldCharType="end"/>
        </w:r>
      </w:hyperlink>
    </w:p>
    <w:p w:rsidR="00774AA7" w:rsidRDefault="00774AA7">
      <w:pPr>
        <w:pStyle w:val="TDC1"/>
        <w:rPr>
          <w:rFonts w:asciiTheme="minorHAnsi" w:eastAsiaTheme="minorEastAsia" w:hAnsiTheme="minorHAnsi" w:cstheme="minorBidi"/>
          <w:smallCaps w:val="0"/>
          <w:noProof/>
          <w:szCs w:val="22"/>
          <w:lang w:val="es-ES" w:eastAsia="es-ES"/>
        </w:rPr>
      </w:pPr>
      <w:hyperlink w:anchor="_Toc505686766" w:history="1">
        <w:r w:rsidRPr="00F4782B">
          <w:rPr>
            <w:rStyle w:val="Hipervnculo"/>
            <w:noProof/>
          </w:rPr>
          <w:t>II. Aspectos generales</w:t>
        </w:r>
        <w:r>
          <w:rPr>
            <w:noProof/>
            <w:webHidden/>
          </w:rPr>
          <w:tab/>
        </w:r>
        <w:r>
          <w:rPr>
            <w:noProof/>
            <w:webHidden/>
          </w:rPr>
          <w:fldChar w:fldCharType="begin"/>
        </w:r>
        <w:r>
          <w:rPr>
            <w:noProof/>
            <w:webHidden/>
          </w:rPr>
          <w:instrText xml:space="preserve"> PAGEREF _Toc505686766 \h </w:instrText>
        </w:r>
        <w:r>
          <w:rPr>
            <w:noProof/>
            <w:webHidden/>
          </w:rPr>
        </w:r>
        <w:r>
          <w:rPr>
            <w:noProof/>
            <w:webHidden/>
          </w:rPr>
          <w:fldChar w:fldCharType="separate"/>
        </w:r>
        <w:r>
          <w:rPr>
            <w:noProof/>
            <w:webHidden/>
          </w:rPr>
          <w:t>5</w:t>
        </w:r>
        <w:r>
          <w:rPr>
            <w:noProof/>
            <w:webHidden/>
          </w:rPr>
          <w:fldChar w:fldCharType="end"/>
        </w:r>
      </w:hyperlink>
    </w:p>
    <w:p w:rsidR="00774AA7" w:rsidRDefault="00774AA7">
      <w:pPr>
        <w:pStyle w:val="TDC2"/>
        <w:rPr>
          <w:rFonts w:asciiTheme="minorHAnsi" w:eastAsiaTheme="minorEastAsia" w:hAnsiTheme="minorHAnsi" w:cstheme="minorBidi"/>
          <w:noProof/>
          <w:szCs w:val="22"/>
          <w:lang w:val="es-ES" w:eastAsia="es-ES"/>
        </w:rPr>
      </w:pPr>
      <w:hyperlink w:anchor="_Toc505686767" w:history="1">
        <w:r w:rsidRPr="00F4782B">
          <w:rPr>
            <w:rStyle w:val="Hipervnculo"/>
            <w:noProof/>
          </w:rPr>
          <w:t>II.1. La Mancomunidad de Mairaga</w:t>
        </w:r>
        <w:r>
          <w:rPr>
            <w:noProof/>
            <w:webHidden/>
          </w:rPr>
          <w:tab/>
        </w:r>
        <w:r>
          <w:rPr>
            <w:noProof/>
            <w:webHidden/>
          </w:rPr>
          <w:fldChar w:fldCharType="begin"/>
        </w:r>
        <w:r>
          <w:rPr>
            <w:noProof/>
            <w:webHidden/>
          </w:rPr>
          <w:instrText xml:space="preserve"> PAGEREF _Toc505686767 \h </w:instrText>
        </w:r>
        <w:r>
          <w:rPr>
            <w:noProof/>
            <w:webHidden/>
          </w:rPr>
        </w:r>
        <w:r>
          <w:rPr>
            <w:noProof/>
            <w:webHidden/>
          </w:rPr>
          <w:fldChar w:fldCharType="separate"/>
        </w:r>
        <w:r>
          <w:rPr>
            <w:noProof/>
            <w:webHidden/>
          </w:rPr>
          <w:t>5</w:t>
        </w:r>
        <w:r>
          <w:rPr>
            <w:noProof/>
            <w:webHidden/>
          </w:rPr>
          <w:fldChar w:fldCharType="end"/>
        </w:r>
      </w:hyperlink>
    </w:p>
    <w:p w:rsidR="00774AA7" w:rsidRDefault="00774AA7">
      <w:pPr>
        <w:pStyle w:val="TDC2"/>
        <w:rPr>
          <w:rFonts w:asciiTheme="minorHAnsi" w:eastAsiaTheme="minorEastAsia" w:hAnsiTheme="minorHAnsi" w:cstheme="minorBidi"/>
          <w:noProof/>
          <w:szCs w:val="22"/>
          <w:lang w:val="es-ES" w:eastAsia="es-ES"/>
        </w:rPr>
      </w:pPr>
      <w:hyperlink w:anchor="_Toc505686768" w:history="1">
        <w:r w:rsidRPr="00F4782B">
          <w:rPr>
            <w:rStyle w:val="Hipervnculo"/>
            <w:noProof/>
          </w:rPr>
          <w:t>II.2. Plan Director de abastecimiento de agua en alta</w:t>
        </w:r>
        <w:r>
          <w:rPr>
            <w:noProof/>
            <w:webHidden/>
          </w:rPr>
          <w:tab/>
        </w:r>
        <w:r>
          <w:rPr>
            <w:noProof/>
            <w:webHidden/>
          </w:rPr>
          <w:fldChar w:fldCharType="begin"/>
        </w:r>
        <w:r>
          <w:rPr>
            <w:noProof/>
            <w:webHidden/>
          </w:rPr>
          <w:instrText xml:space="preserve"> PAGEREF _Toc505686768 \h </w:instrText>
        </w:r>
        <w:r>
          <w:rPr>
            <w:noProof/>
            <w:webHidden/>
          </w:rPr>
        </w:r>
        <w:r>
          <w:rPr>
            <w:noProof/>
            <w:webHidden/>
          </w:rPr>
          <w:fldChar w:fldCharType="separate"/>
        </w:r>
        <w:r>
          <w:rPr>
            <w:noProof/>
            <w:webHidden/>
          </w:rPr>
          <w:t>7</w:t>
        </w:r>
        <w:r>
          <w:rPr>
            <w:noProof/>
            <w:webHidden/>
          </w:rPr>
          <w:fldChar w:fldCharType="end"/>
        </w:r>
      </w:hyperlink>
    </w:p>
    <w:p w:rsidR="00774AA7" w:rsidRDefault="00774AA7">
      <w:pPr>
        <w:pStyle w:val="TDC2"/>
        <w:rPr>
          <w:rFonts w:asciiTheme="minorHAnsi" w:eastAsiaTheme="minorEastAsia" w:hAnsiTheme="minorHAnsi" w:cstheme="minorBidi"/>
          <w:noProof/>
          <w:szCs w:val="22"/>
          <w:lang w:val="es-ES" w:eastAsia="es-ES"/>
        </w:rPr>
      </w:pPr>
      <w:hyperlink w:anchor="_Toc505686769" w:history="1">
        <w:r w:rsidRPr="00F4782B">
          <w:rPr>
            <w:rStyle w:val="Hipervnculo"/>
            <w:noProof/>
          </w:rPr>
          <w:t>II.3. Decisión sobre alternativas para el sistema de abastecimiento de agua en alta</w:t>
        </w:r>
        <w:r>
          <w:rPr>
            <w:noProof/>
            <w:webHidden/>
          </w:rPr>
          <w:tab/>
        </w:r>
        <w:r>
          <w:rPr>
            <w:noProof/>
            <w:webHidden/>
          </w:rPr>
          <w:fldChar w:fldCharType="begin"/>
        </w:r>
        <w:r>
          <w:rPr>
            <w:noProof/>
            <w:webHidden/>
          </w:rPr>
          <w:instrText xml:space="preserve"> PAGEREF _Toc505686769 \h </w:instrText>
        </w:r>
        <w:r>
          <w:rPr>
            <w:noProof/>
            <w:webHidden/>
          </w:rPr>
        </w:r>
        <w:r>
          <w:rPr>
            <w:noProof/>
            <w:webHidden/>
          </w:rPr>
          <w:fldChar w:fldCharType="separate"/>
        </w:r>
        <w:r>
          <w:rPr>
            <w:noProof/>
            <w:webHidden/>
          </w:rPr>
          <w:t>13</w:t>
        </w:r>
        <w:r>
          <w:rPr>
            <w:noProof/>
            <w:webHidden/>
          </w:rPr>
          <w:fldChar w:fldCharType="end"/>
        </w:r>
      </w:hyperlink>
    </w:p>
    <w:p w:rsidR="00774AA7" w:rsidRDefault="00774AA7">
      <w:pPr>
        <w:pStyle w:val="TDC1"/>
        <w:rPr>
          <w:rFonts w:asciiTheme="minorHAnsi" w:eastAsiaTheme="minorEastAsia" w:hAnsiTheme="minorHAnsi" w:cstheme="minorBidi"/>
          <w:smallCaps w:val="0"/>
          <w:noProof/>
          <w:szCs w:val="22"/>
          <w:lang w:val="es-ES" w:eastAsia="es-ES"/>
        </w:rPr>
      </w:pPr>
      <w:hyperlink w:anchor="_Toc505686770" w:history="1">
        <w:r w:rsidRPr="00F4782B">
          <w:rPr>
            <w:rStyle w:val="Hipervnculo"/>
            <w:noProof/>
          </w:rPr>
          <w:t>III. Objetivos, alcance y limitaciones</w:t>
        </w:r>
        <w:r>
          <w:rPr>
            <w:noProof/>
            <w:webHidden/>
          </w:rPr>
          <w:tab/>
        </w:r>
        <w:r>
          <w:rPr>
            <w:noProof/>
            <w:webHidden/>
          </w:rPr>
          <w:fldChar w:fldCharType="begin"/>
        </w:r>
        <w:r>
          <w:rPr>
            <w:noProof/>
            <w:webHidden/>
          </w:rPr>
          <w:instrText xml:space="preserve"> PAGEREF _Toc505686770 \h </w:instrText>
        </w:r>
        <w:r>
          <w:rPr>
            <w:noProof/>
            <w:webHidden/>
          </w:rPr>
        </w:r>
        <w:r>
          <w:rPr>
            <w:noProof/>
            <w:webHidden/>
          </w:rPr>
          <w:fldChar w:fldCharType="separate"/>
        </w:r>
        <w:r>
          <w:rPr>
            <w:noProof/>
            <w:webHidden/>
          </w:rPr>
          <w:t>19</w:t>
        </w:r>
        <w:r>
          <w:rPr>
            <w:noProof/>
            <w:webHidden/>
          </w:rPr>
          <w:fldChar w:fldCharType="end"/>
        </w:r>
      </w:hyperlink>
    </w:p>
    <w:p w:rsidR="00774AA7" w:rsidRDefault="00774AA7">
      <w:pPr>
        <w:pStyle w:val="TDC1"/>
        <w:rPr>
          <w:rFonts w:asciiTheme="minorHAnsi" w:eastAsiaTheme="minorEastAsia" w:hAnsiTheme="minorHAnsi" w:cstheme="minorBidi"/>
          <w:smallCaps w:val="0"/>
          <w:noProof/>
          <w:szCs w:val="22"/>
          <w:lang w:val="es-ES" w:eastAsia="es-ES"/>
        </w:rPr>
      </w:pPr>
      <w:hyperlink w:anchor="_Toc505686771" w:history="1">
        <w:r w:rsidRPr="00F4782B">
          <w:rPr>
            <w:rStyle w:val="Hipervnculo"/>
            <w:noProof/>
          </w:rPr>
          <w:t>IV. Conclusiones y recomendaciones</w:t>
        </w:r>
        <w:r>
          <w:rPr>
            <w:noProof/>
            <w:webHidden/>
          </w:rPr>
          <w:tab/>
        </w:r>
        <w:r>
          <w:rPr>
            <w:noProof/>
            <w:webHidden/>
          </w:rPr>
          <w:fldChar w:fldCharType="begin"/>
        </w:r>
        <w:r>
          <w:rPr>
            <w:noProof/>
            <w:webHidden/>
          </w:rPr>
          <w:instrText xml:space="preserve"> PAGEREF _Toc505686771 \h </w:instrText>
        </w:r>
        <w:r>
          <w:rPr>
            <w:noProof/>
            <w:webHidden/>
          </w:rPr>
        </w:r>
        <w:r>
          <w:rPr>
            <w:noProof/>
            <w:webHidden/>
          </w:rPr>
          <w:fldChar w:fldCharType="separate"/>
        </w:r>
        <w:r>
          <w:rPr>
            <w:noProof/>
            <w:webHidden/>
          </w:rPr>
          <w:t>20</w:t>
        </w:r>
        <w:r>
          <w:rPr>
            <w:noProof/>
            <w:webHidden/>
          </w:rPr>
          <w:fldChar w:fldCharType="end"/>
        </w:r>
      </w:hyperlink>
    </w:p>
    <w:p w:rsidR="00774AA7" w:rsidRDefault="00774AA7">
      <w:pPr>
        <w:pStyle w:val="TDC2"/>
        <w:rPr>
          <w:rFonts w:asciiTheme="minorHAnsi" w:eastAsiaTheme="minorEastAsia" w:hAnsiTheme="minorHAnsi" w:cstheme="minorBidi"/>
          <w:noProof/>
          <w:szCs w:val="22"/>
          <w:lang w:val="es-ES" w:eastAsia="es-ES"/>
        </w:rPr>
      </w:pPr>
      <w:hyperlink w:anchor="_Toc505686772" w:history="1">
        <w:r w:rsidRPr="00F4782B">
          <w:rPr>
            <w:rStyle w:val="Hipervnculo"/>
            <w:noProof/>
          </w:rPr>
          <w:t>IV.1. Plan Director de abastecimiento de agua en alta (Mairaga)</w:t>
        </w:r>
        <w:r>
          <w:rPr>
            <w:noProof/>
            <w:webHidden/>
          </w:rPr>
          <w:tab/>
        </w:r>
        <w:r>
          <w:rPr>
            <w:noProof/>
            <w:webHidden/>
          </w:rPr>
          <w:fldChar w:fldCharType="begin"/>
        </w:r>
        <w:r>
          <w:rPr>
            <w:noProof/>
            <w:webHidden/>
          </w:rPr>
          <w:instrText xml:space="preserve"> PAGEREF _Toc505686772 \h </w:instrText>
        </w:r>
        <w:r>
          <w:rPr>
            <w:noProof/>
            <w:webHidden/>
          </w:rPr>
        </w:r>
        <w:r>
          <w:rPr>
            <w:noProof/>
            <w:webHidden/>
          </w:rPr>
          <w:fldChar w:fldCharType="separate"/>
        </w:r>
        <w:r>
          <w:rPr>
            <w:noProof/>
            <w:webHidden/>
          </w:rPr>
          <w:t>20</w:t>
        </w:r>
        <w:r>
          <w:rPr>
            <w:noProof/>
            <w:webHidden/>
          </w:rPr>
          <w:fldChar w:fldCharType="end"/>
        </w:r>
      </w:hyperlink>
    </w:p>
    <w:p w:rsidR="00774AA7" w:rsidRDefault="00774AA7">
      <w:pPr>
        <w:pStyle w:val="TDC2"/>
        <w:rPr>
          <w:rFonts w:asciiTheme="minorHAnsi" w:eastAsiaTheme="minorEastAsia" w:hAnsiTheme="minorHAnsi" w:cstheme="minorBidi"/>
          <w:noProof/>
          <w:szCs w:val="22"/>
          <w:lang w:val="es-ES" w:eastAsia="es-ES"/>
        </w:rPr>
      </w:pPr>
      <w:hyperlink w:anchor="_Toc505686773" w:history="1">
        <w:r w:rsidRPr="00F4782B">
          <w:rPr>
            <w:rStyle w:val="Hipervnculo"/>
            <w:noProof/>
          </w:rPr>
          <w:t>IV.2. Informes del área técnica</w:t>
        </w:r>
        <w:r>
          <w:rPr>
            <w:noProof/>
            <w:webHidden/>
          </w:rPr>
          <w:tab/>
        </w:r>
        <w:r>
          <w:rPr>
            <w:noProof/>
            <w:webHidden/>
          </w:rPr>
          <w:fldChar w:fldCharType="begin"/>
        </w:r>
        <w:r>
          <w:rPr>
            <w:noProof/>
            <w:webHidden/>
          </w:rPr>
          <w:instrText xml:space="preserve"> PAGEREF _Toc505686773 \h </w:instrText>
        </w:r>
        <w:r>
          <w:rPr>
            <w:noProof/>
            <w:webHidden/>
          </w:rPr>
        </w:r>
        <w:r>
          <w:rPr>
            <w:noProof/>
            <w:webHidden/>
          </w:rPr>
          <w:fldChar w:fldCharType="separate"/>
        </w:r>
        <w:r>
          <w:rPr>
            <w:noProof/>
            <w:webHidden/>
          </w:rPr>
          <w:t>20</w:t>
        </w:r>
        <w:r>
          <w:rPr>
            <w:noProof/>
            <w:webHidden/>
          </w:rPr>
          <w:fldChar w:fldCharType="end"/>
        </w:r>
      </w:hyperlink>
    </w:p>
    <w:p w:rsidR="00774AA7" w:rsidRDefault="00774AA7">
      <w:pPr>
        <w:pStyle w:val="TDC2"/>
        <w:rPr>
          <w:rFonts w:asciiTheme="minorHAnsi" w:eastAsiaTheme="minorEastAsia" w:hAnsiTheme="minorHAnsi" w:cstheme="minorBidi"/>
          <w:noProof/>
          <w:szCs w:val="22"/>
          <w:lang w:val="es-ES" w:eastAsia="es-ES"/>
        </w:rPr>
      </w:pPr>
      <w:hyperlink w:anchor="_Toc505686774" w:history="1">
        <w:r w:rsidRPr="00F4782B">
          <w:rPr>
            <w:rStyle w:val="Hipervnculo"/>
            <w:noProof/>
          </w:rPr>
          <w:t>IV.3. Análisis de la decisión tomada por la Asamblea General</w:t>
        </w:r>
        <w:r>
          <w:rPr>
            <w:noProof/>
            <w:webHidden/>
          </w:rPr>
          <w:tab/>
        </w:r>
        <w:r>
          <w:rPr>
            <w:noProof/>
            <w:webHidden/>
          </w:rPr>
          <w:fldChar w:fldCharType="begin"/>
        </w:r>
        <w:r>
          <w:rPr>
            <w:noProof/>
            <w:webHidden/>
          </w:rPr>
          <w:instrText xml:space="preserve"> PAGEREF _Toc505686774 \h </w:instrText>
        </w:r>
        <w:r>
          <w:rPr>
            <w:noProof/>
            <w:webHidden/>
          </w:rPr>
        </w:r>
        <w:r>
          <w:rPr>
            <w:noProof/>
            <w:webHidden/>
          </w:rPr>
          <w:fldChar w:fldCharType="separate"/>
        </w:r>
        <w:r>
          <w:rPr>
            <w:noProof/>
            <w:webHidden/>
          </w:rPr>
          <w:t>24</w:t>
        </w:r>
        <w:r>
          <w:rPr>
            <w:noProof/>
            <w:webHidden/>
          </w:rPr>
          <w:fldChar w:fldCharType="end"/>
        </w:r>
      </w:hyperlink>
    </w:p>
    <w:p w:rsidR="00774AA7" w:rsidRDefault="00774AA7">
      <w:pPr>
        <w:pStyle w:val="TDC2"/>
        <w:rPr>
          <w:rFonts w:asciiTheme="minorHAnsi" w:eastAsiaTheme="minorEastAsia" w:hAnsiTheme="minorHAnsi" w:cstheme="minorBidi"/>
          <w:noProof/>
          <w:szCs w:val="22"/>
          <w:lang w:val="es-ES" w:eastAsia="es-ES"/>
        </w:rPr>
      </w:pPr>
      <w:hyperlink w:anchor="_Toc505686775" w:history="1">
        <w:r w:rsidRPr="00F4782B">
          <w:rPr>
            <w:rStyle w:val="Hipervnculo"/>
            <w:noProof/>
          </w:rPr>
          <w:t>IV.4. Repercusión de la decisión tomada en las tarifas de los usuarios</w:t>
        </w:r>
        <w:r>
          <w:rPr>
            <w:noProof/>
            <w:webHidden/>
          </w:rPr>
          <w:tab/>
        </w:r>
        <w:r>
          <w:rPr>
            <w:noProof/>
            <w:webHidden/>
          </w:rPr>
          <w:fldChar w:fldCharType="begin"/>
        </w:r>
        <w:r>
          <w:rPr>
            <w:noProof/>
            <w:webHidden/>
          </w:rPr>
          <w:instrText xml:space="preserve"> PAGEREF _Toc505686775 \h </w:instrText>
        </w:r>
        <w:r>
          <w:rPr>
            <w:noProof/>
            <w:webHidden/>
          </w:rPr>
        </w:r>
        <w:r>
          <w:rPr>
            <w:noProof/>
            <w:webHidden/>
          </w:rPr>
          <w:fldChar w:fldCharType="separate"/>
        </w:r>
        <w:r>
          <w:rPr>
            <w:noProof/>
            <w:webHidden/>
          </w:rPr>
          <w:t>25</w:t>
        </w:r>
        <w:r>
          <w:rPr>
            <w:noProof/>
            <w:webHidden/>
          </w:rPr>
          <w:fldChar w:fldCharType="end"/>
        </w:r>
      </w:hyperlink>
    </w:p>
    <w:p w:rsidR="00774AA7" w:rsidRDefault="00774AA7">
      <w:pPr>
        <w:pStyle w:val="TDC2"/>
        <w:rPr>
          <w:rFonts w:asciiTheme="minorHAnsi" w:eastAsiaTheme="minorEastAsia" w:hAnsiTheme="minorHAnsi" w:cstheme="minorBidi"/>
          <w:noProof/>
          <w:szCs w:val="22"/>
          <w:lang w:val="es-ES" w:eastAsia="es-ES"/>
        </w:rPr>
      </w:pPr>
      <w:hyperlink w:anchor="_Toc505686776" w:history="1">
        <w:r w:rsidRPr="00F4782B">
          <w:rPr>
            <w:rStyle w:val="Hipervnculo"/>
            <w:noProof/>
          </w:rPr>
          <w:t>IV.5. Conclusión final y recomendaciones</w:t>
        </w:r>
        <w:r>
          <w:rPr>
            <w:noProof/>
            <w:webHidden/>
          </w:rPr>
          <w:tab/>
        </w:r>
        <w:r>
          <w:rPr>
            <w:noProof/>
            <w:webHidden/>
          </w:rPr>
          <w:fldChar w:fldCharType="begin"/>
        </w:r>
        <w:r>
          <w:rPr>
            <w:noProof/>
            <w:webHidden/>
          </w:rPr>
          <w:instrText xml:space="preserve"> PAGEREF _Toc505686776 \h </w:instrText>
        </w:r>
        <w:r>
          <w:rPr>
            <w:noProof/>
            <w:webHidden/>
          </w:rPr>
        </w:r>
        <w:r>
          <w:rPr>
            <w:noProof/>
            <w:webHidden/>
          </w:rPr>
          <w:fldChar w:fldCharType="separate"/>
        </w:r>
        <w:r>
          <w:rPr>
            <w:noProof/>
            <w:webHidden/>
          </w:rPr>
          <w:t>25</w:t>
        </w:r>
        <w:r>
          <w:rPr>
            <w:noProof/>
            <w:webHidden/>
          </w:rPr>
          <w:fldChar w:fldCharType="end"/>
        </w:r>
      </w:hyperlink>
    </w:p>
    <w:p w:rsidR="00774AA7" w:rsidRDefault="00774AA7">
      <w:pPr>
        <w:pStyle w:val="TDC1"/>
        <w:rPr>
          <w:rFonts w:asciiTheme="minorHAnsi" w:eastAsiaTheme="minorEastAsia" w:hAnsiTheme="minorHAnsi" w:cstheme="minorBidi"/>
          <w:smallCaps w:val="0"/>
          <w:noProof/>
          <w:szCs w:val="22"/>
          <w:lang w:val="es-ES" w:eastAsia="es-ES"/>
        </w:rPr>
      </w:pPr>
      <w:hyperlink w:anchor="_Toc505686777" w:history="1">
        <w:r w:rsidRPr="00F4782B">
          <w:rPr>
            <w:rStyle w:val="Hipervnculo"/>
            <w:bCs/>
            <w:noProof/>
          </w:rPr>
          <w:t>Alegaciones formuladas al informe provisional</w:t>
        </w:r>
        <w:r>
          <w:rPr>
            <w:noProof/>
            <w:webHidden/>
          </w:rPr>
          <w:tab/>
        </w:r>
        <w:r>
          <w:rPr>
            <w:noProof/>
            <w:webHidden/>
          </w:rPr>
          <w:fldChar w:fldCharType="begin"/>
        </w:r>
        <w:r>
          <w:rPr>
            <w:noProof/>
            <w:webHidden/>
          </w:rPr>
          <w:instrText xml:space="preserve"> PAGEREF _Toc505686777 \h </w:instrText>
        </w:r>
        <w:r>
          <w:rPr>
            <w:noProof/>
            <w:webHidden/>
          </w:rPr>
        </w:r>
        <w:r>
          <w:rPr>
            <w:noProof/>
            <w:webHidden/>
          </w:rPr>
          <w:fldChar w:fldCharType="separate"/>
        </w:r>
        <w:r>
          <w:rPr>
            <w:noProof/>
            <w:webHidden/>
          </w:rPr>
          <w:t>27</w:t>
        </w:r>
        <w:r>
          <w:rPr>
            <w:noProof/>
            <w:webHidden/>
          </w:rPr>
          <w:fldChar w:fldCharType="end"/>
        </w:r>
      </w:hyperlink>
    </w:p>
    <w:p w:rsidR="00774AA7" w:rsidRDefault="00774AA7">
      <w:pPr>
        <w:pStyle w:val="TDC1"/>
        <w:rPr>
          <w:rFonts w:asciiTheme="minorHAnsi" w:eastAsiaTheme="minorEastAsia" w:hAnsiTheme="minorHAnsi" w:cstheme="minorBidi"/>
          <w:smallCaps w:val="0"/>
          <w:noProof/>
          <w:szCs w:val="22"/>
          <w:lang w:val="es-ES" w:eastAsia="es-ES"/>
        </w:rPr>
      </w:pPr>
      <w:hyperlink w:anchor="_Toc505686778" w:history="1">
        <w:r w:rsidRPr="00F4782B">
          <w:rPr>
            <w:rStyle w:val="Hipervnculo"/>
            <w:noProof/>
          </w:rPr>
          <w:t>Contestación de la Cámara de Comptos a las alegaciones presentadas al informe provisional</w:t>
        </w:r>
        <w:r>
          <w:rPr>
            <w:noProof/>
            <w:webHidden/>
          </w:rPr>
          <w:tab/>
        </w:r>
        <w:r>
          <w:rPr>
            <w:noProof/>
            <w:webHidden/>
          </w:rPr>
          <w:fldChar w:fldCharType="begin"/>
        </w:r>
        <w:r>
          <w:rPr>
            <w:noProof/>
            <w:webHidden/>
          </w:rPr>
          <w:instrText xml:space="preserve"> PAGEREF _Toc505686778 \h </w:instrText>
        </w:r>
        <w:r>
          <w:rPr>
            <w:noProof/>
            <w:webHidden/>
          </w:rPr>
        </w:r>
        <w:r>
          <w:rPr>
            <w:noProof/>
            <w:webHidden/>
          </w:rPr>
          <w:fldChar w:fldCharType="separate"/>
        </w:r>
        <w:r>
          <w:rPr>
            <w:noProof/>
            <w:webHidden/>
          </w:rPr>
          <w:t>37</w:t>
        </w:r>
        <w:r>
          <w:rPr>
            <w:noProof/>
            <w:webHidden/>
          </w:rPr>
          <w:fldChar w:fldCharType="end"/>
        </w:r>
      </w:hyperlink>
    </w:p>
    <w:p w:rsidR="00891D73" w:rsidRDefault="0014728F" w:rsidP="00EC43D9">
      <w:pPr>
        <w:pStyle w:val="texto"/>
      </w:pPr>
      <w:r>
        <w:fldChar w:fldCharType="end"/>
      </w:r>
    </w:p>
    <w:p w:rsidR="00891D73" w:rsidRDefault="00891D73" w:rsidP="00891D73">
      <w:pPr>
        <w:pStyle w:val="texto"/>
      </w:pPr>
    </w:p>
    <w:p w:rsidR="00891D73" w:rsidRPr="00E703B6" w:rsidRDefault="00891D73" w:rsidP="00E703B6"/>
    <w:p w:rsidR="008E3FFE" w:rsidRDefault="008E3FFE" w:rsidP="00891D73">
      <w:pPr>
        <w:pStyle w:val="texto"/>
        <w:sectPr w:rsidR="008E3FFE" w:rsidSect="00160F66">
          <w:type w:val="oddPage"/>
          <w:pgSz w:w="11907" w:h="16840" w:code="9"/>
          <w:pgMar w:top="2109" w:right="1559" w:bottom="1644" w:left="1559" w:header="369" w:footer="402" w:gutter="0"/>
          <w:pgNumType w:start="3"/>
          <w:cols w:space="720"/>
          <w:docGrid w:linePitch="360"/>
        </w:sectPr>
      </w:pPr>
      <w:bookmarkStart w:id="0" w:name="_GoBack"/>
      <w:bookmarkEnd w:id="0"/>
    </w:p>
    <w:p w:rsidR="009E2D8C" w:rsidRPr="00AA7CB8" w:rsidRDefault="009E2D8C" w:rsidP="009E2D8C">
      <w:pPr>
        <w:pStyle w:val="atitulo1"/>
      </w:pPr>
      <w:bookmarkStart w:id="1" w:name="_Toc291067874"/>
      <w:bookmarkStart w:id="2" w:name="_Toc121293081"/>
      <w:bookmarkStart w:id="3" w:name="_Toc121292758"/>
      <w:bookmarkStart w:id="4" w:name="_Toc432757078"/>
      <w:bookmarkStart w:id="5" w:name="_Toc447195010"/>
      <w:bookmarkStart w:id="6" w:name="_Toc499802362"/>
      <w:bookmarkStart w:id="7" w:name="_Toc505686765"/>
      <w:r w:rsidRPr="00AA7CB8">
        <w:lastRenderedPageBreak/>
        <w:t>I. Introducción</w:t>
      </w:r>
      <w:bookmarkEnd w:id="1"/>
      <w:bookmarkEnd w:id="2"/>
      <w:bookmarkEnd w:id="3"/>
      <w:bookmarkEnd w:id="4"/>
      <w:bookmarkEnd w:id="5"/>
      <w:bookmarkEnd w:id="6"/>
      <w:bookmarkEnd w:id="7"/>
    </w:p>
    <w:p w:rsidR="009E2D8C" w:rsidRPr="00490649" w:rsidRDefault="009E2D8C" w:rsidP="009E2D8C">
      <w:pPr>
        <w:pStyle w:val="texto"/>
        <w:tabs>
          <w:tab w:val="clear" w:pos="2835"/>
          <w:tab w:val="clear" w:pos="3969"/>
          <w:tab w:val="clear" w:pos="5103"/>
          <w:tab w:val="clear" w:pos="6237"/>
          <w:tab w:val="clear" w:pos="7371"/>
        </w:tabs>
        <w:rPr>
          <w:szCs w:val="26"/>
        </w:rPr>
      </w:pPr>
      <w:r w:rsidRPr="00490649">
        <w:rPr>
          <w:szCs w:val="26"/>
        </w:rPr>
        <w:t>E</w:t>
      </w:r>
      <w:r>
        <w:rPr>
          <w:szCs w:val="26"/>
        </w:rPr>
        <w:t>n febrero de 2017</w:t>
      </w:r>
      <w:r w:rsidRPr="00490649">
        <w:rPr>
          <w:szCs w:val="26"/>
        </w:rPr>
        <w:t xml:space="preserve"> se registró en la Cámara de Comptos una petición parl</w:t>
      </w:r>
      <w:r w:rsidRPr="00490649">
        <w:rPr>
          <w:szCs w:val="26"/>
        </w:rPr>
        <w:t>a</w:t>
      </w:r>
      <w:r w:rsidRPr="00490649">
        <w:rPr>
          <w:szCs w:val="26"/>
        </w:rPr>
        <w:t>mentaria a instancias de</w:t>
      </w:r>
      <w:r>
        <w:rPr>
          <w:szCs w:val="26"/>
        </w:rPr>
        <w:t>l grupo parlamentario Unión del Pueblo Navarro (UPN),</w:t>
      </w:r>
      <w:r w:rsidRPr="00490649">
        <w:rPr>
          <w:szCs w:val="26"/>
        </w:rPr>
        <w:t xml:space="preserve"> para realizar un informe de fiscalización sobre </w:t>
      </w:r>
      <w:r>
        <w:rPr>
          <w:szCs w:val="26"/>
        </w:rPr>
        <w:t xml:space="preserve">la </w:t>
      </w:r>
      <w:r w:rsidR="009063AE">
        <w:rPr>
          <w:szCs w:val="26"/>
        </w:rPr>
        <w:t>elección</w:t>
      </w:r>
      <w:r>
        <w:rPr>
          <w:szCs w:val="26"/>
        </w:rPr>
        <w:t xml:space="preserve"> tomada por la Asamblea General de la Mancomunidad de Mairaga (mancomunidad en ad</w:t>
      </w:r>
      <w:r>
        <w:rPr>
          <w:szCs w:val="26"/>
        </w:rPr>
        <w:t>e</w:t>
      </w:r>
      <w:r>
        <w:rPr>
          <w:szCs w:val="26"/>
        </w:rPr>
        <w:t>lante), entre tres alternativas del sistema de abastecimiento de agua en alta (SAA en adelante)</w:t>
      </w:r>
      <w:r w:rsidR="009063AE">
        <w:rPr>
          <w:szCs w:val="26"/>
        </w:rPr>
        <w:t>, en la que se decidió s</w:t>
      </w:r>
      <w:r w:rsidR="00381126">
        <w:rPr>
          <w:szCs w:val="26"/>
        </w:rPr>
        <w:t>eguir con el embalse de Mairaga,</w:t>
      </w:r>
      <w:r w:rsidR="009063AE">
        <w:rPr>
          <w:szCs w:val="26"/>
        </w:rPr>
        <w:t xml:space="preserve"> ut</w:t>
      </w:r>
      <w:r w:rsidR="009063AE">
        <w:rPr>
          <w:szCs w:val="26"/>
        </w:rPr>
        <w:t>i</w:t>
      </w:r>
      <w:r w:rsidR="009063AE">
        <w:rPr>
          <w:szCs w:val="26"/>
        </w:rPr>
        <w:t>lizando las instalaciones de La Pedrera y el agua del Canal de Navarra sol</w:t>
      </w:r>
      <w:r w:rsidR="009063AE">
        <w:rPr>
          <w:szCs w:val="26"/>
        </w:rPr>
        <w:t>a</w:t>
      </w:r>
      <w:r w:rsidR="009063AE">
        <w:rPr>
          <w:szCs w:val="26"/>
        </w:rPr>
        <w:t>mente en casos de emergencia</w:t>
      </w:r>
      <w:r>
        <w:rPr>
          <w:szCs w:val="26"/>
        </w:rPr>
        <w:t>.</w:t>
      </w:r>
    </w:p>
    <w:p w:rsidR="009E2D8C" w:rsidRDefault="009E2D8C" w:rsidP="009E2D8C">
      <w:pPr>
        <w:pStyle w:val="texto"/>
        <w:tabs>
          <w:tab w:val="clear" w:pos="2835"/>
          <w:tab w:val="clear" w:pos="3969"/>
          <w:tab w:val="clear" w:pos="5103"/>
          <w:tab w:val="clear" w:pos="6237"/>
          <w:tab w:val="clear" w:pos="7371"/>
        </w:tabs>
        <w:rPr>
          <w:szCs w:val="26"/>
        </w:rPr>
      </w:pPr>
      <w:r w:rsidRPr="00490649">
        <w:rPr>
          <w:szCs w:val="26"/>
        </w:rPr>
        <w:t xml:space="preserve">En concreto, la petición solicitaba que se analizaran </w:t>
      </w:r>
      <w:r>
        <w:rPr>
          <w:szCs w:val="26"/>
        </w:rPr>
        <w:t>los siguientes aspectos:</w:t>
      </w:r>
    </w:p>
    <w:p w:rsidR="009E2D8C" w:rsidRPr="009E2D8C" w:rsidRDefault="009E2D8C" w:rsidP="00893AAD">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r w:rsidRPr="009E2D8C">
        <w:rPr>
          <w:i/>
          <w:sz w:val="20"/>
          <w:szCs w:val="20"/>
        </w:rPr>
        <w:t>“…Análisis de las consecuencias de dicha alternativa en relación al Plan Director de Abast</w:t>
      </w:r>
      <w:r w:rsidRPr="009E2D8C">
        <w:rPr>
          <w:i/>
          <w:sz w:val="20"/>
          <w:szCs w:val="20"/>
        </w:rPr>
        <w:t>e</w:t>
      </w:r>
      <w:r w:rsidRPr="009E2D8C">
        <w:rPr>
          <w:i/>
          <w:sz w:val="20"/>
          <w:szCs w:val="20"/>
        </w:rPr>
        <w:t>cimiento de Agua en Alta del Gobierno de Navarra, ya que éste no contempla dicha opción. Saber si el Departamento de Administración Local debe actuar al respecto en relación a la inversión de La Pedrera ya realizada ya que no se va utilizar para el uso previsto en el plan, que era el de dar serv</w:t>
      </w:r>
      <w:r w:rsidRPr="009E2D8C">
        <w:rPr>
          <w:i/>
          <w:sz w:val="20"/>
          <w:szCs w:val="20"/>
        </w:rPr>
        <w:t>i</w:t>
      </w:r>
      <w:r w:rsidRPr="009E2D8C">
        <w:rPr>
          <w:i/>
          <w:sz w:val="20"/>
          <w:szCs w:val="20"/>
        </w:rPr>
        <w:t>cio, y ahora sólo se va a usar de reserva. Analizar también la responsabilidad del mantenimiento de dicha inversión y cu</w:t>
      </w:r>
      <w:r w:rsidR="0002273D">
        <w:rPr>
          <w:i/>
          <w:sz w:val="20"/>
          <w:szCs w:val="20"/>
        </w:rPr>
        <w:t>a</w:t>
      </w:r>
      <w:r w:rsidRPr="009E2D8C">
        <w:rPr>
          <w:i/>
          <w:sz w:val="20"/>
          <w:szCs w:val="20"/>
        </w:rPr>
        <w:t>ntas responsabilidades se deriven de dicha decisión que no es la que marca el Plan Director, el cual es imperativo.</w:t>
      </w:r>
    </w:p>
    <w:p w:rsidR="009E2D8C" w:rsidRPr="009E2D8C" w:rsidRDefault="009E2D8C" w:rsidP="009A035E">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r w:rsidRPr="009E2D8C">
        <w:rPr>
          <w:i/>
          <w:sz w:val="20"/>
          <w:szCs w:val="20"/>
        </w:rPr>
        <w:t>Análisis de los costes que le supondrán a la propia Mancomunidad de Mairaga el abastecimie</w:t>
      </w:r>
      <w:r w:rsidRPr="009E2D8C">
        <w:rPr>
          <w:i/>
          <w:sz w:val="20"/>
          <w:szCs w:val="20"/>
        </w:rPr>
        <w:t>n</w:t>
      </w:r>
      <w:r w:rsidRPr="009E2D8C">
        <w:rPr>
          <w:i/>
          <w:sz w:val="20"/>
          <w:szCs w:val="20"/>
        </w:rPr>
        <w:t>to tradicional con reserva de La Pedrera en comparación con la que aconsejaban los informes, que era el Sistema de La Pedrera.</w:t>
      </w:r>
    </w:p>
    <w:p w:rsidR="009E2D8C" w:rsidRPr="009E2D8C" w:rsidRDefault="009E2D8C" w:rsidP="009A035E">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r w:rsidRPr="009E2D8C">
        <w:rPr>
          <w:i/>
          <w:sz w:val="20"/>
          <w:szCs w:val="20"/>
        </w:rPr>
        <w:t>Análisis de las consecuencias económicas a los usuarios de Mairaga también comparando a</w:t>
      </w:r>
      <w:r w:rsidRPr="009E2D8C">
        <w:rPr>
          <w:i/>
          <w:sz w:val="20"/>
          <w:szCs w:val="20"/>
        </w:rPr>
        <w:t>m</w:t>
      </w:r>
      <w:r w:rsidRPr="009E2D8C">
        <w:rPr>
          <w:i/>
          <w:sz w:val="20"/>
          <w:szCs w:val="20"/>
        </w:rPr>
        <w:t>bas alternativas.</w:t>
      </w:r>
    </w:p>
    <w:p w:rsidR="009E2D8C" w:rsidRPr="009E2D8C" w:rsidRDefault="009E2D8C" w:rsidP="00B13E99">
      <w:pPr>
        <w:pStyle w:val="texto"/>
        <w:numPr>
          <w:ilvl w:val="0"/>
          <w:numId w:val="9"/>
        </w:numPr>
        <w:tabs>
          <w:tab w:val="clear" w:pos="2835"/>
          <w:tab w:val="clear" w:pos="3969"/>
          <w:tab w:val="clear" w:pos="5103"/>
          <w:tab w:val="clear" w:pos="6237"/>
          <w:tab w:val="clear" w:pos="7371"/>
          <w:tab w:val="left" w:pos="480"/>
          <w:tab w:val="num" w:pos="720"/>
          <w:tab w:val="num" w:pos="6597"/>
        </w:tabs>
        <w:spacing w:after="240"/>
        <w:ind w:left="42" w:firstLine="242"/>
        <w:rPr>
          <w:i/>
          <w:sz w:val="20"/>
          <w:szCs w:val="20"/>
        </w:rPr>
      </w:pPr>
      <w:r w:rsidRPr="009E2D8C">
        <w:rPr>
          <w:i/>
          <w:sz w:val="20"/>
          <w:szCs w:val="20"/>
        </w:rPr>
        <w:t>Comparativa de la calidad de las aguas en ambas alternativas, además de la repercusión de la alternativa elegida en relación al río Cidacos…”.</w:t>
      </w:r>
    </w:p>
    <w:p w:rsidR="009E2D8C" w:rsidRDefault="009E2D8C" w:rsidP="009E2D8C">
      <w:pPr>
        <w:pStyle w:val="texto"/>
      </w:pPr>
      <w:r>
        <w:rPr>
          <w:szCs w:val="26"/>
        </w:rPr>
        <w:t>Este trabajo fue incorporado al programa de fiscalización de la Cámara de Comptos de 2017</w:t>
      </w:r>
      <w:r w:rsidR="0002273D">
        <w:rPr>
          <w:szCs w:val="26"/>
        </w:rPr>
        <w:t>.</w:t>
      </w:r>
      <w:r>
        <w:rPr>
          <w:szCs w:val="26"/>
        </w:rPr>
        <w:t xml:space="preserve"> </w:t>
      </w:r>
      <w:r w:rsidR="0002273D">
        <w:rPr>
          <w:szCs w:val="26"/>
        </w:rPr>
        <w:t>L</w:t>
      </w:r>
      <w:r>
        <w:rPr>
          <w:szCs w:val="26"/>
        </w:rPr>
        <w:t>o ha realizado un equipo integrado por una técnica de aud</w:t>
      </w:r>
      <w:r>
        <w:rPr>
          <w:szCs w:val="26"/>
        </w:rPr>
        <w:t>i</w:t>
      </w:r>
      <w:r>
        <w:rPr>
          <w:szCs w:val="26"/>
        </w:rPr>
        <w:t xml:space="preserve">toría y una auditora con la </w:t>
      </w:r>
      <w:r w:rsidRPr="00FE18A4">
        <w:t>colaboración de los servicios jurídicos, informáticos y administrativos de la Cámara de Com</w:t>
      </w:r>
      <w:r>
        <w:t>ptos, entre el mes de octubre y novie</w:t>
      </w:r>
      <w:r>
        <w:t>m</w:t>
      </w:r>
      <w:r>
        <w:t>bre de 2017.</w:t>
      </w:r>
    </w:p>
    <w:p w:rsidR="009E2D8C" w:rsidRPr="00226DB7" w:rsidRDefault="009E2D8C" w:rsidP="009E2D8C">
      <w:pPr>
        <w:pStyle w:val="texto"/>
      </w:pPr>
      <w:r w:rsidRPr="00FE18A4">
        <w:t xml:space="preserve">El informe se estructura en </w:t>
      </w:r>
      <w:r>
        <w:t>cuatro</w:t>
      </w:r>
      <w:r w:rsidRPr="00FE18A4">
        <w:t xml:space="preserve"> epígrafes incluida esta introducción; </w:t>
      </w:r>
      <w:r w:rsidRPr="00226DB7">
        <w:t xml:space="preserve">en el segundo se </w:t>
      </w:r>
      <w:r>
        <w:t>describen aspectos generales de la mancomunidad y el Plan Dire</w:t>
      </w:r>
      <w:r>
        <w:t>c</w:t>
      </w:r>
      <w:r>
        <w:t xml:space="preserve">tor de </w:t>
      </w:r>
      <w:r w:rsidR="00381126">
        <w:t>a</w:t>
      </w:r>
      <w:r>
        <w:t xml:space="preserve">bastecimiento de </w:t>
      </w:r>
      <w:r w:rsidR="00381126">
        <w:t>a</w:t>
      </w:r>
      <w:r>
        <w:t xml:space="preserve">gua en </w:t>
      </w:r>
      <w:r w:rsidR="00381126">
        <w:t>a</w:t>
      </w:r>
      <w:r>
        <w:t>lta del Gobierno de Navarra (PD en adela</w:t>
      </w:r>
      <w:r>
        <w:t>n</w:t>
      </w:r>
      <w:r>
        <w:t>te)</w:t>
      </w:r>
      <w:r w:rsidRPr="00226DB7">
        <w:t>; el tercero contiene los objetivos, alcance y limitaciones del trabajo</w:t>
      </w:r>
      <w:r w:rsidR="0002273D">
        <w:t>;</w:t>
      </w:r>
      <w:r w:rsidRPr="00226DB7">
        <w:t xml:space="preserve"> y el cuarto </w:t>
      </w:r>
      <w:r>
        <w:t>expone</w:t>
      </w:r>
      <w:r w:rsidRPr="00226DB7">
        <w:t xml:space="preserve"> las </w:t>
      </w:r>
      <w:r>
        <w:t xml:space="preserve">principales </w:t>
      </w:r>
      <w:r w:rsidRPr="00226DB7">
        <w:t xml:space="preserve">conclusiones y recomendaciones </w:t>
      </w:r>
      <w:r>
        <w:t>alcanzadas</w:t>
      </w:r>
      <w:r w:rsidRPr="00226DB7">
        <w:t xml:space="preserve">. </w:t>
      </w:r>
    </w:p>
    <w:p w:rsidR="009E2D8C" w:rsidRDefault="009E2D8C" w:rsidP="009E2D8C">
      <w:pPr>
        <w:pStyle w:val="texto"/>
      </w:pPr>
      <w:r w:rsidRPr="00FE18A4">
        <w:t>Agradecemos al personal de</w:t>
      </w:r>
      <w:r>
        <w:t xml:space="preserve"> la mancomunidad y del Departamento de Des</w:t>
      </w:r>
      <w:r>
        <w:t>a</w:t>
      </w:r>
      <w:r>
        <w:t xml:space="preserve">rrollo Rural, Medio Ambiente y Administración Local del Gobierno de Navarra </w:t>
      </w:r>
      <w:r w:rsidRPr="00FE18A4">
        <w:t>la colaboración prestada en la realización del presente trabajo.</w:t>
      </w:r>
    </w:p>
    <w:p w:rsidR="00D91187" w:rsidRPr="00B70F9D" w:rsidRDefault="00D91187" w:rsidP="00D91187">
      <w:pPr>
        <w:pStyle w:val="texto"/>
        <w:rPr>
          <w:lang w:val="es-ES"/>
        </w:rPr>
      </w:pPr>
      <w:r w:rsidRPr="00B70F9D">
        <w:rPr>
          <w:lang w:val="es-ES"/>
        </w:rPr>
        <w:t>De conformidad con lo previsto en el artículo 11 de la Ley Foral 19/1984, reguladora de la Cámara de Comptos de Navarra, los resultados de este trabajo se pusieron de manifiesto, con el fin de que formularan alegaciones, a las pe</w:t>
      </w:r>
      <w:r w:rsidRPr="00B70F9D">
        <w:rPr>
          <w:lang w:val="es-ES"/>
        </w:rPr>
        <w:t>r</w:t>
      </w:r>
      <w:r w:rsidRPr="00B70F9D">
        <w:rPr>
          <w:lang w:val="es-ES"/>
        </w:rPr>
        <w:t>sonas que ocupaban los siguientes cargos:</w:t>
      </w:r>
    </w:p>
    <w:p w:rsidR="00D91187" w:rsidRPr="00B70F9D" w:rsidRDefault="00D91187" w:rsidP="00D91187">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0"/>
        <w:ind w:left="0" w:firstLine="289"/>
        <w:rPr>
          <w:szCs w:val="26"/>
        </w:rPr>
      </w:pPr>
      <w:r w:rsidRPr="00B70F9D">
        <w:rPr>
          <w:szCs w:val="26"/>
        </w:rPr>
        <w:lastRenderedPageBreak/>
        <w:t xml:space="preserve">Presidente de la Mancomunidad de </w:t>
      </w:r>
      <w:proofErr w:type="spellStart"/>
      <w:r w:rsidRPr="00B70F9D">
        <w:rPr>
          <w:szCs w:val="26"/>
        </w:rPr>
        <w:t>Mairaga</w:t>
      </w:r>
      <w:proofErr w:type="spellEnd"/>
      <w:r w:rsidRPr="00B70F9D">
        <w:rPr>
          <w:szCs w:val="26"/>
        </w:rPr>
        <w:t>.</w:t>
      </w:r>
    </w:p>
    <w:p w:rsidR="00D91187" w:rsidRPr="00B70F9D" w:rsidRDefault="00D91187" w:rsidP="00D91187">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B70F9D">
        <w:rPr>
          <w:szCs w:val="26"/>
        </w:rPr>
        <w:t xml:space="preserve">Consejera </w:t>
      </w:r>
      <w:r w:rsidRPr="00B70F9D">
        <w:t>del Departamento de Desarrollo Rural, Medio Ambiente y A</w:t>
      </w:r>
      <w:r w:rsidRPr="00B70F9D">
        <w:t>d</w:t>
      </w:r>
      <w:r w:rsidRPr="00B70F9D">
        <w:t>ministración Local del Gobierno de Navarra</w:t>
      </w:r>
    </w:p>
    <w:p w:rsidR="00D91187" w:rsidRPr="00E277B6" w:rsidRDefault="00D91187" w:rsidP="00D91187">
      <w:pPr>
        <w:pStyle w:val="texto"/>
      </w:pPr>
      <w:r w:rsidRPr="00E277B6">
        <w:t>Ha</w:t>
      </w:r>
      <w:r w:rsidR="00B60256" w:rsidRPr="00E277B6">
        <w:t xml:space="preserve">n </w:t>
      </w:r>
      <w:r w:rsidRPr="00E277B6">
        <w:t xml:space="preserve">presentado alegaciones, en el plazo fijado por la Cámara de Comptos, el </w:t>
      </w:r>
      <w:r w:rsidR="00B60256" w:rsidRPr="00E277B6">
        <w:t xml:space="preserve">presidente de la Mancomunidad de </w:t>
      </w:r>
      <w:proofErr w:type="spellStart"/>
      <w:r w:rsidR="00B60256" w:rsidRPr="00E277B6">
        <w:t>Mairaga</w:t>
      </w:r>
      <w:proofErr w:type="spellEnd"/>
      <w:r w:rsidR="00B60256" w:rsidRPr="00E277B6">
        <w:t xml:space="preserve"> </w:t>
      </w:r>
      <w:r w:rsidR="00E277B6" w:rsidRPr="00E277B6">
        <w:t xml:space="preserve">y </w:t>
      </w:r>
      <w:r w:rsidR="00B914DB" w:rsidRPr="00E277B6">
        <w:t>el Departamento de Desarrollo Rural, Medio Ambiente y Administración Local</w:t>
      </w:r>
      <w:r w:rsidRPr="00E277B6">
        <w:t>. Estas alegaciones que no han supuesto modificaciones en nuestro informe, junto con la contestación de esta Cámara a las mismas, se adjuntan al informe definitivo</w:t>
      </w:r>
    </w:p>
    <w:p w:rsidR="00D91187" w:rsidRPr="00E277B6" w:rsidRDefault="00D91187" w:rsidP="009E2D8C">
      <w:pPr>
        <w:pStyle w:val="texto"/>
      </w:pPr>
    </w:p>
    <w:p w:rsidR="00477C53" w:rsidRDefault="009E2D8C" w:rsidP="009E2D8C">
      <w:pPr>
        <w:pStyle w:val="atitulo3"/>
      </w:pPr>
      <w:r>
        <w:br w:type="page"/>
      </w:r>
    </w:p>
    <w:p w:rsidR="00B13E99" w:rsidRDefault="00B13E99" w:rsidP="00B13E99">
      <w:pPr>
        <w:pStyle w:val="atitulo1"/>
      </w:pPr>
      <w:bookmarkStart w:id="8" w:name="_Toc121292759"/>
      <w:bookmarkStart w:id="9" w:name="_Toc121293082"/>
      <w:bookmarkStart w:id="10" w:name="_Toc291067875"/>
      <w:bookmarkStart w:id="11" w:name="_Toc432757079"/>
      <w:bookmarkStart w:id="12" w:name="_Toc447195011"/>
      <w:bookmarkStart w:id="13" w:name="_Toc499802363"/>
      <w:bookmarkStart w:id="14" w:name="_Toc505686766"/>
      <w:r w:rsidRPr="00341874">
        <w:lastRenderedPageBreak/>
        <w:t xml:space="preserve">II. </w:t>
      </w:r>
      <w:bookmarkEnd w:id="8"/>
      <w:bookmarkEnd w:id="9"/>
      <w:bookmarkEnd w:id="10"/>
      <w:bookmarkEnd w:id="11"/>
      <w:bookmarkEnd w:id="12"/>
      <w:r>
        <w:t>Aspectos generales</w:t>
      </w:r>
      <w:bookmarkEnd w:id="13"/>
      <w:bookmarkEnd w:id="14"/>
    </w:p>
    <w:p w:rsidR="00B13E99" w:rsidRDefault="00B13E99" w:rsidP="002D3BD2">
      <w:pPr>
        <w:pStyle w:val="atitulo2"/>
        <w:spacing w:before="240"/>
      </w:pPr>
      <w:bookmarkStart w:id="15" w:name="_Toc499802364"/>
      <w:bookmarkStart w:id="16" w:name="_Toc505686767"/>
      <w:r>
        <w:t>II</w:t>
      </w:r>
      <w:r w:rsidRPr="00723975">
        <w:t>.</w:t>
      </w:r>
      <w:r>
        <w:t>1</w:t>
      </w:r>
      <w:r w:rsidRPr="00723975">
        <w:t xml:space="preserve">. </w:t>
      </w:r>
      <w:r>
        <w:t>La Mancomunidad de Mairaga</w:t>
      </w:r>
      <w:bookmarkEnd w:id="15"/>
      <w:bookmarkEnd w:id="16"/>
    </w:p>
    <w:p w:rsidR="00B13E99" w:rsidRPr="00B13E99" w:rsidRDefault="00B13E99" w:rsidP="00B13E99">
      <w:pPr>
        <w:pStyle w:val="texto"/>
        <w:spacing w:after="240"/>
      </w:pPr>
      <w:r w:rsidRPr="00B13E99">
        <w:t>El embalse de Mairaga se transfirió inicialmente al Gobierno de Navarra mediante el Real Decreto 1391/1988 de 18 de noviembre. La liquidación def</w:t>
      </w:r>
      <w:r w:rsidRPr="00B13E99">
        <w:t>i</w:t>
      </w:r>
      <w:r w:rsidRPr="00B13E99">
        <w:t>nitiva de la presa de Mairaga fue aprobada en 1993, momento a partir del cual esta obra debería haber sido traspasada a la Comunidad Foral de Navarra, si bien esto aún no ha sucedido.</w:t>
      </w:r>
    </w:p>
    <w:p w:rsidR="00B13E99" w:rsidRDefault="00B13E99" w:rsidP="00B13E99">
      <w:pPr>
        <w:pStyle w:val="texto"/>
        <w:tabs>
          <w:tab w:val="clear" w:pos="2835"/>
          <w:tab w:val="clear" w:pos="3969"/>
          <w:tab w:val="clear" w:pos="5103"/>
          <w:tab w:val="clear" w:pos="6237"/>
          <w:tab w:val="clear" w:pos="7371"/>
        </w:tabs>
        <w:ind w:firstLine="0"/>
        <w:jc w:val="center"/>
        <w:rPr>
          <w:szCs w:val="26"/>
        </w:rPr>
      </w:pPr>
      <w:r>
        <w:rPr>
          <w:noProof/>
          <w:szCs w:val="26"/>
          <w:lang w:val="es-ES" w:eastAsia="es-ES"/>
        </w:rPr>
        <w:drawing>
          <wp:inline distT="0" distB="0" distL="0" distR="0" wp14:anchorId="6B3D8AC9" wp14:editId="33022EA4">
            <wp:extent cx="5553075" cy="3713486"/>
            <wp:effectExtent l="0" t="0" r="0" b="1270"/>
            <wp:docPr id="6" name="Imagen 6" descr="S:\COMUN\KAREN\Fotos Mairaga\Embalse Mairaga\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UN\KAREN\Fotos Mairaga\Embalse Mairaga\IMG_00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1874" cy="3719370"/>
                    </a:xfrm>
                    <a:prstGeom prst="rect">
                      <a:avLst/>
                    </a:prstGeom>
                    <a:noFill/>
                    <a:ln>
                      <a:noFill/>
                    </a:ln>
                  </pic:spPr>
                </pic:pic>
              </a:graphicData>
            </a:graphic>
          </wp:inline>
        </w:drawing>
      </w:r>
    </w:p>
    <w:p w:rsidR="00B13E99" w:rsidRPr="00B13E99" w:rsidRDefault="00B13E99" w:rsidP="00B13E99">
      <w:pPr>
        <w:pStyle w:val="texto"/>
      </w:pPr>
      <w:r w:rsidRPr="00B13E99">
        <w:t>La mancomunidad es una entidad formada por 35 localidades</w:t>
      </w:r>
      <w:r w:rsidRPr="009063AE">
        <w:rPr>
          <w:rStyle w:val="Refdenotaalpie"/>
        </w:rPr>
        <w:footnoteReference w:id="1"/>
      </w:r>
      <w:r w:rsidRPr="00B13E99">
        <w:t xml:space="preserve"> de la zona media de Navarra para la gestión del ciclo integral del agua, tratamiento de los residuos sólidos urbanos, y protección del medio ambiente. </w:t>
      </w:r>
    </w:p>
    <w:p w:rsidR="00B13E99" w:rsidRPr="00B13E99" w:rsidRDefault="00B13E99" w:rsidP="00B13E99">
      <w:pPr>
        <w:pStyle w:val="texto"/>
      </w:pPr>
      <w:r w:rsidRPr="00B13E99">
        <w:t>Surgió a finales de los años 80 del pasado siglo para garantizar el abastec</w:t>
      </w:r>
      <w:r w:rsidRPr="00B13E99">
        <w:t>i</w:t>
      </w:r>
      <w:r w:rsidRPr="00B13E99">
        <w:t>miento de agua potable a la Merindad de Tafalla. Para ello, en 1991</w:t>
      </w:r>
      <w:r w:rsidR="0002273D">
        <w:t xml:space="preserve"> </w:t>
      </w:r>
      <w:r w:rsidRPr="00B13E99">
        <w:t>se constr</w:t>
      </w:r>
      <w:r w:rsidRPr="00B13E99">
        <w:t>u</w:t>
      </w:r>
      <w:r w:rsidRPr="00B13E99">
        <w:t>yó una potabiliz</w:t>
      </w:r>
      <w:r w:rsidR="009063AE">
        <w:t xml:space="preserve">adora en Olóriz que permitió llevar a cabo la prestación del servicio </w:t>
      </w:r>
      <w:r w:rsidRPr="00B13E99">
        <w:t>de distribución de agua potable en alta.</w:t>
      </w:r>
    </w:p>
    <w:p w:rsidR="00B13E99" w:rsidRPr="00B13E99" w:rsidRDefault="00B13E99" w:rsidP="00B13E99">
      <w:pPr>
        <w:pStyle w:val="texto"/>
      </w:pPr>
      <w:r w:rsidRPr="00B13E99">
        <w:t>Posteriormente, en 1996, se extendieron estos servicios a Unzué y Traibu</w:t>
      </w:r>
      <w:r w:rsidRPr="00B13E99">
        <w:t>e</w:t>
      </w:r>
      <w:r w:rsidRPr="00B13E99">
        <w:t>nas, y en 2009, a las localidades del Valle del Bajo Aragón y Peralta.</w:t>
      </w:r>
    </w:p>
    <w:p w:rsidR="002D3BD2" w:rsidRDefault="002D3BD2" w:rsidP="002D3BD2">
      <w:pPr>
        <w:pStyle w:val="texto"/>
      </w:pPr>
      <w:r>
        <w:lastRenderedPageBreak/>
        <w:t>Los gastos de la mancomunidad en 2016 ascendieron a 6,16 millones de e</w:t>
      </w:r>
      <w:r>
        <w:t>u</w:t>
      </w:r>
      <w:r>
        <w:t>ros de los cuales 3,72 corresponden a la gestión del agua; en cuanto a los ingr</w:t>
      </w:r>
      <w:r>
        <w:t>e</w:t>
      </w:r>
      <w:r>
        <w:t>sos, alcanzaron los 6,75 millones siendo 4,20 los obtenidos del ciclo integral del agua.</w:t>
      </w:r>
    </w:p>
    <w:p w:rsidR="002D3BD2" w:rsidRDefault="002D3BD2" w:rsidP="002D3BD2">
      <w:pPr>
        <w:pStyle w:val="texto"/>
      </w:pPr>
      <w:r>
        <w:t>Este</w:t>
      </w:r>
      <w:r w:rsidRPr="00AE1FD3">
        <w:t xml:space="preserve"> ciclo </w:t>
      </w:r>
      <w:r>
        <w:t>i</w:t>
      </w:r>
      <w:r w:rsidRPr="00AE1FD3">
        <w:t>ntegral del agua</w:t>
      </w:r>
      <w:r>
        <w:t xml:space="preserve"> está formado por</w:t>
      </w:r>
      <w:r w:rsidRPr="00AE1FD3">
        <w:t xml:space="preserve"> las actuaciones </w:t>
      </w:r>
      <w:r>
        <w:t>de</w:t>
      </w:r>
      <w:r w:rsidRPr="00AE1FD3">
        <w:t xml:space="preserve"> captación, tratamiento, distribución, recolecta de </w:t>
      </w:r>
      <w:r w:rsidR="00381126">
        <w:t>sustancias de deshechos</w:t>
      </w:r>
      <w:r w:rsidRPr="00AE1FD3">
        <w:t xml:space="preserve"> y depuración de aguas residuales, necesarias para el </w:t>
      </w:r>
      <w:r>
        <w:t>suministro domiciliario de agua, tal y como se muestra en el gráfico siguiente:</w:t>
      </w:r>
    </w:p>
    <w:p w:rsidR="002D3BD2" w:rsidRDefault="002D3BD2" w:rsidP="002D3BD2">
      <w:pPr>
        <w:pStyle w:val="texto"/>
        <w:tabs>
          <w:tab w:val="clear" w:pos="2835"/>
          <w:tab w:val="clear" w:pos="3969"/>
          <w:tab w:val="clear" w:pos="5103"/>
          <w:tab w:val="clear" w:pos="6237"/>
          <w:tab w:val="clear" w:pos="7371"/>
        </w:tabs>
        <w:ind w:hanging="142"/>
        <w:rPr>
          <w:szCs w:val="26"/>
          <w:lang w:val="es-ES"/>
        </w:rPr>
      </w:pPr>
      <w:r>
        <w:rPr>
          <w:noProof/>
          <w:lang w:val="es-ES" w:eastAsia="es-ES"/>
        </w:rPr>
        <mc:AlternateContent>
          <mc:Choice Requires="wps">
            <w:drawing>
              <wp:anchor distT="0" distB="0" distL="114300" distR="114300" simplePos="0" relativeHeight="251659776" behindDoc="0" locked="0" layoutInCell="1" allowOverlap="1" wp14:anchorId="163E1838" wp14:editId="6733CF4B">
                <wp:simplePos x="0" y="0"/>
                <wp:positionH relativeFrom="column">
                  <wp:posOffset>2105661</wp:posOffset>
                </wp:positionH>
                <wp:positionV relativeFrom="paragraph">
                  <wp:posOffset>1104900</wp:posOffset>
                </wp:positionV>
                <wp:extent cx="1657350" cy="1219200"/>
                <wp:effectExtent l="0" t="0" r="0" b="0"/>
                <wp:wrapNone/>
                <wp:docPr id="224" name="224 Elipse"/>
                <wp:cNvGraphicFramePr/>
                <a:graphic xmlns:a="http://schemas.openxmlformats.org/drawingml/2006/main">
                  <a:graphicData uri="http://schemas.microsoft.com/office/word/2010/wordprocessingShape">
                    <wps:wsp>
                      <wps:cNvSpPr/>
                      <wps:spPr>
                        <a:xfrm>
                          <a:off x="0" y="0"/>
                          <a:ext cx="1657350" cy="121920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24 Elipse" o:spid="_x0000_s1026" style="position:absolute;margin-left:165.8pt;margin-top:87pt;width:130.5pt;height: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" fillcolor="window" stroked="f" strokeweight="2pt"/>
            </w:pict>
          </mc:Fallback>
        </mc:AlternateContent>
      </w:r>
      <w:r>
        <w:rPr>
          <w:noProof/>
          <w:lang w:val="es-ES" w:eastAsia="es-ES"/>
        </w:rPr>
        <w:drawing>
          <wp:inline distT="0" distB="0" distL="0" distR="0" wp14:anchorId="49A45DDE" wp14:editId="41B1DD86">
            <wp:extent cx="6000676" cy="37338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522" t="39577" r="37807" b="11782"/>
                    <a:stretch/>
                  </pic:blipFill>
                  <pic:spPr bwMode="auto">
                    <a:xfrm>
                      <a:off x="0" y="0"/>
                      <a:ext cx="6000756" cy="3733850"/>
                    </a:xfrm>
                    <a:prstGeom prst="rect">
                      <a:avLst/>
                    </a:prstGeom>
                    <a:ln>
                      <a:noFill/>
                    </a:ln>
                    <a:extLst>
                      <a:ext uri="{53640926-AAD7-44D8-BBD7-CCE9431645EC}">
                        <a14:shadowObscured xmlns:a14="http://schemas.microsoft.com/office/drawing/2010/main"/>
                      </a:ext>
                    </a:extLst>
                  </pic:spPr>
                </pic:pic>
              </a:graphicData>
            </a:graphic>
          </wp:inline>
        </w:drawing>
      </w:r>
    </w:p>
    <w:p w:rsidR="002D3BD2" w:rsidRDefault="002D3BD2" w:rsidP="00381126">
      <w:pPr>
        <w:pStyle w:val="texto"/>
        <w:spacing w:before="240"/>
      </w:pPr>
      <w:r>
        <w:t>Como se observa, este proceso s</w:t>
      </w:r>
      <w:r w:rsidRPr="00AE1FD3">
        <w:t xml:space="preserve">upone </w:t>
      </w:r>
      <w:r>
        <w:t>devolver al medio natural</w:t>
      </w:r>
      <w:r w:rsidRPr="00AE1FD3">
        <w:t xml:space="preserve"> el agua ut</w:t>
      </w:r>
      <w:r w:rsidRPr="00AE1FD3">
        <w:t>i</w:t>
      </w:r>
      <w:r w:rsidRPr="00AE1FD3">
        <w:t>lizada en el abastecimiento a poblaciones, en las debidas condiciones de cal</w:t>
      </w:r>
      <w:r w:rsidRPr="00AE1FD3">
        <w:t>i</w:t>
      </w:r>
      <w:r w:rsidRPr="00AE1FD3">
        <w:t>dad química y biológica, para evitar un impacto</w:t>
      </w:r>
      <w:r>
        <w:t xml:space="preserve"> ambiental en el medio rece</w:t>
      </w:r>
      <w:r>
        <w:t>p</w:t>
      </w:r>
      <w:r>
        <w:t>tor.</w:t>
      </w:r>
    </w:p>
    <w:p w:rsidR="002D3BD2" w:rsidRDefault="002D3BD2" w:rsidP="002D3BD2">
      <w:pPr>
        <w:pStyle w:val="texto"/>
      </w:pPr>
      <w:r>
        <w:t>Las infraestructuras del ciclo integral del agua existentes actualmente en la mancomunidad son las siguientes:</w:t>
      </w:r>
    </w:p>
    <w:p w:rsidR="002D3BD2" w:rsidRPr="002D3BD2" w:rsidRDefault="002D3BD2" w:rsidP="002D3BD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2D3BD2">
        <w:rPr>
          <w:rFonts w:cs="Arial"/>
        </w:rPr>
        <w:t xml:space="preserve">Captaciones: embalse de Mairaga, </w:t>
      </w:r>
      <w:r w:rsidR="00AD3D56">
        <w:rPr>
          <w:rFonts w:cs="Arial"/>
        </w:rPr>
        <w:t>Acequia de Navarra</w:t>
      </w:r>
      <w:r w:rsidRPr="002D3BD2">
        <w:rPr>
          <w:rFonts w:cs="Arial"/>
        </w:rPr>
        <w:t xml:space="preserve"> y Canal de Navarra.</w:t>
      </w:r>
    </w:p>
    <w:p w:rsidR="002D3BD2" w:rsidRPr="002D3BD2" w:rsidRDefault="002D3BD2" w:rsidP="002D3BD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2D3BD2">
        <w:rPr>
          <w:rFonts w:cs="Arial"/>
        </w:rPr>
        <w:t>Tratamiento de agua: Estaciones de Tratamiento de Agua Potable (ETAP) de Olóriz, Larrate (Carcastillo) y La Pedrera (Tafalla).</w:t>
      </w:r>
    </w:p>
    <w:p w:rsidR="002D3BD2" w:rsidRPr="002D3BD2" w:rsidRDefault="009063AE" w:rsidP="002D3BD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Pr>
          <w:rFonts w:cs="Arial"/>
        </w:rPr>
        <w:t xml:space="preserve">Distribución y recolecta de aguas residuales </w:t>
      </w:r>
      <w:r w:rsidR="002D3BD2" w:rsidRPr="002D3BD2">
        <w:rPr>
          <w:rFonts w:cs="Arial"/>
        </w:rPr>
        <w:t>en los siguientes puntos: río Cidacos, río Aragón y Peralta.</w:t>
      </w:r>
    </w:p>
    <w:p w:rsidR="002D3BD2" w:rsidRPr="002D3BD2" w:rsidRDefault="002D3BD2" w:rsidP="002D3BD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2D3BD2">
        <w:rPr>
          <w:rFonts w:cs="Arial"/>
        </w:rPr>
        <w:lastRenderedPageBreak/>
        <w:t>Depuración: Estaciones Depuradoras de Aguas Residuales (EDAR) de B</w:t>
      </w:r>
      <w:r w:rsidRPr="002D3BD2">
        <w:rPr>
          <w:rFonts w:cs="Arial"/>
        </w:rPr>
        <w:t>a</w:t>
      </w:r>
      <w:r w:rsidRPr="002D3BD2">
        <w:rPr>
          <w:rFonts w:cs="Arial"/>
        </w:rPr>
        <w:t>rásoain-Garínoain, San Martín de Unx, Tafalla-Olite, Beire-Pitillas, Santacara-Mélida y Carcastillo-Murillo el Fruto.</w:t>
      </w:r>
    </w:p>
    <w:p w:rsidR="002D3BD2" w:rsidRDefault="002D3BD2" w:rsidP="002D3BD2">
      <w:pPr>
        <w:pStyle w:val="texto"/>
      </w:pPr>
      <w:r>
        <w:t>La plantilla orgánica de la mancomunidad aprobada para 2017 está compue</w:t>
      </w:r>
      <w:r>
        <w:t>s</w:t>
      </w:r>
      <w:r>
        <w:t>ta por 15 puestos de personal funcionario (estando todos ellos en activo) de d</w:t>
      </w:r>
      <w:r>
        <w:t>i</w:t>
      </w:r>
      <w:r>
        <w:t>ferente perfil (interventor, oficial administrativo, chófer, peón, etc.) y 12 pue</w:t>
      </w:r>
      <w:r>
        <w:t>s</w:t>
      </w:r>
      <w:r>
        <w:t xml:space="preserve">tos de personal laboral fijo (estando seis en activo y seis vacantes) dedicado a diversas </w:t>
      </w:r>
      <w:r w:rsidR="009063AE">
        <w:t>funciones</w:t>
      </w:r>
      <w:r>
        <w:t xml:space="preserve"> (ingeniero técnico, coordinador residuos, etc.). </w:t>
      </w:r>
    </w:p>
    <w:p w:rsidR="002D3BD2" w:rsidRDefault="002D3BD2" w:rsidP="002D3BD2">
      <w:pPr>
        <w:pStyle w:val="texto"/>
      </w:pPr>
      <w:r>
        <w:t>Según los estatutos de la mancomunidad, existen tres órganos directivos: la Asamblea General formada por 27 representantes de los municipios, la Pres</w:t>
      </w:r>
      <w:r>
        <w:t>i</w:t>
      </w:r>
      <w:r>
        <w:t xml:space="preserve">dencia y Vicepresidencias, y la Comisión Permanente. </w:t>
      </w:r>
    </w:p>
    <w:p w:rsidR="002D3BD2" w:rsidRPr="00C20DC0" w:rsidRDefault="002D3BD2" w:rsidP="002D3BD2">
      <w:pPr>
        <w:pStyle w:val="texto"/>
      </w:pPr>
      <w:r>
        <w:t>Los representantes de cada municipio son</w:t>
      </w:r>
      <w:r w:rsidRPr="005E2493">
        <w:t xml:space="preserve"> desi</w:t>
      </w:r>
      <w:r>
        <w:t>gnados por los p</w:t>
      </w:r>
      <w:r w:rsidRPr="005E2493">
        <w:t xml:space="preserve">lenos de sus </w:t>
      </w:r>
      <w:r>
        <w:t>c</w:t>
      </w:r>
      <w:r w:rsidRPr="005E2493">
        <w:t>orporaciones</w:t>
      </w:r>
      <w:r>
        <w:t>, teniendo en cuenta lo siguiente: t</w:t>
      </w:r>
      <w:r w:rsidRPr="00C20DC0">
        <w:t>odos los ayuntamientos int</w:t>
      </w:r>
      <w:r w:rsidRPr="00C20DC0">
        <w:t>e</w:t>
      </w:r>
      <w:r w:rsidRPr="00C20DC0">
        <w:t>grados tendrán, como mínimo, una persona representante. A cada ayuntamiento cuya población total esté comprendida entre los 3.000 y los 5.000 habitantes, le corresponderá otra persona adicional; si la población total está comprendida entre los 5.001 y los 8.000 habitantes le corresponderán dos personas adicion</w:t>
      </w:r>
      <w:r w:rsidRPr="00C20DC0">
        <w:t>a</w:t>
      </w:r>
      <w:r w:rsidRPr="00C20DC0">
        <w:t>les, y si la población su</w:t>
      </w:r>
      <w:r>
        <w:t>pera</w:t>
      </w:r>
      <w:r w:rsidRPr="00C20DC0">
        <w:t xml:space="preserve"> los 8.001 habitantes</w:t>
      </w:r>
      <w:r>
        <w:t>,</w:t>
      </w:r>
      <w:r w:rsidRPr="00C20DC0">
        <w:t xml:space="preserve"> le corresponderán cuatro pe</w:t>
      </w:r>
      <w:r w:rsidRPr="00C20DC0">
        <w:t>r</w:t>
      </w:r>
      <w:r w:rsidRPr="00C20DC0">
        <w:t xml:space="preserve">sonas </w:t>
      </w:r>
      <w:r>
        <w:t>más.</w:t>
      </w:r>
      <w:r w:rsidRPr="00C20DC0">
        <w:t xml:space="preserve"> </w:t>
      </w:r>
    </w:p>
    <w:p w:rsidR="002D3BD2" w:rsidRPr="001371E6" w:rsidRDefault="002D3BD2" w:rsidP="002D3BD2">
      <w:pPr>
        <w:pStyle w:val="texto"/>
        <w:rPr>
          <w:lang w:val="es-ES"/>
        </w:rPr>
      </w:pPr>
      <w:r w:rsidRPr="001371E6">
        <w:rPr>
          <w:lang w:val="es-ES"/>
        </w:rPr>
        <w:t xml:space="preserve">El voto de </w:t>
      </w:r>
      <w:r>
        <w:rPr>
          <w:lang w:val="es-ES"/>
        </w:rPr>
        <w:t>cada representante</w:t>
      </w:r>
      <w:r w:rsidRPr="001371E6">
        <w:rPr>
          <w:lang w:val="es-ES"/>
        </w:rPr>
        <w:t xml:space="preserve"> en la Asamblea General se pondera en función del porcentaje que suponga la población del municipio al que representen</w:t>
      </w:r>
      <w:r>
        <w:rPr>
          <w:lang w:val="es-ES"/>
        </w:rPr>
        <w:t>,</w:t>
      </w:r>
      <w:r w:rsidRPr="001371E6">
        <w:rPr>
          <w:lang w:val="es-ES"/>
        </w:rPr>
        <w:t xml:space="preserve"> re</w:t>
      </w:r>
      <w:r w:rsidRPr="001371E6">
        <w:rPr>
          <w:lang w:val="es-ES"/>
        </w:rPr>
        <w:t>s</w:t>
      </w:r>
      <w:r w:rsidRPr="001371E6">
        <w:rPr>
          <w:lang w:val="es-ES"/>
        </w:rPr>
        <w:t xml:space="preserve">pecto </w:t>
      </w:r>
      <w:r>
        <w:rPr>
          <w:lang w:val="es-ES"/>
        </w:rPr>
        <w:t>al total</w:t>
      </w:r>
      <w:r w:rsidRPr="001371E6">
        <w:rPr>
          <w:lang w:val="es-ES"/>
        </w:rPr>
        <w:t xml:space="preserve"> de la población de los municipios integrados en la </w:t>
      </w:r>
      <w:r>
        <w:rPr>
          <w:lang w:val="es-ES"/>
        </w:rPr>
        <w:t>m</w:t>
      </w:r>
      <w:r w:rsidRPr="001371E6">
        <w:rPr>
          <w:lang w:val="es-ES"/>
        </w:rPr>
        <w:t>ancomun</w:t>
      </w:r>
      <w:r w:rsidRPr="001371E6">
        <w:rPr>
          <w:lang w:val="es-ES"/>
        </w:rPr>
        <w:t>i</w:t>
      </w:r>
      <w:r w:rsidRPr="001371E6">
        <w:rPr>
          <w:lang w:val="es-ES"/>
        </w:rPr>
        <w:t xml:space="preserve">dad. En los municipios a los que corresponda más de </w:t>
      </w:r>
      <w:r>
        <w:rPr>
          <w:lang w:val="es-ES"/>
        </w:rPr>
        <w:t>un</w:t>
      </w:r>
      <w:r w:rsidRPr="001371E6">
        <w:rPr>
          <w:lang w:val="es-ES"/>
        </w:rPr>
        <w:t xml:space="preserve"> representante, el po</w:t>
      </w:r>
      <w:r w:rsidRPr="001371E6">
        <w:rPr>
          <w:lang w:val="es-ES"/>
        </w:rPr>
        <w:t>r</w:t>
      </w:r>
      <w:r w:rsidRPr="001371E6">
        <w:rPr>
          <w:lang w:val="es-ES"/>
        </w:rPr>
        <w:t xml:space="preserve">centaje se distribuirá libremente entre </w:t>
      </w:r>
      <w:r>
        <w:rPr>
          <w:lang w:val="es-ES"/>
        </w:rPr>
        <w:t>ellos por la c</w:t>
      </w:r>
      <w:r w:rsidRPr="001371E6">
        <w:rPr>
          <w:lang w:val="es-ES"/>
        </w:rPr>
        <w:t>orporación que los designe como personas electas en la Asamblea General.</w:t>
      </w:r>
    </w:p>
    <w:p w:rsidR="002D3BD2" w:rsidRPr="002D3BD2" w:rsidRDefault="002D3BD2" w:rsidP="002D3BD2">
      <w:pPr>
        <w:pStyle w:val="atitulo2"/>
        <w:spacing w:before="240"/>
      </w:pPr>
      <w:bookmarkStart w:id="17" w:name="_Toc499802365"/>
      <w:bookmarkStart w:id="18" w:name="_Toc505686768"/>
      <w:r w:rsidRPr="002D3BD2">
        <w:t>II.2. Plan Director de abastecimiento de agua en alta</w:t>
      </w:r>
      <w:bookmarkEnd w:id="17"/>
      <w:bookmarkEnd w:id="18"/>
      <w:r w:rsidRPr="002D3BD2">
        <w:t xml:space="preserve"> </w:t>
      </w:r>
    </w:p>
    <w:p w:rsidR="002D3BD2" w:rsidRPr="002D3BD2" w:rsidRDefault="002D3BD2" w:rsidP="002D3BD2">
      <w:pPr>
        <w:pStyle w:val="texto"/>
      </w:pPr>
      <w:r w:rsidRPr="002D3BD2">
        <w:t>El artículo 2º de la Ley Foral 9/1988, por la que se reguló el Plan Trienal de Infraestructuras Locales, indicaba que a fin de asegurar la debida coordinación en la actuación de las entidades locales de Navarra, se declaraban de interés comunitario, y en consecuencia, supralocal, determinadas funciones y activid</w:t>
      </w:r>
      <w:r w:rsidRPr="002D3BD2">
        <w:t>a</w:t>
      </w:r>
      <w:r w:rsidRPr="002D3BD2">
        <w:t>des de los ayuntamientos y concejos, entre los que se encontraba el abastec</w:t>
      </w:r>
      <w:r w:rsidRPr="002D3BD2">
        <w:t>i</w:t>
      </w:r>
      <w:r w:rsidRPr="002D3BD2">
        <w:t xml:space="preserve">miento de agua en alta del PD. </w:t>
      </w:r>
    </w:p>
    <w:p w:rsidR="002D3BD2" w:rsidRPr="002D3BD2" w:rsidRDefault="002D3BD2" w:rsidP="002D3BD2">
      <w:pPr>
        <w:pStyle w:val="texto"/>
      </w:pPr>
      <w:r w:rsidRPr="002D3BD2">
        <w:t>Ya en el preámbulo de la ley citada se determinaba que los planes directores surgen como una necesidad de asegurar la coherencia en la actuación de las Administraciones Públicas de Navarra; estos instrumentos se definen como elementos planificadores que deben incluir las soluciones más adecuadas para aquellas infraestructuras de carácter supralocal que requieran una sistemática técnica unificada, debiéndose coordinar su gestión entre el Gobierno de Nav</w:t>
      </w:r>
      <w:r w:rsidRPr="002D3BD2">
        <w:t>a</w:t>
      </w:r>
      <w:r w:rsidRPr="002D3BD2">
        <w:t xml:space="preserve">rra y las entidades locales correspondientes. </w:t>
      </w:r>
    </w:p>
    <w:p w:rsidR="002D3BD2" w:rsidRPr="002D3BD2" w:rsidRDefault="002D3BD2" w:rsidP="002D3BD2">
      <w:pPr>
        <w:pStyle w:val="texto"/>
      </w:pPr>
      <w:r w:rsidRPr="002D3BD2">
        <w:lastRenderedPageBreak/>
        <w:t>En febrero de 1989, se aprobó por Acuerdo de Gobierno el PD de abastec</w:t>
      </w:r>
      <w:r w:rsidRPr="002D3BD2">
        <w:t>i</w:t>
      </w:r>
      <w:r w:rsidRPr="002D3BD2">
        <w:t>miento de agua en alta resultado de diversos estudios y proyectos elaborados por técnicos del Gobierno de Navarra</w:t>
      </w:r>
      <w:r w:rsidR="00AD3D56">
        <w:t>, y se ha ido desarrollando y extendiendo por distintas zonas</w:t>
      </w:r>
      <w:r w:rsidRPr="002D3BD2">
        <w:t xml:space="preserve">. </w:t>
      </w:r>
    </w:p>
    <w:p w:rsidR="002D3BD2" w:rsidRPr="002D3BD2" w:rsidRDefault="009063AE" w:rsidP="002D3BD2">
      <w:pPr>
        <w:pStyle w:val="texto"/>
      </w:pPr>
      <w:r>
        <w:t>Durante estos años, y hasta la actualidad</w:t>
      </w:r>
      <w:r w:rsidR="002D3BD2" w:rsidRPr="002D3BD2">
        <w:t>, la mancomunidad abastec</w:t>
      </w:r>
      <w:r w:rsidR="00381126">
        <w:t>e</w:t>
      </w:r>
      <w:r w:rsidR="002D3BD2" w:rsidRPr="002D3BD2">
        <w:t xml:space="preserve"> a sus localidades con el agua procedente del embalse de Mairaga tratada en la ETAP de Olóriz, disponiendo además de los pozos de los manantiales del Escal y del Carrascal. </w:t>
      </w:r>
    </w:p>
    <w:p w:rsidR="002D3BD2" w:rsidRPr="002D3BD2" w:rsidRDefault="002D3BD2" w:rsidP="002D3BD2">
      <w:pPr>
        <w:pStyle w:val="texto"/>
      </w:pPr>
      <w:r w:rsidRPr="002D3BD2">
        <w:t>La ETAP de Olóriz se construyó en 1991 y precisa de personal para gesti</w:t>
      </w:r>
      <w:r w:rsidRPr="002D3BD2">
        <w:t>o</w:t>
      </w:r>
      <w:r w:rsidRPr="002D3BD2">
        <w:t>nar las tareas que se han de llevar a cabo, ya que la mayoría de estas activid</w:t>
      </w:r>
      <w:r w:rsidRPr="002D3BD2">
        <w:t>a</w:t>
      </w:r>
      <w:r w:rsidRPr="002D3BD2">
        <w:t xml:space="preserve">des no están automatizadas. Actualmente una empresa externa contratada por la mancomunidad realiza este servicio con cinco </w:t>
      </w:r>
      <w:r w:rsidR="009063AE">
        <w:t>personas</w:t>
      </w:r>
      <w:r w:rsidRPr="002D3BD2">
        <w:t xml:space="preserve">.  </w:t>
      </w:r>
    </w:p>
    <w:p w:rsidR="002D3BD2" w:rsidRDefault="002D3BD2" w:rsidP="002D3BD2">
      <w:pPr>
        <w:pStyle w:val="texto"/>
        <w:tabs>
          <w:tab w:val="clear" w:pos="2835"/>
          <w:tab w:val="clear" w:pos="3969"/>
          <w:tab w:val="clear" w:pos="5103"/>
          <w:tab w:val="clear" w:pos="6237"/>
          <w:tab w:val="clear" w:pos="7371"/>
        </w:tabs>
        <w:spacing w:before="240"/>
        <w:jc w:val="center"/>
        <w:rPr>
          <w:szCs w:val="26"/>
        </w:rPr>
      </w:pPr>
      <w:r>
        <w:rPr>
          <w:szCs w:val="26"/>
        </w:rPr>
        <w:t>Instalaciones de la ETAP de Olóriz</w:t>
      </w:r>
    </w:p>
    <w:p w:rsidR="002D3BD2" w:rsidRDefault="002D3BD2" w:rsidP="002D3BD2">
      <w:pPr>
        <w:pStyle w:val="texto"/>
        <w:tabs>
          <w:tab w:val="clear" w:pos="2835"/>
          <w:tab w:val="clear" w:pos="3969"/>
          <w:tab w:val="clear" w:pos="5103"/>
          <w:tab w:val="clear" w:pos="6237"/>
          <w:tab w:val="clear" w:pos="7371"/>
        </w:tabs>
        <w:spacing w:before="120"/>
        <w:ind w:firstLine="0"/>
        <w:rPr>
          <w:szCs w:val="26"/>
        </w:rPr>
      </w:pPr>
      <w:r>
        <w:rPr>
          <w:noProof/>
          <w:szCs w:val="26"/>
          <w:lang w:val="es-ES" w:eastAsia="es-ES"/>
        </w:rPr>
        <w:drawing>
          <wp:inline distT="0" distB="0" distL="0" distR="0" wp14:anchorId="735362C0" wp14:editId="61006439">
            <wp:extent cx="5581015" cy="3719370"/>
            <wp:effectExtent l="0" t="0" r="635" b="0"/>
            <wp:docPr id="8" name="Imagen 8" descr="S:\COMUN\KAREN\Fotos Mairaga\Potabilizadora Olóriz\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UN\KAREN\Fotos Mairaga\Potabilizadora Olóriz\IMG_0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1015" cy="3719370"/>
                    </a:xfrm>
                    <a:prstGeom prst="rect">
                      <a:avLst/>
                    </a:prstGeom>
                    <a:noFill/>
                    <a:ln>
                      <a:noFill/>
                    </a:ln>
                  </pic:spPr>
                </pic:pic>
              </a:graphicData>
            </a:graphic>
          </wp:inline>
        </w:drawing>
      </w:r>
    </w:p>
    <w:p w:rsidR="002D3BD2" w:rsidRPr="002D3BD2" w:rsidRDefault="002D3BD2" w:rsidP="002D3BD2">
      <w:pPr>
        <w:pStyle w:val="texto"/>
      </w:pPr>
    </w:p>
    <w:p w:rsidR="002D3BD2" w:rsidRDefault="002D3BD2" w:rsidP="002D3BD2">
      <w:pPr>
        <w:pStyle w:val="texto"/>
        <w:tabs>
          <w:tab w:val="clear" w:pos="2835"/>
          <w:tab w:val="clear" w:pos="3969"/>
          <w:tab w:val="clear" w:pos="5103"/>
          <w:tab w:val="clear" w:pos="6237"/>
          <w:tab w:val="clear" w:pos="7371"/>
        </w:tabs>
        <w:spacing w:before="120"/>
        <w:ind w:firstLine="0"/>
        <w:rPr>
          <w:szCs w:val="26"/>
        </w:rPr>
      </w:pPr>
      <w:r>
        <w:rPr>
          <w:noProof/>
          <w:szCs w:val="26"/>
          <w:lang w:val="es-ES" w:eastAsia="es-ES"/>
        </w:rPr>
        <w:lastRenderedPageBreak/>
        <w:drawing>
          <wp:inline distT="0" distB="0" distL="0" distR="0" wp14:anchorId="6711BDF0" wp14:editId="2EB09B39">
            <wp:extent cx="5581015" cy="3719370"/>
            <wp:effectExtent l="0" t="0" r="635" b="0"/>
            <wp:docPr id="9" name="Imagen 9" descr="S:\COMUN\KAREN\Fotos Mairaga\Potabilizadora Olóriz\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MUN\KAREN\Fotos Mairaga\Potabilizadora Olóriz\IMG_01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015" cy="3719370"/>
                    </a:xfrm>
                    <a:prstGeom prst="rect">
                      <a:avLst/>
                    </a:prstGeom>
                    <a:noFill/>
                    <a:ln>
                      <a:noFill/>
                    </a:ln>
                  </pic:spPr>
                </pic:pic>
              </a:graphicData>
            </a:graphic>
          </wp:inline>
        </w:drawing>
      </w:r>
    </w:p>
    <w:p w:rsidR="002D3BD2" w:rsidRPr="002D3BD2" w:rsidRDefault="002D3BD2" w:rsidP="002D3BD2">
      <w:pPr>
        <w:pStyle w:val="texto"/>
        <w:spacing w:before="240"/>
      </w:pPr>
      <w:r w:rsidRPr="002D3BD2">
        <w:t xml:space="preserve">En febrero de 2006, </w:t>
      </w:r>
      <w:r w:rsidR="009063AE">
        <w:t>el</w:t>
      </w:r>
      <w:r w:rsidRPr="002D3BD2">
        <w:t xml:space="preserve"> Departamento de Administración Local propuso</w:t>
      </w:r>
      <w:r w:rsidR="00381126">
        <w:t>,</w:t>
      </w:r>
      <w:r w:rsidR="009063AE">
        <w:t xml:space="preserve"> en un informe técnico</w:t>
      </w:r>
      <w:r w:rsidR="00381126">
        <w:t>,</w:t>
      </w:r>
      <w:r w:rsidRPr="002D3BD2">
        <w:t xml:space="preserve"> una modificación del PD para las zonas de Mairaga, Bajo Arga y Aragón (estas dos zonas formadas</w:t>
      </w:r>
      <w:r w:rsidR="00AD3D56">
        <w:t>, entre otras,</w:t>
      </w:r>
      <w:r w:rsidRPr="002D3BD2">
        <w:t xml:space="preserve"> por las localidades de Funes, Falces, Marcilla, Milagro y Villafranca), aludiendo a razones energét</w:t>
      </w:r>
      <w:r w:rsidRPr="002D3BD2">
        <w:t>i</w:t>
      </w:r>
      <w:r w:rsidRPr="002D3BD2">
        <w:t xml:space="preserve">cas, económicas y de economía de escala ante la magnitud de la población que se pretendía abastecer. </w:t>
      </w:r>
    </w:p>
    <w:p w:rsidR="002D3BD2" w:rsidRPr="002D3BD2" w:rsidRDefault="002D3BD2" w:rsidP="002D3BD2">
      <w:pPr>
        <w:pStyle w:val="texto"/>
      </w:pPr>
      <w:r w:rsidRPr="002D3BD2">
        <w:t>Se planteó una solución con un coste estimado de 34,2 millones de euros c</w:t>
      </w:r>
      <w:r w:rsidRPr="002D3BD2">
        <w:t>u</w:t>
      </w:r>
      <w:r w:rsidRPr="002D3BD2">
        <w:t>yos principales elementos eran los siguientes:</w:t>
      </w:r>
    </w:p>
    <w:p w:rsidR="002D3BD2" w:rsidRPr="00175649" w:rsidRDefault="002D3BD2" w:rsidP="0017564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175649">
        <w:rPr>
          <w:rFonts w:cs="Arial"/>
        </w:rPr>
        <w:t>Abastecimiento conjunto desde el Canal de Navarra mediante una toma i</w:t>
      </w:r>
      <w:r w:rsidRPr="00175649">
        <w:rPr>
          <w:rFonts w:cs="Arial"/>
        </w:rPr>
        <w:t>n</w:t>
      </w:r>
      <w:r w:rsidRPr="00175649">
        <w:rPr>
          <w:rFonts w:cs="Arial"/>
        </w:rPr>
        <w:t>dependiente en las inmediaciones de Tafalla.</w:t>
      </w:r>
    </w:p>
    <w:p w:rsidR="002D3BD2" w:rsidRPr="00175649" w:rsidRDefault="002D3BD2" w:rsidP="0017564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175649">
        <w:rPr>
          <w:rFonts w:cs="Arial"/>
        </w:rPr>
        <w:t>Construcción por fases de una ETAP en La Pedrera con su depósito de agua tratada y una capacidad final de bombeo máximo de 300 litros por segu</w:t>
      </w:r>
      <w:r w:rsidRPr="00175649">
        <w:rPr>
          <w:rFonts w:cs="Arial"/>
        </w:rPr>
        <w:t>n</w:t>
      </w:r>
      <w:r w:rsidRPr="00175649">
        <w:rPr>
          <w:rFonts w:cs="Arial"/>
        </w:rPr>
        <w:t>do.</w:t>
      </w:r>
    </w:p>
    <w:p w:rsidR="002D3BD2" w:rsidRPr="00175649" w:rsidRDefault="002D3BD2" w:rsidP="0017564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175649">
        <w:rPr>
          <w:rFonts w:cs="Arial"/>
        </w:rPr>
        <w:t>Bombeo desde este depósito al de La Pedrera desde donde se abastecería por gravedad a Tafalla y mediante bombeos a la zona norte.</w:t>
      </w:r>
    </w:p>
    <w:p w:rsidR="002D3BD2" w:rsidRPr="00175649" w:rsidRDefault="002D3BD2" w:rsidP="0017564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175649">
        <w:rPr>
          <w:rFonts w:cs="Arial"/>
        </w:rPr>
        <w:t>Ejecución de tramos de conducción general hasta conectar por un lado con las conducciones existentes en la Mancomunidad del Valle del Aragón, y por otro lado, previa derivación a Marcilla, con las tuberías existentes de Falces y Peralta desde donde se abastecería también a Funes, Villafranca y Milagro.</w:t>
      </w:r>
    </w:p>
    <w:p w:rsidR="00306939" w:rsidRPr="00306939" w:rsidRDefault="009063AE" w:rsidP="00306939">
      <w:pPr>
        <w:pStyle w:val="texto"/>
      </w:pPr>
      <w:r>
        <w:lastRenderedPageBreak/>
        <w:t>El informe técnico citado especificaba</w:t>
      </w:r>
      <w:r w:rsidR="00306939" w:rsidRPr="00306939">
        <w:t xml:space="preserve"> expresamente que, si bien todas las acciones debían ir encaminadas a este objetivo, el coste de la inversión era si</w:t>
      </w:r>
      <w:r w:rsidR="00306939" w:rsidRPr="00306939">
        <w:t>g</w:t>
      </w:r>
      <w:r w:rsidR="00306939" w:rsidRPr="00306939">
        <w:t>nificativamente alto, y existían incertidumbres e incógnitas que dificultaban la definición concreta del calendario de actuaciones; se concluía aconsejando que se realizara un estudio más detallado al respecto. Además, se consideró prior</w:t>
      </w:r>
      <w:r w:rsidR="00306939" w:rsidRPr="00306939">
        <w:t>i</w:t>
      </w:r>
      <w:r w:rsidR="00306939" w:rsidRPr="00306939">
        <w:t xml:space="preserve">tario comenzar con la ejecución de los tramos de conducciones y retrasar en la medida de lo posible la inversión en la toma del Canal de Navarra y su planta de tratamiento.  </w:t>
      </w:r>
    </w:p>
    <w:p w:rsidR="00306939" w:rsidRPr="00306939" w:rsidRDefault="009063AE" w:rsidP="00306939">
      <w:pPr>
        <w:pStyle w:val="texto"/>
      </w:pPr>
      <w:r>
        <w:t>Posteriormente</w:t>
      </w:r>
      <w:r w:rsidR="00306939" w:rsidRPr="00306939">
        <w:t>, la Orden Foral 289/2006 del Consejero de Administración Local, inició el procedimiento de modificación del PD para las zonas de Mair</w:t>
      </w:r>
      <w:r w:rsidR="00306939" w:rsidRPr="00306939">
        <w:t>a</w:t>
      </w:r>
      <w:r w:rsidR="00306939" w:rsidRPr="00306939">
        <w:t xml:space="preserve">ga, Bajo Arga y Aragón. </w:t>
      </w:r>
    </w:p>
    <w:p w:rsidR="00306939" w:rsidRPr="00306939" w:rsidRDefault="00306939" w:rsidP="00306939">
      <w:pPr>
        <w:pStyle w:val="texto"/>
      </w:pPr>
      <w:r w:rsidRPr="00306939">
        <w:t>En febrero de 2007 se contrató a una empresa externa para que realizara la ampliación del estudio de soluciones de abastecimiento de agua para estas z</w:t>
      </w:r>
      <w:r w:rsidRPr="00306939">
        <w:t>o</w:t>
      </w:r>
      <w:r w:rsidRPr="00306939">
        <w:t>nas. A finales de 2007, se presenta el resultado de este trabajo en el que se co</w:t>
      </w:r>
      <w:r w:rsidRPr="00306939">
        <w:t>n</w:t>
      </w:r>
      <w:r w:rsidRPr="00306939">
        <w:t>cluye que la mejor alternativa es la expuesta anteriormente, y se elabora un c</w:t>
      </w:r>
      <w:r w:rsidRPr="00306939">
        <w:t>a</w:t>
      </w:r>
      <w:r w:rsidRPr="00306939">
        <w:t xml:space="preserve">lendario de actuaciones por fases ajustado a los Planes de Inversiones Locales (PIL) que se realizan cada cuatro años. </w:t>
      </w:r>
    </w:p>
    <w:p w:rsidR="00306939" w:rsidRPr="00306939" w:rsidRDefault="00306939" w:rsidP="00306939">
      <w:pPr>
        <w:pStyle w:val="texto"/>
      </w:pPr>
      <w:r w:rsidRPr="00306939">
        <w:t>Se estimó una ejecución en 12 años, divididos en tres fases consecutivas, de manera que al finalizar los tramos planteados en la fase 3, con la nueva ETAP de Tafalla en marcha y el suministro desde el Canal de Navarra, quedaba as</w:t>
      </w:r>
      <w:r w:rsidRPr="00306939">
        <w:t>e</w:t>
      </w:r>
      <w:r w:rsidRPr="00306939">
        <w:t>gurado el suministro a todos los municipios incluidos en el ámbito de actu</w:t>
      </w:r>
      <w:r w:rsidRPr="00306939">
        <w:t>a</w:t>
      </w:r>
      <w:r w:rsidRPr="00306939">
        <w:t>ción.</w:t>
      </w:r>
    </w:p>
    <w:p w:rsidR="00306939" w:rsidRPr="00306939" w:rsidRDefault="00306939" w:rsidP="00306939">
      <w:pPr>
        <w:pStyle w:val="texto"/>
      </w:pPr>
      <w:r w:rsidRPr="00306939">
        <w:t>En el periodo 20</w:t>
      </w:r>
      <w:r w:rsidR="00665384">
        <w:t>10</w:t>
      </w:r>
      <w:r w:rsidRPr="00306939">
        <w:t>-2017 destacamos los siguientes hechos:</w:t>
      </w:r>
    </w:p>
    <w:p w:rsidR="00306939" w:rsidRPr="00306939" w:rsidRDefault="00306939" w:rsidP="0030693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306939">
        <w:rPr>
          <w:rFonts w:cs="Arial"/>
        </w:rPr>
        <w:t>En 2010, se firmaron convenios con las localidades de Marcilla, Villafra</w:t>
      </w:r>
      <w:r w:rsidRPr="00306939">
        <w:rPr>
          <w:rFonts w:cs="Arial"/>
        </w:rPr>
        <w:t>n</w:t>
      </w:r>
      <w:r w:rsidRPr="00306939">
        <w:rPr>
          <w:rFonts w:cs="Arial"/>
        </w:rPr>
        <w:t>ca y Falces (Funes y Milagro se negaron) por los que se comprometían a part</w:t>
      </w:r>
      <w:r w:rsidRPr="00306939">
        <w:rPr>
          <w:rFonts w:cs="Arial"/>
        </w:rPr>
        <w:t>i</w:t>
      </w:r>
      <w:r w:rsidRPr="00306939">
        <w:rPr>
          <w:rFonts w:cs="Arial"/>
        </w:rPr>
        <w:t>cipar en la ejecución y financiación de las obras necesarias para el abastec</w:t>
      </w:r>
      <w:r w:rsidRPr="00306939">
        <w:rPr>
          <w:rFonts w:cs="Arial"/>
        </w:rPr>
        <w:t>i</w:t>
      </w:r>
      <w:r w:rsidRPr="00306939">
        <w:rPr>
          <w:rFonts w:cs="Arial"/>
        </w:rPr>
        <w:t xml:space="preserve">miento de agua en alta a las localidades de Falces, Funes, Marcilla, Milagro, Peralta y Villafranca, según lo previsto en el PD. </w:t>
      </w:r>
    </w:p>
    <w:p w:rsidR="00306939" w:rsidRPr="00306939" w:rsidRDefault="00306939" w:rsidP="00306939">
      <w:pPr>
        <w:pStyle w:val="texto"/>
      </w:pPr>
      <w:r w:rsidRPr="00306939">
        <w:t xml:space="preserve">Según los convenios, las cargas correspondientes a Funes, Milagro y Peralta serían asumidas inicialmente por la mancomunidad, y en el caso de Funes y Milagro, se repercutirían posteriormente cuando solicitaran su incorporación al abastecimiento. </w:t>
      </w:r>
    </w:p>
    <w:p w:rsidR="00306939" w:rsidRDefault="00306939" w:rsidP="0030693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306939">
        <w:rPr>
          <w:rFonts w:cs="Arial"/>
        </w:rPr>
        <w:t>En la primera mitad del año 2012, la mancomunidad ante la sequía padec</w:t>
      </w:r>
      <w:r w:rsidRPr="00306939">
        <w:rPr>
          <w:rFonts w:cs="Arial"/>
        </w:rPr>
        <w:t>i</w:t>
      </w:r>
      <w:r w:rsidRPr="00306939">
        <w:rPr>
          <w:rFonts w:cs="Arial"/>
        </w:rPr>
        <w:t>da, se vio obligada a tomar agua del Canal de Navarra con una toma provisi</w:t>
      </w:r>
      <w:r w:rsidRPr="00306939">
        <w:rPr>
          <w:rFonts w:cs="Arial"/>
        </w:rPr>
        <w:t>o</w:t>
      </w:r>
      <w:r w:rsidRPr="00306939">
        <w:rPr>
          <w:rFonts w:cs="Arial"/>
        </w:rPr>
        <w:t>nal que se puede observar en la siguiente imagen:</w:t>
      </w:r>
    </w:p>
    <w:p w:rsidR="00094055" w:rsidRDefault="00094055" w:rsidP="00094055">
      <w:pPr>
        <w:pStyle w:val="texto"/>
        <w:tabs>
          <w:tab w:val="clear" w:pos="2835"/>
          <w:tab w:val="clear" w:pos="3969"/>
          <w:tab w:val="clear" w:pos="5103"/>
          <w:tab w:val="clear" w:pos="6237"/>
          <w:tab w:val="clear" w:pos="7371"/>
          <w:tab w:val="left" w:pos="480"/>
          <w:tab w:val="num" w:pos="720"/>
          <w:tab w:val="num" w:pos="1320"/>
          <w:tab w:val="num" w:pos="1948"/>
        </w:tabs>
        <w:rPr>
          <w:rFonts w:cs="Arial"/>
        </w:rPr>
      </w:pPr>
    </w:p>
    <w:p w:rsidR="00094055" w:rsidRDefault="00094055" w:rsidP="00094055">
      <w:pPr>
        <w:pStyle w:val="texto"/>
        <w:tabs>
          <w:tab w:val="clear" w:pos="2835"/>
          <w:tab w:val="clear" w:pos="3969"/>
          <w:tab w:val="clear" w:pos="5103"/>
          <w:tab w:val="clear" w:pos="6237"/>
          <w:tab w:val="clear" w:pos="7371"/>
          <w:tab w:val="left" w:pos="480"/>
          <w:tab w:val="num" w:pos="720"/>
          <w:tab w:val="num" w:pos="1320"/>
          <w:tab w:val="num" w:pos="1948"/>
        </w:tabs>
        <w:rPr>
          <w:rFonts w:cs="Arial"/>
        </w:rPr>
      </w:pPr>
    </w:p>
    <w:p w:rsidR="00094055" w:rsidRDefault="00094055" w:rsidP="00094055">
      <w:pPr>
        <w:pStyle w:val="texto"/>
        <w:tabs>
          <w:tab w:val="clear" w:pos="2835"/>
          <w:tab w:val="clear" w:pos="3969"/>
          <w:tab w:val="clear" w:pos="5103"/>
          <w:tab w:val="clear" w:pos="6237"/>
          <w:tab w:val="clear" w:pos="7371"/>
          <w:tab w:val="left" w:pos="480"/>
          <w:tab w:val="num" w:pos="720"/>
          <w:tab w:val="num" w:pos="1320"/>
          <w:tab w:val="num" w:pos="1948"/>
        </w:tabs>
        <w:rPr>
          <w:rFonts w:cs="Arial"/>
        </w:rPr>
      </w:pPr>
    </w:p>
    <w:p w:rsidR="00094055" w:rsidRDefault="00094055" w:rsidP="00094055">
      <w:pPr>
        <w:pStyle w:val="texto"/>
        <w:tabs>
          <w:tab w:val="clear" w:pos="2835"/>
          <w:tab w:val="clear" w:pos="3969"/>
          <w:tab w:val="clear" w:pos="5103"/>
          <w:tab w:val="clear" w:pos="6237"/>
          <w:tab w:val="clear" w:pos="7371"/>
          <w:tab w:val="left" w:pos="567"/>
        </w:tabs>
        <w:spacing w:after="240"/>
        <w:ind w:firstLine="0"/>
        <w:jc w:val="center"/>
        <w:rPr>
          <w:szCs w:val="26"/>
        </w:rPr>
      </w:pPr>
      <w:r>
        <w:rPr>
          <w:szCs w:val="26"/>
        </w:rPr>
        <w:lastRenderedPageBreak/>
        <w:t>Toma provisional de agua del Canal de Navarra</w:t>
      </w:r>
    </w:p>
    <w:p w:rsidR="00306939" w:rsidRDefault="00306939" w:rsidP="00306939">
      <w:pPr>
        <w:pStyle w:val="texto"/>
        <w:tabs>
          <w:tab w:val="clear" w:pos="2835"/>
          <w:tab w:val="clear" w:pos="3969"/>
          <w:tab w:val="clear" w:pos="5103"/>
          <w:tab w:val="clear" w:pos="6237"/>
          <w:tab w:val="clear" w:pos="7371"/>
          <w:tab w:val="left" w:pos="567"/>
        </w:tabs>
        <w:spacing w:before="120"/>
        <w:ind w:left="14" w:firstLine="0"/>
        <w:rPr>
          <w:szCs w:val="26"/>
        </w:rPr>
      </w:pPr>
      <w:r>
        <w:rPr>
          <w:noProof/>
          <w:szCs w:val="26"/>
          <w:lang w:val="es-ES" w:eastAsia="es-ES"/>
        </w:rPr>
        <w:drawing>
          <wp:inline distT="0" distB="0" distL="0" distR="0" wp14:anchorId="7330DCF8" wp14:editId="349A066A">
            <wp:extent cx="5568507" cy="3133725"/>
            <wp:effectExtent l="0" t="0" r="0" b="0"/>
            <wp:docPr id="10" name="Imagen 10" descr="S:\COMUN\KAREN\Fotos Mairaga\Canal de Navarra\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UN\KAREN\Fotos Mairaga\Canal de Navarra\IMG_008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488" b="6070"/>
                    <a:stretch/>
                  </pic:blipFill>
                  <pic:spPr bwMode="auto">
                    <a:xfrm>
                      <a:off x="0" y="0"/>
                      <a:ext cx="5581045" cy="3140781"/>
                    </a:xfrm>
                    <a:prstGeom prst="rect">
                      <a:avLst/>
                    </a:prstGeom>
                    <a:noFill/>
                    <a:ln>
                      <a:noFill/>
                    </a:ln>
                    <a:extLst>
                      <a:ext uri="{53640926-AAD7-44D8-BBD7-CCE9431645EC}">
                        <a14:shadowObscured xmlns:a14="http://schemas.microsoft.com/office/drawing/2010/main"/>
                      </a:ext>
                    </a:extLst>
                  </pic:spPr>
                </pic:pic>
              </a:graphicData>
            </a:graphic>
          </wp:inline>
        </w:drawing>
      </w:r>
    </w:p>
    <w:p w:rsidR="00306939" w:rsidRPr="00306939" w:rsidRDefault="00306939" w:rsidP="0030693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spacing w:before="240"/>
        <w:ind w:left="0" w:firstLine="289"/>
        <w:rPr>
          <w:rFonts w:cs="Arial"/>
        </w:rPr>
      </w:pPr>
      <w:r w:rsidRPr="00306939">
        <w:rPr>
          <w:rFonts w:cs="Arial"/>
        </w:rPr>
        <w:t>En junio de 2012, se reunió la Asamblea General y, según el acta, las m</w:t>
      </w:r>
      <w:r w:rsidRPr="00306939">
        <w:rPr>
          <w:rFonts w:cs="Arial"/>
        </w:rPr>
        <w:t>e</w:t>
      </w:r>
      <w:r w:rsidRPr="00306939">
        <w:rPr>
          <w:rFonts w:cs="Arial"/>
        </w:rPr>
        <w:t>didas anticrisis estatales y la imposibilidad de acudir a nuevos créditos, imp</w:t>
      </w:r>
      <w:r w:rsidRPr="00306939">
        <w:rPr>
          <w:rFonts w:cs="Arial"/>
        </w:rPr>
        <w:t>i</w:t>
      </w:r>
      <w:r w:rsidRPr="00306939">
        <w:rPr>
          <w:rFonts w:cs="Arial"/>
        </w:rPr>
        <w:t>dieron iniciar la mayoría de los expedientes de contratación de proyectos y obras, habiéndose redactado exclusivamente el proyecto referido al abastec</w:t>
      </w:r>
      <w:r w:rsidRPr="00306939">
        <w:rPr>
          <w:rFonts w:cs="Arial"/>
        </w:rPr>
        <w:t>i</w:t>
      </w:r>
      <w:r w:rsidRPr="00306939">
        <w:rPr>
          <w:rFonts w:cs="Arial"/>
        </w:rPr>
        <w:t>miento en alta de Caparroso-Peralta.</w:t>
      </w:r>
    </w:p>
    <w:p w:rsidR="00306939" w:rsidRPr="00306939" w:rsidRDefault="00306939" w:rsidP="00306939">
      <w:pPr>
        <w:pStyle w:val="texto"/>
      </w:pPr>
      <w:r w:rsidRPr="00306939">
        <w:t>Continúa el acta mencionando que dado que se ha ejecutado la obra del C</w:t>
      </w:r>
      <w:r w:rsidRPr="00306939">
        <w:t>a</w:t>
      </w:r>
      <w:r w:rsidRPr="00306939">
        <w:t>nal de Navarra a su paso por Tafalla, y ante la sequía que se estaba padeciendo que había obligado a tomar agua del Canal de Navarra, se consideraba impre</w:t>
      </w:r>
      <w:r w:rsidRPr="00306939">
        <w:t>s</w:t>
      </w:r>
      <w:r w:rsidRPr="00306939">
        <w:t xml:space="preserve">cindible alterar el orden de ejecución priorizando el inicio de la ejecución de la ETAP de la Pedrera en Tafalla </w:t>
      </w:r>
      <w:r w:rsidR="00AD3D56">
        <w:t>sobre el tramo de conducción Caparroso-Peralta</w:t>
      </w:r>
      <w:r w:rsidRPr="00306939">
        <w:t>.</w:t>
      </w:r>
    </w:p>
    <w:p w:rsidR="00306939" w:rsidRPr="00306939" w:rsidRDefault="00306939" w:rsidP="00306939">
      <w:pPr>
        <w:pStyle w:val="texto"/>
      </w:pPr>
      <w:r w:rsidRPr="00306939">
        <w:t>Esta decisión fue remitida al Departamento de Administración Local del G</w:t>
      </w:r>
      <w:r w:rsidRPr="00306939">
        <w:t>o</w:t>
      </w:r>
      <w:r w:rsidRPr="00306939">
        <w:t>bierno de Navarra, que la validó con un informe del Servicio de Infraestruct</w:t>
      </w:r>
      <w:r w:rsidRPr="00306939">
        <w:t>u</w:t>
      </w:r>
      <w:r w:rsidRPr="00306939">
        <w:t xml:space="preserve">ras Locales, modificando así el PIL 2009-2012. </w:t>
      </w:r>
    </w:p>
    <w:p w:rsidR="00306939" w:rsidRPr="00306939" w:rsidRDefault="00306939" w:rsidP="0030693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306939">
        <w:rPr>
          <w:rFonts w:cs="Arial"/>
        </w:rPr>
        <w:t>Este cambio motivó que la mancomunidad en diciembre de 2013 adjudic</w:t>
      </w:r>
      <w:r w:rsidRPr="00306939">
        <w:rPr>
          <w:rFonts w:cs="Arial"/>
        </w:rPr>
        <w:t>a</w:t>
      </w:r>
      <w:r w:rsidRPr="00306939">
        <w:rPr>
          <w:rFonts w:cs="Arial"/>
        </w:rPr>
        <w:t>ra la construcción de la primera fase de la ETAP de La Pedrera con una capac</w:t>
      </w:r>
      <w:r w:rsidRPr="00306939">
        <w:rPr>
          <w:rFonts w:cs="Arial"/>
        </w:rPr>
        <w:t>i</w:t>
      </w:r>
      <w:r w:rsidRPr="00306939">
        <w:rPr>
          <w:rFonts w:cs="Arial"/>
        </w:rPr>
        <w:t>dad de bombeo de 100 litros por segundo.</w:t>
      </w:r>
    </w:p>
    <w:p w:rsidR="00306939" w:rsidRDefault="00306939" w:rsidP="00306939">
      <w:pPr>
        <w:pStyle w:val="texto"/>
      </w:pPr>
      <w:r w:rsidRPr="00306939">
        <w:t>El gasto de esta inversión, que fue inaugurada en septiembre de 2015</w:t>
      </w:r>
      <w:r w:rsidR="009063AE">
        <w:t xml:space="preserve"> con unas infraestructuras completamente automatizadas</w:t>
      </w:r>
      <w:r w:rsidRPr="00306939">
        <w:t>, ascendió a 1,97 millones de euros, de los cuales 1,95 eran financiables, por lo que la mancomunidad pe</w:t>
      </w:r>
      <w:r w:rsidRPr="00306939">
        <w:t>r</w:t>
      </w:r>
      <w:r w:rsidRPr="00306939">
        <w:t xml:space="preserve">cibió subvenciones del Gobierno de Navarra por el 80 por ciento del importe (1,56 millones). </w:t>
      </w:r>
    </w:p>
    <w:p w:rsidR="009063AE" w:rsidRDefault="009063AE" w:rsidP="00306939">
      <w:pPr>
        <w:pStyle w:val="texto"/>
      </w:pPr>
    </w:p>
    <w:p w:rsidR="00E90162" w:rsidRDefault="00E90162" w:rsidP="00E90162">
      <w:pPr>
        <w:pStyle w:val="texto"/>
        <w:tabs>
          <w:tab w:val="clear" w:pos="2835"/>
          <w:tab w:val="clear" w:pos="3969"/>
          <w:tab w:val="clear" w:pos="5103"/>
          <w:tab w:val="clear" w:pos="6237"/>
          <w:tab w:val="clear" w:pos="7371"/>
          <w:tab w:val="left" w:pos="567"/>
        </w:tabs>
        <w:spacing w:after="240"/>
        <w:jc w:val="center"/>
        <w:rPr>
          <w:szCs w:val="26"/>
        </w:rPr>
      </w:pPr>
      <w:r>
        <w:rPr>
          <w:szCs w:val="26"/>
        </w:rPr>
        <w:lastRenderedPageBreak/>
        <w:t>Instalaciones de la ETAP de la Pedrera</w:t>
      </w:r>
    </w:p>
    <w:p w:rsidR="00306939" w:rsidRDefault="00306939" w:rsidP="00E90162">
      <w:pPr>
        <w:pStyle w:val="texto"/>
        <w:tabs>
          <w:tab w:val="clear" w:pos="2835"/>
          <w:tab w:val="clear" w:pos="3969"/>
          <w:tab w:val="clear" w:pos="5103"/>
          <w:tab w:val="clear" w:pos="6237"/>
          <w:tab w:val="clear" w:pos="7371"/>
          <w:tab w:val="left" w:pos="567"/>
        </w:tabs>
        <w:spacing w:after="240"/>
        <w:ind w:firstLine="0"/>
        <w:jc w:val="center"/>
        <w:rPr>
          <w:szCs w:val="26"/>
        </w:rPr>
      </w:pPr>
      <w:r>
        <w:rPr>
          <w:noProof/>
          <w:szCs w:val="26"/>
          <w:lang w:val="es-ES" w:eastAsia="es-ES"/>
        </w:rPr>
        <w:drawing>
          <wp:inline distT="0" distB="0" distL="0" distR="0" wp14:anchorId="649771DF" wp14:editId="20F858BF">
            <wp:extent cx="5602931" cy="3733800"/>
            <wp:effectExtent l="0" t="0" r="0" b="0"/>
            <wp:docPr id="13" name="Imagen 13" descr="S:\COMUN\KAREN\Fotos Mairaga\ETAP La Pedrera\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MUN\KAREN\Fotos Mairaga\ETAP La Pedrera\IMG_00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0087" cy="3745232"/>
                    </a:xfrm>
                    <a:prstGeom prst="rect">
                      <a:avLst/>
                    </a:prstGeom>
                    <a:noFill/>
                    <a:ln>
                      <a:noFill/>
                    </a:ln>
                  </pic:spPr>
                </pic:pic>
              </a:graphicData>
            </a:graphic>
          </wp:inline>
        </w:drawing>
      </w:r>
    </w:p>
    <w:p w:rsidR="00E90162" w:rsidRDefault="00E90162" w:rsidP="00E90162">
      <w:pPr>
        <w:pStyle w:val="texto"/>
        <w:tabs>
          <w:tab w:val="clear" w:pos="2835"/>
          <w:tab w:val="clear" w:pos="3969"/>
          <w:tab w:val="clear" w:pos="5103"/>
          <w:tab w:val="clear" w:pos="6237"/>
          <w:tab w:val="clear" w:pos="7371"/>
          <w:tab w:val="left" w:pos="567"/>
        </w:tabs>
        <w:spacing w:after="0"/>
        <w:ind w:firstLine="0"/>
        <w:jc w:val="center"/>
        <w:rPr>
          <w:szCs w:val="26"/>
        </w:rPr>
      </w:pPr>
      <w:r>
        <w:rPr>
          <w:noProof/>
          <w:lang w:val="es-ES" w:eastAsia="es-ES"/>
        </w:rPr>
        <w:drawing>
          <wp:inline distT="0" distB="0" distL="0" distR="0" wp14:anchorId="476FFF16" wp14:editId="2E99D45F">
            <wp:extent cx="5645546" cy="3762375"/>
            <wp:effectExtent l="0" t="0" r="0" b="0"/>
            <wp:docPr id="15" name="Imagen 15" descr="S:\COMUN\KAREN\Fotos Mairaga\ETAP La Pedrera\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MUN\KAREN\Fotos Mairaga\ETAP La Pedrera\IMG_00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5214" cy="3768818"/>
                    </a:xfrm>
                    <a:prstGeom prst="rect">
                      <a:avLst/>
                    </a:prstGeom>
                    <a:noFill/>
                    <a:ln>
                      <a:noFill/>
                    </a:ln>
                  </pic:spPr>
                </pic:pic>
              </a:graphicData>
            </a:graphic>
          </wp:inline>
        </w:drawing>
      </w:r>
    </w:p>
    <w:p w:rsidR="00E90162" w:rsidRDefault="00E90162" w:rsidP="00E90162">
      <w:pPr>
        <w:pStyle w:val="texto"/>
        <w:tabs>
          <w:tab w:val="clear" w:pos="2835"/>
          <w:tab w:val="clear" w:pos="3969"/>
          <w:tab w:val="clear" w:pos="5103"/>
          <w:tab w:val="clear" w:pos="6237"/>
          <w:tab w:val="clear" w:pos="7371"/>
          <w:tab w:val="left" w:pos="567"/>
        </w:tabs>
        <w:spacing w:after="0"/>
        <w:jc w:val="center"/>
        <w:rPr>
          <w:szCs w:val="26"/>
        </w:rPr>
      </w:pPr>
    </w:p>
    <w:p w:rsidR="00306939" w:rsidRPr="00E90162" w:rsidRDefault="00306939" w:rsidP="00E9016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E90162">
        <w:rPr>
          <w:rFonts w:cs="Arial"/>
        </w:rPr>
        <w:lastRenderedPageBreak/>
        <w:t xml:space="preserve">Las ampliaciones previstas de esta ETAP que iban a posibilitar un </w:t>
      </w:r>
      <w:r w:rsidR="00AD3D56">
        <w:rPr>
          <w:rFonts w:cs="Arial"/>
        </w:rPr>
        <w:t>trat</w:t>
      </w:r>
      <w:r w:rsidR="00AD3D56">
        <w:rPr>
          <w:rFonts w:cs="Arial"/>
        </w:rPr>
        <w:t>a</w:t>
      </w:r>
      <w:r w:rsidR="00AD3D56">
        <w:rPr>
          <w:rFonts w:cs="Arial"/>
        </w:rPr>
        <w:t>miento de agua total de</w:t>
      </w:r>
      <w:r w:rsidRPr="00E90162">
        <w:rPr>
          <w:rFonts w:cs="Arial"/>
        </w:rPr>
        <w:t xml:space="preserve"> 300 litros por segundo, no se han realizado a la fecha de redacción de este informe, ni tampoco los tramos de conducción nece</w:t>
      </w:r>
      <w:r w:rsidR="009063AE">
        <w:rPr>
          <w:rFonts w:cs="Arial"/>
        </w:rPr>
        <w:t xml:space="preserve">sarios para ese caudal, si bien las infraestructuras actuales podrían distribuir los 100 litros por segundo mencionados.  </w:t>
      </w:r>
    </w:p>
    <w:p w:rsidR="00306939" w:rsidRPr="00E90162" w:rsidRDefault="00306939" w:rsidP="00E9016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E90162">
        <w:rPr>
          <w:rFonts w:cs="Arial"/>
        </w:rPr>
        <w:t>En octubre de 2017, el Gobierno de Navarra convocó a los representantes de los municipios y mancomunidades para presentar un estudio que habían re</w:t>
      </w:r>
      <w:r w:rsidRPr="00E90162">
        <w:rPr>
          <w:rFonts w:cs="Arial"/>
        </w:rPr>
        <w:t>a</w:t>
      </w:r>
      <w:r w:rsidRPr="00E90162">
        <w:rPr>
          <w:rFonts w:cs="Arial"/>
        </w:rPr>
        <w:t xml:space="preserve">lizado sobre las alternativas de abastecimiento de agua en Navarra con el fin de </w:t>
      </w:r>
      <w:r w:rsidR="0019720E">
        <w:rPr>
          <w:rFonts w:cs="Arial"/>
        </w:rPr>
        <w:t>actualizar el</w:t>
      </w:r>
      <w:r w:rsidRPr="00E90162">
        <w:rPr>
          <w:rFonts w:cs="Arial"/>
        </w:rPr>
        <w:t xml:space="preserve"> PD.</w:t>
      </w:r>
    </w:p>
    <w:p w:rsidR="00306939" w:rsidRDefault="00306939" w:rsidP="00E90162">
      <w:pPr>
        <w:pStyle w:val="texto"/>
      </w:pPr>
      <w:r>
        <w:t>En lo que tiene que ver con la Mancomunidad de Mairaga se presentan bás</w:t>
      </w:r>
      <w:r>
        <w:t>i</w:t>
      </w:r>
      <w:r>
        <w:t>camente dos alternativas</w:t>
      </w:r>
      <w:r>
        <w:rPr>
          <w:rStyle w:val="Refdenotaalpie"/>
          <w:szCs w:val="26"/>
        </w:rPr>
        <w:footnoteReference w:id="2"/>
      </w:r>
      <w:r>
        <w:t>: utilizar como fuente de abastecimiento exclusiv</w:t>
      </w:r>
      <w:r>
        <w:t>a</w:t>
      </w:r>
      <w:r>
        <w:t xml:space="preserve">mente La Pedrera, o un sistema mixto de abastecimiento con La Pedrera y el embalse de Mairaga. </w:t>
      </w:r>
    </w:p>
    <w:p w:rsidR="00306939" w:rsidRDefault="00306939" w:rsidP="00E90162">
      <w:pPr>
        <w:pStyle w:val="texto"/>
      </w:pPr>
      <w:r>
        <w:t xml:space="preserve">Se cuantifican los costes asociados a cada opción obteniendo resultados muy similares para ambas alternativas. </w:t>
      </w:r>
    </w:p>
    <w:p w:rsidR="00306939" w:rsidRDefault="00306939" w:rsidP="00E90162">
      <w:pPr>
        <w:pStyle w:val="texto"/>
      </w:pPr>
      <w:r>
        <w:t xml:space="preserve">Actualmente, estas propuestas de alternativas se encuentran en fase de </w:t>
      </w:r>
      <w:r w:rsidR="00AD3D56">
        <w:t>part</w:t>
      </w:r>
      <w:r w:rsidR="00AD3D56">
        <w:t>i</w:t>
      </w:r>
      <w:r w:rsidR="00AD3D56">
        <w:t>cipación ciudadana</w:t>
      </w:r>
      <w:r>
        <w:t>.</w:t>
      </w:r>
    </w:p>
    <w:p w:rsidR="00306939" w:rsidRPr="00E90162" w:rsidRDefault="00306939" w:rsidP="00E9016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E90162">
        <w:rPr>
          <w:rFonts w:cs="Arial"/>
        </w:rPr>
        <w:t xml:space="preserve">En el periodo </w:t>
      </w:r>
      <w:r w:rsidR="009063AE">
        <w:rPr>
          <w:rFonts w:cs="Arial"/>
        </w:rPr>
        <w:t>2008-2016</w:t>
      </w:r>
      <w:r w:rsidRPr="00E90162">
        <w:rPr>
          <w:rFonts w:cs="Arial"/>
        </w:rPr>
        <w:t>, se incluyeron en los correspondientes PIL inve</w:t>
      </w:r>
      <w:r w:rsidRPr="00E90162">
        <w:rPr>
          <w:rFonts w:cs="Arial"/>
        </w:rPr>
        <w:t>r</w:t>
      </w:r>
      <w:r w:rsidRPr="00E90162">
        <w:rPr>
          <w:rFonts w:cs="Arial"/>
        </w:rPr>
        <w:t xml:space="preserve">siones por un total de 9,6 millones de euros, si bien la ejecución real de los mismos alcanzó los 3,4 millones de euros. </w:t>
      </w:r>
    </w:p>
    <w:p w:rsidR="00306939" w:rsidRPr="00E90162" w:rsidRDefault="00306939" w:rsidP="00E9016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E90162">
        <w:rPr>
          <w:rFonts w:cs="Arial"/>
        </w:rPr>
        <w:t xml:space="preserve">En lo que respecta al PIL 2017-2019, se ha </w:t>
      </w:r>
      <w:r w:rsidR="00D455AA">
        <w:rPr>
          <w:rFonts w:cs="Arial"/>
        </w:rPr>
        <w:t>incluido</w:t>
      </w:r>
      <w:r w:rsidRPr="00E90162">
        <w:rPr>
          <w:rFonts w:cs="Arial"/>
        </w:rPr>
        <w:t xml:space="preserve"> la conducción general de abastecimiento en alta desde La pedrera 1ª y 2ª fase, y el ramal Peralta por un total de 8,8 millones de euros.</w:t>
      </w:r>
    </w:p>
    <w:p w:rsidR="00306939" w:rsidRPr="00E90162" w:rsidRDefault="00D455AA" w:rsidP="00E90162">
      <w:pPr>
        <w:pStyle w:val="texto"/>
      </w:pPr>
      <w:r>
        <w:t>Al respecto</w:t>
      </w:r>
      <w:r w:rsidR="00306939" w:rsidRPr="00E90162">
        <w:t>, la mancomunidad ya ha adjudicado la redacción del proyecto y la dirección de obra de estas inversiones, estando previsto que se liciten a fin</w:t>
      </w:r>
      <w:r w:rsidR="00306939" w:rsidRPr="00E90162">
        <w:t>a</w:t>
      </w:r>
      <w:r w:rsidR="00306939" w:rsidRPr="00E90162">
        <w:t>les de 2017 o principios de 2018.</w:t>
      </w:r>
    </w:p>
    <w:p w:rsidR="00306939" w:rsidRPr="00010DE4" w:rsidRDefault="00306939" w:rsidP="00306939">
      <w:pPr>
        <w:pStyle w:val="atitulo2"/>
        <w:spacing w:before="240" w:after="120"/>
      </w:pPr>
      <w:bookmarkStart w:id="19" w:name="_Toc499802366"/>
      <w:bookmarkStart w:id="20" w:name="_Toc505686769"/>
      <w:r>
        <w:t xml:space="preserve">II.3. </w:t>
      </w:r>
      <w:r w:rsidRPr="00010DE4">
        <w:t>Decisión sobre alternativas</w:t>
      </w:r>
      <w:r>
        <w:t xml:space="preserve"> para el</w:t>
      </w:r>
      <w:r w:rsidRPr="00010DE4">
        <w:t xml:space="preserve"> sistema de abastecimiento de agua en alta</w:t>
      </w:r>
      <w:bookmarkEnd w:id="19"/>
      <w:bookmarkEnd w:id="20"/>
    </w:p>
    <w:p w:rsidR="00E90162" w:rsidRDefault="00E90162" w:rsidP="00E90162">
      <w:pPr>
        <w:pStyle w:val="atitulo3"/>
        <w:spacing w:before="240" w:after="120"/>
      </w:pPr>
      <w:r>
        <w:t>Informes del área técnica</w:t>
      </w:r>
    </w:p>
    <w:p w:rsidR="00306939" w:rsidRDefault="00306939" w:rsidP="00306939">
      <w:pPr>
        <w:pStyle w:val="texto"/>
        <w:tabs>
          <w:tab w:val="clear" w:pos="2835"/>
          <w:tab w:val="clear" w:pos="3969"/>
          <w:tab w:val="clear" w:pos="5103"/>
          <w:tab w:val="clear" w:pos="6237"/>
          <w:tab w:val="clear" w:pos="7371"/>
        </w:tabs>
        <w:rPr>
          <w:szCs w:val="26"/>
        </w:rPr>
      </w:pPr>
      <w:r w:rsidRPr="00010DE4">
        <w:rPr>
          <w:szCs w:val="26"/>
        </w:rPr>
        <w:t>Como ya hemos mencionado, a pesar de que la transferencia del Estado a</w:t>
      </w:r>
      <w:r>
        <w:rPr>
          <w:szCs w:val="26"/>
        </w:rPr>
        <w:t xml:space="preserve"> Navarra del embalse de Mairaga debería haberse producido en 1993, aún no se ha formalizado administrativamente; por este motivo, en febrero de 2016, la CHE comunica la necesidad de incluir el embalse en la Junta de Explotación “Cuencas del Irati, Arga y Ega”. </w:t>
      </w:r>
    </w:p>
    <w:p w:rsidR="00EA3A93" w:rsidRPr="00EA3A93" w:rsidRDefault="00EA3A93" w:rsidP="00EA3A93">
      <w:pPr>
        <w:pStyle w:val="texto"/>
      </w:pPr>
      <w:r w:rsidRPr="00EA3A93">
        <w:lastRenderedPageBreak/>
        <w:t xml:space="preserve">Esta inclusión supone repercutir los costes que genera la gestión del embalse por parte de la CHE a los usuarios con un gasto anual aproximado de 113.000 euros. </w:t>
      </w:r>
    </w:p>
    <w:p w:rsidR="00EA3A93" w:rsidRPr="00EA3A93" w:rsidRDefault="00EA3A93" w:rsidP="00AD3D56">
      <w:pPr>
        <w:pStyle w:val="texto"/>
      </w:pPr>
      <w:r w:rsidRPr="00EA3A93">
        <w:t xml:space="preserve">Esta circunstancia, unida a la </w:t>
      </w:r>
      <w:r w:rsidR="00D455AA">
        <w:t>construcción</w:t>
      </w:r>
      <w:r w:rsidRPr="00EA3A93">
        <w:t xml:space="preserve"> de la ETAP de La Pedrera para el tratamiento de agua desde el Canal de Navarra, motivó que la Asamblea Gen</w:t>
      </w:r>
      <w:r w:rsidRPr="00EA3A93">
        <w:t>e</w:t>
      </w:r>
      <w:r w:rsidR="0002273D">
        <w:t>ral de la mancomunidad</w:t>
      </w:r>
      <w:r w:rsidRPr="00EA3A93">
        <w:t xml:space="preserve"> se planteara cuál era la forma más adecuada para el SAA</w:t>
      </w:r>
      <w:r w:rsidR="00AD3D56">
        <w:t>;</w:t>
      </w:r>
      <w:r w:rsidRPr="00EA3A93">
        <w:t xml:space="preserve"> </w:t>
      </w:r>
      <w:r w:rsidR="00AD3D56">
        <w:t>al respecto, en</w:t>
      </w:r>
      <w:r w:rsidRPr="00EA3A93">
        <w:t xml:space="preserve"> julio de 2016, el área técnica elabora un informe en el que se analizan las posibilidades de abastecimiento de agua describiendo tres pos</w:t>
      </w:r>
      <w:r w:rsidRPr="00EA3A93">
        <w:t>i</w:t>
      </w:r>
      <w:r w:rsidRPr="00EA3A93">
        <w:t>bles alternativas:</w:t>
      </w:r>
    </w:p>
    <w:p w:rsidR="00EA3A93" w:rsidRDefault="00EA3A93" w:rsidP="00EA3A93">
      <w:pPr>
        <w:pStyle w:val="texto"/>
        <w:numPr>
          <w:ilvl w:val="0"/>
          <w:numId w:val="16"/>
        </w:numPr>
        <w:tabs>
          <w:tab w:val="clear" w:pos="2835"/>
          <w:tab w:val="clear" w:pos="3969"/>
          <w:tab w:val="clear" w:pos="5103"/>
          <w:tab w:val="clear" w:pos="6237"/>
          <w:tab w:val="clear" w:pos="7371"/>
          <w:tab w:val="left" w:pos="426"/>
        </w:tabs>
        <w:ind w:left="0" w:firstLine="322"/>
        <w:rPr>
          <w:szCs w:val="26"/>
        </w:rPr>
      </w:pPr>
      <w:r>
        <w:rPr>
          <w:szCs w:val="26"/>
        </w:rPr>
        <w:t>Abastecimiento de agua del embalse de Mairaga como fuente principal, captación y utilización del agua del Canal de Navarra a través de la ETAP de La Pedrera solamente si se produjeran situaciones de sequía. Se siguen mant</w:t>
      </w:r>
      <w:r>
        <w:rPr>
          <w:szCs w:val="26"/>
        </w:rPr>
        <w:t>e</w:t>
      </w:r>
      <w:r>
        <w:rPr>
          <w:szCs w:val="26"/>
        </w:rPr>
        <w:t>niendo los manantiales del Carrascal y los pozos del Escal.</w:t>
      </w:r>
    </w:p>
    <w:p w:rsidR="00EA3A93" w:rsidRDefault="00D455AA" w:rsidP="00EA3A93">
      <w:pPr>
        <w:pStyle w:val="texto"/>
        <w:tabs>
          <w:tab w:val="clear" w:pos="2835"/>
          <w:tab w:val="clear" w:pos="3969"/>
          <w:tab w:val="clear" w:pos="5103"/>
          <w:tab w:val="clear" w:pos="6237"/>
          <w:tab w:val="clear" w:pos="7371"/>
        </w:tabs>
        <w:rPr>
          <w:szCs w:val="26"/>
        </w:rPr>
      </w:pPr>
      <w:r>
        <w:rPr>
          <w:szCs w:val="26"/>
        </w:rPr>
        <w:t>Con este sistema se garantiza una</w:t>
      </w:r>
      <w:r w:rsidR="00EA3A93">
        <w:rPr>
          <w:szCs w:val="26"/>
        </w:rPr>
        <w:t xml:space="preserve"> calidad de agua similar a la actual.</w:t>
      </w:r>
    </w:p>
    <w:p w:rsidR="00EA3A93" w:rsidRDefault="00D455AA" w:rsidP="00EA3A93">
      <w:pPr>
        <w:pStyle w:val="texto"/>
        <w:numPr>
          <w:ilvl w:val="0"/>
          <w:numId w:val="16"/>
        </w:numPr>
        <w:tabs>
          <w:tab w:val="clear" w:pos="2835"/>
          <w:tab w:val="clear" w:pos="3969"/>
          <w:tab w:val="clear" w:pos="5103"/>
          <w:tab w:val="clear" w:pos="6237"/>
          <w:tab w:val="clear" w:pos="7371"/>
        </w:tabs>
        <w:ind w:left="0" w:firstLine="322"/>
        <w:rPr>
          <w:szCs w:val="26"/>
        </w:rPr>
      </w:pPr>
      <w:r>
        <w:rPr>
          <w:szCs w:val="26"/>
        </w:rPr>
        <w:t>Captación de</w:t>
      </w:r>
      <w:r w:rsidR="00EA3A93">
        <w:rPr>
          <w:szCs w:val="26"/>
        </w:rPr>
        <w:t xml:space="preserve"> agua</w:t>
      </w:r>
      <w:r>
        <w:rPr>
          <w:szCs w:val="26"/>
        </w:rPr>
        <w:t xml:space="preserve"> del Canal de Navarra y utilización de</w:t>
      </w:r>
      <w:r w:rsidR="00EA3A93">
        <w:rPr>
          <w:szCs w:val="26"/>
        </w:rPr>
        <w:t xml:space="preserve"> la ETAP de La Pedrera, manteniendo, al igual que en la opción anterior, los manantiales del Carrascal y los pozos del Escal.</w:t>
      </w:r>
    </w:p>
    <w:p w:rsidR="00EA3A93" w:rsidRDefault="00EA3A93" w:rsidP="00EA3A93">
      <w:pPr>
        <w:pStyle w:val="texto"/>
        <w:tabs>
          <w:tab w:val="clear" w:pos="2835"/>
          <w:tab w:val="clear" w:pos="3969"/>
          <w:tab w:val="clear" w:pos="5103"/>
          <w:tab w:val="clear" w:pos="6237"/>
          <w:tab w:val="clear" w:pos="7371"/>
        </w:tabs>
        <w:rPr>
          <w:szCs w:val="26"/>
        </w:rPr>
      </w:pPr>
      <w:r>
        <w:rPr>
          <w:szCs w:val="26"/>
        </w:rPr>
        <w:t>Esta opción supone abastecer con agua del Canal no solo a la zona norte, sino al resto de la mancomunidad y poblaciones previstas inicialmente una vez realizadas las conducciones necesarias; esta opción suponía ir abandonando progresivamente el embalse de Mairaga para el abastecimiento de agua rese</w:t>
      </w:r>
      <w:r>
        <w:rPr>
          <w:szCs w:val="26"/>
        </w:rPr>
        <w:t>r</w:t>
      </w:r>
      <w:r>
        <w:rPr>
          <w:szCs w:val="26"/>
        </w:rPr>
        <w:t>vándolo para otros usos</w:t>
      </w:r>
      <w:r w:rsidR="00D455AA">
        <w:rPr>
          <w:szCs w:val="26"/>
        </w:rPr>
        <w:t xml:space="preserve"> (recreativos, agrarios, etc</w:t>
      </w:r>
      <w:r>
        <w:rPr>
          <w:szCs w:val="26"/>
        </w:rPr>
        <w:t>.</w:t>
      </w:r>
      <w:r w:rsidR="00D455AA">
        <w:rPr>
          <w:szCs w:val="26"/>
        </w:rPr>
        <w:t>).</w:t>
      </w:r>
    </w:p>
    <w:p w:rsidR="00EA3A93" w:rsidRDefault="00EA3A93" w:rsidP="00EA3A93">
      <w:pPr>
        <w:pStyle w:val="texto"/>
        <w:tabs>
          <w:tab w:val="clear" w:pos="2835"/>
          <w:tab w:val="clear" w:pos="3969"/>
          <w:tab w:val="clear" w:pos="5103"/>
          <w:tab w:val="clear" w:pos="6237"/>
          <w:tab w:val="clear" w:pos="7371"/>
        </w:tabs>
        <w:rPr>
          <w:szCs w:val="26"/>
        </w:rPr>
      </w:pPr>
      <w:r>
        <w:rPr>
          <w:szCs w:val="26"/>
        </w:rPr>
        <w:t>En este caso, la calidad del agua sería superior a la de la opción anterior.</w:t>
      </w:r>
    </w:p>
    <w:p w:rsidR="00EA3A93" w:rsidRDefault="00D455AA" w:rsidP="00EA3A93">
      <w:pPr>
        <w:pStyle w:val="texto"/>
        <w:numPr>
          <w:ilvl w:val="0"/>
          <w:numId w:val="16"/>
        </w:numPr>
        <w:tabs>
          <w:tab w:val="clear" w:pos="2835"/>
          <w:tab w:val="clear" w:pos="3969"/>
          <w:tab w:val="clear" w:pos="5103"/>
          <w:tab w:val="clear" w:pos="6237"/>
          <w:tab w:val="clear" w:pos="7371"/>
          <w:tab w:val="left" w:pos="426"/>
        </w:tabs>
        <w:ind w:left="0" w:firstLine="322"/>
        <w:rPr>
          <w:szCs w:val="26"/>
        </w:rPr>
      </w:pPr>
      <w:r>
        <w:rPr>
          <w:szCs w:val="26"/>
        </w:rPr>
        <w:t>A</w:t>
      </w:r>
      <w:r w:rsidR="00EA3A93">
        <w:rPr>
          <w:szCs w:val="26"/>
        </w:rPr>
        <w:t>bastecimiento de agua manteniendo operativos tanto el embalse de Mairaga como el Canal de Navarra, prescindiendo de los manantiales del C</w:t>
      </w:r>
      <w:r w:rsidR="00EA3A93">
        <w:rPr>
          <w:szCs w:val="26"/>
        </w:rPr>
        <w:t>a</w:t>
      </w:r>
      <w:r w:rsidR="00EA3A93">
        <w:rPr>
          <w:szCs w:val="26"/>
        </w:rPr>
        <w:t xml:space="preserve">rrascal y de los pozos del Escal. </w:t>
      </w:r>
    </w:p>
    <w:p w:rsidR="00EA3A93" w:rsidRDefault="00EA3A93" w:rsidP="00EA3A93">
      <w:pPr>
        <w:pStyle w:val="texto"/>
      </w:pPr>
      <w:r w:rsidRPr="00EA3A93">
        <w:t>El estudio incluía un anexo donde se analizaban las implicaciones de cada a</w:t>
      </w:r>
      <w:r w:rsidRPr="00EA3A93">
        <w:t>l</w:t>
      </w:r>
      <w:r w:rsidRPr="00EA3A93">
        <w:t>ternativa tanto desde el punto de vista técnico (medios humanos y materiales necesarios, calidad del agua, etc.) como económico (cálculo de costes por m</w:t>
      </w:r>
      <w:r w:rsidRPr="00EA3A93">
        <w:t>e</w:t>
      </w:r>
      <w:r w:rsidRPr="00EA3A93">
        <w:t xml:space="preserve">tro cúbico, repercusión en tarifas a los usuarios, etc.). </w:t>
      </w:r>
    </w:p>
    <w:p w:rsidR="00D455AA" w:rsidRDefault="00D455AA" w:rsidP="00EA3A93">
      <w:pPr>
        <w:pStyle w:val="texto"/>
      </w:pPr>
    </w:p>
    <w:p w:rsidR="00D455AA" w:rsidRDefault="00D455AA" w:rsidP="00EA3A93">
      <w:pPr>
        <w:pStyle w:val="texto"/>
      </w:pPr>
    </w:p>
    <w:p w:rsidR="00D455AA" w:rsidRDefault="00D455AA" w:rsidP="00EA3A93">
      <w:pPr>
        <w:pStyle w:val="texto"/>
      </w:pPr>
    </w:p>
    <w:p w:rsidR="00D455AA" w:rsidRPr="00EA3A93" w:rsidRDefault="00D455AA" w:rsidP="00EA3A93">
      <w:pPr>
        <w:pStyle w:val="texto"/>
      </w:pPr>
    </w:p>
    <w:p w:rsidR="00AD3D56" w:rsidRDefault="00AD3D56">
      <w:pPr>
        <w:spacing w:after="0"/>
        <w:ind w:firstLine="0"/>
        <w:jc w:val="left"/>
        <w:rPr>
          <w:spacing w:val="6"/>
          <w:sz w:val="26"/>
          <w:szCs w:val="24"/>
        </w:rPr>
      </w:pPr>
      <w:r>
        <w:br w:type="page"/>
      </w:r>
    </w:p>
    <w:p w:rsidR="00EA3A93" w:rsidRPr="00EA3A93" w:rsidRDefault="00EA3A93" w:rsidP="00EA3A93">
      <w:pPr>
        <w:pStyle w:val="texto"/>
        <w:spacing w:after="240"/>
      </w:pPr>
      <w:r w:rsidRPr="00EA3A93">
        <w:lastRenderedPageBreak/>
        <w:t>Presentamos a continuación un resumen de este anexo:</w:t>
      </w:r>
    </w:p>
    <w:tbl>
      <w:tblPr>
        <w:tblW w:w="8801" w:type="dxa"/>
        <w:jc w:val="center"/>
        <w:tblCellMar>
          <w:left w:w="70" w:type="dxa"/>
          <w:right w:w="70" w:type="dxa"/>
        </w:tblCellMar>
        <w:tblLook w:val="04A0" w:firstRow="1" w:lastRow="0" w:firstColumn="1" w:lastColumn="0" w:noHBand="0" w:noVBand="1"/>
      </w:tblPr>
      <w:tblGrid>
        <w:gridCol w:w="3380"/>
        <w:gridCol w:w="1680"/>
        <w:gridCol w:w="1567"/>
        <w:gridCol w:w="2174"/>
      </w:tblGrid>
      <w:tr w:rsidR="00EA3A93" w:rsidRPr="00EA3A93" w:rsidTr="001B6644">
        <w:trPr>
          <w:cantSplit/>
          <w:trHeight w:val="198"/>
          <w:jc w:val="center"/>
        </w:trPr>
        <w:tc>
          <w:tcPr>
            <w:tcW w:w="3380" w:type="dxa"/>
            <w:tcBorders>
              <w:top w:val="single" w:sz="4" w:space="0" w:color="auto"/>
              <w:bottom w:val="single" w:sz="4" w:space="0" w:color="auto"/>
            </w:tcBorders>
            <w:shd w:val="clear" w:color="auto" w:fill="FABF8F" w:themeFill="accent6" w:themeFillTint="99"/>
            <w:noWrap/>
            <w:vAlign w:val="center"/>
          </w:tcPr>
          <w:p w:rsidR="00EA3A93" w:rsidRPr="00EA3A93" w:rsidRDefault="00EA3A93" w:rsidP="00297D83">
            <w:pPr>
              <w:spacing w:after="0"/>
              <w:ind w:firstLine="0"/>
              <w:contextualSpacing/>
              <w:jc w:val="left"/>
              <w:rPr>
                <w:rFonts w:ascii="Arial" w:hAnsi="Arial" w:cs="Arial"/>
                <w:bCs/>
                <w:color w:val="000000"/>
                <w:sz w:val="18"/>
                <w:szCs w:val="18"/>
                <w:lang w:val="es-ES" w:eastAsia="es-ES"/>
              </w:rPr>
            </w:pPr>
            <w:r w:rsidRPr="00EA3A93">
              <w:rPr>
                <w:rFonts w:ascii="Arial" w:hAnsi="Arial" w:cs="Arial"/>
                <w:bCs/>
                <w:color w:val="000000"/>
                <w:sz w:val="18"/>
                <w:szCs w:val="18"/>
                <w:lang w:val="es-ES" w:eastAsia="es-ES"/>
              </w:rPr>
              <w:t>Fuente de abastecimiento</w:t>
            </w:r>
          </w:p>
        </w:tc>
        <w:tc>
          <w:tcPr>
            <w:tcW w:w="1680" w:type="dxa"/>
            <w:tcBorders>
              <w:top w:val="single" w:sz="4" w:space="0" w:color="auto"/>
              <w:bottom w:val="single" w:sz="4" w:space="0" w:color="auto"/>
            </w:tcBorders>
            <w:shd w:val="clear" w:color="auto" w:fill="FABF8F" w:themeFill="accent6" w:themeFillTint="99"/>
            <w:noWrap/>
            <w:vAlign w:val="center"/>
          </w:tcPr>
          <w:p w:rsidR="00EA3A93" w:rsidRPr="00EA3A93" w:rsidRDefault="00EA3A93" w:rsidP="001B6644">
            <w:pPr>
              <w:spacing w:after="0"/>
              <w:ind w:left="-70" w:firstLine="0"/>
              <w:contextualSpacing/>
              <w:jc w:val="right"/>
              <w:rPr>
                <w:rFonts w:ascii="Arial" w:hAnsi="Arial" w:cs="Arial"/>
                <w:color w:val="000000"/>
                <w:sz w:val="18"/>
                <w:szCs w:val="18"/>
                <w:lang w:val="es-ES" w:eastAsia="es-ES"/>
              </w:rPr>
            </w:pPr>
            <w:r w:rsidRPr="00EA3A93">
              <w:rPr>
                <w:rFonts w:ascii="Arial" w:hAnsi="Arial" w:cs="Arial"/>
                <w:color w:val="000000"/>
                <w:sz w:val="18"/>
                <w:szCs w:val="18"/>
                <w:lang w:val="es-ES" w:eastAsia="es-ES"/>
              </w:rPr>
              <w:t xml:space="preserve">Alternativa 1: </w:t>
            </w:r>
          </w:p>
          <w:p w:rsidR="00EA3A93" w:rsidRPr="00EA3A93" w:rsidRDefault="00EA3A93" w:rsidP="001B6644">
            <w:pPr>
              <w:spacing w:after="0"/>
              <w:ind w:left="-70" w:firstLine="0"/>
              <w:contextualSpacing/>
              <w:jc w:val="right"/>
              <w:rPr>
                <w:rFonts w:ascii="Arial" w:hAnsi="Arial" w:cs="Arial"/>
                <w:color w:val="000000"/>
                <w:sz w:val="18"/>
                <w:szCs w:val="18"/>
                <w:lang w:val="es-ES" w:eastAsia="es-ES"/>
              </w:rPr>
            </w:pPr>
            <w:r w:rsidRPr="00EA3A93">
              <w:rPr>
                <w:rFonts w:ascii="Arial" w:hAnsi="Arial" w:cs="Arial"/>
                <w:color w:val="000000"/>
                <w:sz w:val="18"/>
                <w:szCs w:val="18"/>
                <w:lang w:val="es-ES" w:eastAsia="es-ES"/>
              </w:rPr>
              <w:t xml:space="preserve">Embalse Mairaga + reserva La Pedrera </w:t>
            </w:r>
          </w:p>
        </w:tc>
        <w:tc>
          <w:tcPr>
            <w:tcW w:w="1567" w:type="dxa"/>
            <w:tcBorders>
              <w:top w:val="single" w:sz="4" w:space="0" w:color="auto"/>
              <w:bottom w:val="single" w:sz="4" w:space="0" w:color="auto"/>
            </w:tcBorders>
            <w:shd w:val="clear" w:color="auto" w:fill="FABF8F" w:themeFill="accent6" w:themeFillTint="99"/>
            <w:noWrap/>
            <w:vAlign w:val="center"/>
          </w:tcPr>
          <w:p w:rsidR="00EA3A93" w:rsidRPr="00EA3A93" w:rsidRDefault="00EA3A93" w:rsidP="00297D83">
            <w:pPr>
              <w:spacing w:after="0"/>
              <w:ind w:firstLine="0"/>
              <w:contextualSpacing/>
              <w:jc w:val="right"/>
              <w:rPr>
                <w:rFonts w:ascii="Arial" w:hAnsi="Arial" w:cs="Arial"/>
                <w:color w:val="000000"/>
                <w:sz w:val="18"/>
                <w:szCs w:val="18"/>
                <w:lang w:val="es-ES" w:eastAsia="es-ES"/>
              </w:rPr>
            </w:pPr>
            <w:r w:rsidRPr="00EA3A93">
              <w:rPr>
                <w:rFonts w:ascii="Arial" w:hAnsi="Arial" w:cs="Arial"/>
                <w:color w:val="000000"/>
                <w:sz w:val="18"/>
                <w:szCs w:val="18"/>
                <w:lang w:val="es-ES" w:eastAsia="es-ES"/>
              </w:rPr>
              <w:t xml:space="preserve">Alternativa 2: </w:t>
            </w:r>
          </w:p>
          <w:p w:rsidR="00EA3A93" w:rsidRPr="00EA3A93" w:rsidRDefault="00EA3A93" w:rsidP="00297D83">
            <w:pPr>
              <w:spacing w:after="0"/>
              <w:ind w:firstLine="0"/>
              <w:contextualSpacing/>
              <w:jc w:val="right"/>
              <w:rPr>
                <w:rFonts w:ascii="Arial" w:hAnsi="Arial" w:cs="Arial"/>
                <w:color w:val="000000"/>
                <w:sz w:val="18"/>
                <w:szCs w:val="18"/>
                <w:lang w:val="es-ES" w:eastAsia="es-ES"/>
              </w:rPr>
            </w:pPr>
            <w:r w:rsidRPr="00EA3A93">
              <w:rPr>
                <w:rFonts w:ascii="Arial" w:hAnsi="Arial" w:cs="Arial"/>
                <w:color w:val="000000"/>
                <w:sz w:val="18"/>
                <w:szCs w:val="18"/>
                <w:lang w:val="es-ES" w:eastAsia="es-ES"/>
              </w:rPr>
              <w:t>Uso exclusivo La Pedrera (abast.)</w:t>
            </w:r>
          </w:p>
        </w:tc>
        <w:tc>
          <w:tcPr>
            <w:tcW w:w="2174" w:type="dxa"/>
            <w:tcBorders>
              <w:top w:val="single" w:sz="4" w:space="0" w:color="auto"/>
              <w:bottom w:val="single" w:sz="4" w:space="0" w:color="auto"/>
            </w:tcBorders>
            <w:shd w:val="clear" w:color="auto" w:fill="FABF8F" w:themeFill="accent6" w:themeFillTint="99"/>
            <w:noWrap/>
            <w:vAlign w:val="center"/>
          </w:tcPr>
          <w:p w:rsidR="00EA3A93" w:rsidRPr="00EA3A93" w:rsidRDefault="00EA3A93" w:rsidP="00297D83">
            <w:pPr>
              <w:spacing w:after="0"/>
              <w:ind w:firstLine="0"/>
              <w:contextualSpacing/>
              <w:jc w:val="right"/>
              <w:rPr>
                <w:rFonts w:ascii="Arial" w:hAnsi="Arial" w:cs="Arial"/>
                <w:color w:val="000000"/>
                <w:sz w:val="18"/>
                <w:szCs w:val="18"/>
                <w:lang w:val="es-ES" w:eastAsia="es-ES"/>
              </w:rPr>
            </w:pPr>
            <w:r w:rsidRPr="00EA3A93">
              <w:rPr>
                <w:rFonts w:ascii="Arial" w:hAnsi="Arial" w:cs="Arial"/>
                <w:color w:val="000000"/>
                <w:sz w:val="18"/>
                <w:szCs w:val="18"/>
                <w:lang w:val="es-ES" w:eastAsia="es-ES"/>
              </w:rPr>
              <w:t xml:space="preserve">Alternativa 3: </w:t>
            </w:r>
          </w:p>
          <w:p w:rsidR="00EA3A93" w:rsidRPr="00EA3A93" w:rsidRDefault="00EA3A93" w:rsidP="001B6644">
            <w:pPr>
              <w:spacing w:after="0"/>
              <w:ind w:firstLine="0"/>
              <w:contextualSpacing/>
              <w:jc w:val="right"/>
              <w:rPr>
                <w:rFonts w:ascii="Arial" w:hAnsi="Arial" w:cs="Arial"/>
                <w:color w:val="000000"/>
                <w:sz w:val="18"/>
                <w:szCs w:val="18"/>
                <w:lang w:val="es-ES" w:eastAsia="es-ES"/>
              </w:rPr>
            </w:pPr>
            <w:r w:rsidRPr="00EA3A93">
              <w:rPr>
                <w:rFonts w:ascii="Arial" w:hAnsi="Arial" w:cs="Arial"/>
                <w:color w:val="000000"/>
                <w:sz w:val="18"/>
                <w:szCs w:val="18"/>
                <w:lang w:val="es-ES" w:eastAsia="es-ES"/>
              </w:rPr>
              <w:t>Embalse Mairaga (40%) + La Pedrera (60%)</w:t>
            </w:r>
          </w:p>
        </w:tc>
      </w:tr>
      <w:tr w:rsidR="00EA3A93" w:rsidRPr="001B6644" w:rsidTr="001B6644">
        <w:trPr>
          <w:cantSplit/>
          <w:trHeight w:val="255"/>
          <w:jc w:val="center"/>
        </w:trPr>
        <w:tc>
          <w:tcPr>
            <w:tcW w:w="3380" w:type="dxa"/>
            <w:tcBorders>
              <w:top w:val="single" w:sz="4" w:space="0" w:color="auto"/>
            </w:tcBorders>
            <w:shd w:val="clear" w:color="auto" w:fill="auto"/>
            <w:noWrap/>
            <w:vAlign w:val="center"/>
          </w:tcPr>
          <w:p w:rsidR="00EA3A93" w:rsidRPr="001B6644" w:rsidRDefault="00EA3A93" w:rsidP="00297D83">
            <w:pPr>
              <w:spacing w:after="0"/>
              <w:ind w:firstLine="0"/>
              <w:contextualSpacing/>
              <w:jc w:val="left"/>
              <w:rPr>
                <w:rFonts w:ascii="Arial" w:hAnsi="Arial" w:cs="Arial"/>
                <w:bCs/>
                <w:color w:val="000000"/>
                <w:lang w:val="es-ES" w:eastAsia="es-ES"/>
              </w:rPr>
            </w:pPr>
            <w:r w:rsidRPr="001B6644">
              <w:rPr>
                <w:rFonts w:ascii="Arial" w:hAnsi="Arial" w:cs="Arial"/>
                <w:bCs/>
                <w:color w:val="000000"/>
                <w:lang w:val="es-ES" w:eastAsia="es-ES"/>
              </w:rPr>
              <w:t>ETAP de Olóriz</w:t>
            </w:r>
          </w:p>
        </w:tc>
        <w:tc>
          <w:tcPr>
            <w:tcW w:w="1680" w:type="dxa"/>
            <w:tcBorders>
              <w:top w:val="single" w:sz="4" w:space="0" w:color="auto"/>
            </w:tcBorders>
            <w:shd w:val="clear" w:color="auto" w:fill="auto"/>
            <w:noWrap/>
            <w:vAlign w:val="center"/>
          </w:tcPr>
          <w:p w:rsidR="00EA3A93" w:rsidRPr="001B6644" w:rsidRDefault="00EA3A93" w:rsidP="001B6644">
            <w:pPr>
              <w:spacing w:after="0"/>
              <w:ind w:left="-70" w:firstLine="0"/>
              <w:contextualSpacing/>
              <w:jc w:val="right"/>
              <w:rPr>
                <w:rFonts w:ascii="Arial" w:hAnsi="Arial" w:cs="Arial"/>
                <w:color w:val="000000"/>
                <w:lang w:val="es-ES" w:eastAsia="es-ES"/>
              </w:rPr>
            </w:pPr>
          </w:p>
        </w:tc>
        <w:tc>
          <w:tcPr>
            <w:tcW w:w="1567" w:type="dxa"/>
            <w:tcBorders>
              <w:top w:val="single" w:sz="4" w:space="0" w:color="auto"/>
            </w:tcBorders>
            <w:shd w:val="clear" w:color="auto" w:fill="auto"/>
            <w:noWrap/>
            <w:vAlign w:val="center"/>
          </w:tcPr>
          <w:p w:rsidR="00EA3A93" w:rsidRPr="001B6644" w:rsidRDefault="00EA3A93" w:rsidP="00297D83">
            <w:pPr>
              <w:spacing w:after="0"/>
              <w:ind w:firstLine="0"/>
              <w:contextualSpacing/>
              <w:jc w:val="right"/>
              <w:rPr>
                <w:rFonts w:ascii="Arial" w:hAnsi="Arial" w:cs="Arial"/>
                <w:color w:val="000000"/>
                <w:lang w:val="es-ES" w:eastAsia="es-ES"/>
              </w:rPr>
            </w:pPr>
          </w:p>
        </w:tc>
        <w:tc>
          <w:tcPr>
            <w:tcW w:w="2174" w:type="dxa"/>
            <w:tcBorders>
              <w:top w:val="single" w:sz="4" w:space="0" w:color="auto"/>
            </w:tcBorders>
            <w:shd w:val="clear" w:color="auto" w:fill="auto"/>
            <w:noWrap/>
            <w:vAlign w:val="center"/>
          </w:tcPr>
          <w:p w:rsidR="00EA3A93" w:rsidRPr="001B6644" w:rsidRDefault="00EA3A93" w:rsidP="00297D83">
            <w:pPr>
              <w:spacing w:after="0"/>
              <w:ind w:firstLine="0"/>
              <w:contextualSpacing/>
              <w:jc w:val="righ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Total costes (€)</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408.954</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311.724</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 xml:space="preserve">Total producción </w:t>
            </w:r>
            <w:r w:rsidR="00A02272">
              <w:rPr>
                <w:rFonts w:ascii="Arial Narrow" w:hAnsi="Arial Narrow" w:cs="Arial"/>
                <w:sz w:val="18"/>
                <w:szCs w:val="18"/>
                <w:lang w:val="es-ES" w:eastAsia="es-ES"/>
              </w:rPr>
              <w:t>(</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r w:rsidRPr="001B6644">
              <w:rPr>
                <w:rFonts w:ascii="Arial Narrow" w:hAnsi="Arial Narrow" w:cs="Arial"/>
                <w:sz w:val="18"/>
                <w:szCs w:val="18"/>
                <w:lang w:val="es-ES" w:eastAsia="es-ES"/>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1.406.000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562.400</w:t>
            </w:r>
          </w:p>
        </w:tc>
      </w:tr>
      <w:tr w:rsidR="00EA3A93" w:rsidRPr="001B6644" w:rsidTr="001B6644">
        <w:trPr>
          <w:cantSplit/>
          <w:trHeight w:val="198"/>
          <w:jc w:val="center"/>
        </w:trPr>
        <w:tc>
          <w:tcPr>
            <w:tcW w:w="3380" w:type="dxa"/>
            <w:tcBorders>
              <w:bottom w:val="single" w:sz="2" w:space="0" w:color="auto"/>
            </w:tcBorders>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 xml:space="preserve">Coste unitario por </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p>
        </w:tc>
        <w:tc>
          <w:tcPr>
            <w:tcW w:w="1680" w:type="dxa"/>
            <w:tcBorders>
              <w:bottom w:val="single" w:sz="2"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0,291</w:t>
            </w:r>
          </w:p>
        </w:tc>
        <w:tc>
          <w:tcPr>
            <w:tcW w:w="1567"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c>
          <w:tcPr>
            <w:tcW w:w="2174"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0,554</w:t>
            </w:r>
          </w:p>
        </w:tc>
      </w:tr>
      <w:tr w:rsidR="00EA3A93" w:rsidRPr="001B6644" w:rsidTr="001B6644">
        <w:trPr>
          <w:cantSplit/>
          <w:trHeight w:val="255"/>
          <w:jc w:val="center"/>
        </w:trPr>
        <w:tc>
          <w:tcPr>
            <w:tcW w:w="3380"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bCs/>
                <w:lang w:val="es-ES" w:eastAsia="es-ES"/>
              </w:rPr>
            </w:pPr>
            <w:r w:rsidRPr="001B6644">
              <w:rPr>
                <w:rFonts w:ascii="Arial" w:hAnsi="Arial" w:cs="Arial"/>
                <w:bCs/>
                <w:lang w:val="es-ES" w:eastAsia="es-ES"/>
              </w:rPr>
              <w:t>Manantiales del Carrascal</w:t>
            </w:r>
          </w:p>
        </w:tc>
        <w:tc>
          <w:tcPr>
            <w:tcW w:w="1680" w:type="dxa"/>
            <w:tcBorders>
              <w:top w:val="single" w:sz="2" w:space="0" w:color="auto"/>
            </w:tcBorders>
            <w:shd w:val="clear" w:color="auto" w:fill="auto"/>
            <w:noWrap/>
            <w:vAlign w:val="center"/>
            <w:hideMark/>
          </w:tcPr>
          <w:p w:rsidR="00EA3A93" w:rsidRPr="001B6644" w:rsidRDefault="00EA3A93" w:rsidP="001B6644">
            <w:pPr>
              <w:spacing w:after="0"/>
              <w:ind w:left="-70" w:firstLine="0"/>
              <w:contextualSpacing/>
              <w:jc w:val="left"/>
              <w:rPr>
                <w:rFonts w:ascii="Arial" w:hAnsi="Arial" w:cs="Arial"/>
                <w:color w:val="000000"/>
                <w:lang w:val="es-ES" w:eastAsia="es-ES"/>
              </w:rPr>
            </w:pPr>
          </w:p>
        </w:tc>
        <w:tc>
          <w:tcPr>
            <w:tcW w:w="1567"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c>
          <w:tcPr>
            <w:tcW w:w="2174"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Total costes (€)</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7.164</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lang w:val="es-ES" w:eastAsia="es-ES"/>
              </w:rPr>
            </w:pPr>
            <w:r w:rsidRPr="001B6644">
              <w:rPr>
                <w:rFonts w:ascii="Arial Narrow" w:hAnsi="Arial Narrow" w:cs="Arial"/>
                <w:sz w:val="18"/>
                <w:szCs w:val="18"/>
                <w:lang w:val="es-ES" w:eastAsia="es-ES"/>
              </w:rPr>
              <w:t>7.164</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 xml:space="preserve">Total producción </w:t>
            </w:r>
            <w:r w:rsidR="00A02272">
              <w:rPr>
                <w:rFonts w:ascii="Arial Narrow" w:hAnsi="Arial Narrow" w:cs="Arial"/>
                <w:sz w:val="18"/>
                <w:szCs w:val="18"/>
                <w:lang w:val="es-ES" w:eastAsia="es-ES"/>
              </w:rPr>
              <w:t>(</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r w:rsidR="00A02272" w:rsidRPr="001B6644">
              <w:rPr>
                <w:rFonts w:ascii="Arial Narrow" w:hAnsi="Arial Narrow" w:cs="Arial"/>
                <w:sz w:val="18"/>
                <w:szCs w:val="18"/>
                <w:lang w:val="es-ES" w:eastAsia="es-ES"/>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465.000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lang w:val="es-ES" w:eastAsia="es-ES"/>
              </w:rPr>
            </w:pPr>
            <w:r w:rsidRPr="001B6644">
              <w:rPr>
                <w:rFonts w:ascii="Arial Narrow" w:hAnsi="Arial Narrow" w:cs="Arial"/>
                <w:sz w:val="18"/>
                <w:szCs w:val="18"/>
                <w:lang w:val="es-ES" w:eastAsia="es-ES"/>
              </w:rPr>
              <w:t>465.000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r>
      <w:tr w:rsidR="00EA3A93" w:rsidRPr="001B6644" w:rsidTr="001B6644">
        <w:trPr>
          <w:cantSplit/>
          <w:trHeight w:val="198"/>
          <w:jc w:val="center"/>
        </w:trPr>
        <w:tc>
          <w:tcPr>
            <w:tcW w:w="3380" w:type="dxa"/>
            <w:tcBorders>
              <w:bottom w:val="single" w:sz="2" w:space="0" w:color="auto"/>
            </w:tcBorders>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 xml:space="preserve">Coste unitario por </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p>
        </w:tc>
        <w:tc>
          <w:tcPr>
            <w:tcW w:w="1680" w:type="dxa"/>
            <w:tcBorders>
              <w:bottom w:val="single" w:sz="2"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0,015</w:t>
            </w:r>
          </w:p>
        </w:tc>
        <w:tc>
          <w:tcPr>
            <w:tcW w:w="1567"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0,015</w:t>
            </w:r>
          </w:p>
        </w:tc>
        <w:tc>
          <w:tcPr>
            <w:tcW w:w="2174"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r>
      <w:tr w:rsidR="00EA3A93" w:rsidRPr="001B6644" w:rsidTr="001B6644">
        <w:trPr>
          <w:cantSplit/>
          <w:trHeight w:val="255"/>
          <w:jc w:val="center"/>
        </w:trPr>
        <w:tc>
          <w:tcPr>
            <w:tcW w:w="3380"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bCs/>
                <w:lang w:val="es-ES" w:eastAsia="es-ES"/>
              </w:rPr>
            </w:pPr>
            <w:r w:rsidRPr="001B6644">
              <w:rPr>
                <w:rFonts w:ascii="Arial" w:hAnsi="Arial" w:cs="Arial"/>
                <w:bCs/>
                <w:lang w:val="es-ES" w:eastAsia="es-ES"/>
              </w:rPr>
              <w:t>Bombeo del Escal</w:t>
            </w:r>
          </w:p>
        </w:tc>
        <w:tc>
          <w:tcPr>
            <w:tcW w:w="1680" w:type="dxa"/>
            <w:tcBorders>
              <w:top w:val="single" w:sz="2" w:space="0" w:color="auto"/>
            </w:tcBorders>
            <w:shd w:val="clear" w:color="auto" w:fill="auto"/>
            <w:noWrap/>
            <w:vAlign w:val="center"/>
            <w:hideMark/>
          </w:tcPr>
          <w:p w:rsidR="00EA3A93" w:rsidRPr="001B6644" w:rsidRDefault="00EA3A93" w:rsidP="001B6644">
            <w:pPr>
              <w:spacing w:after="0"/>
              <w:ind w:left="-70" w:firstLine="0"/>
              <w:contextualSpacing/>
              <w:jc w:val="left"/>
              <w:rPr>
                <w:rFonts w:ascii="Arial" w:hAnsi="Arial" w:cs="Arial"/>
                <w:color w:val="000000"/>
                <w:lang w:val="es-ES" w:eastAsia="es-ES"/>
              </w:rPr>
            </w:pPr>
          </w:p>
        </w:tc>
        <w:tc>
          <w:tcPr>
            <w:tcW w:w="1567"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c>
          <w:tcPr>
            <w:tcW w:w="2174"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Total costes (€)</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18.987</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lang w:val="es-ES" w:eastAsia="es-ES"/>
              </w:rPr>
            </w:pPr>
            <w:r w:rsidRPr="001B6644">
              <w:rPr>
                <w:rFonts w:ascii="Arial Narrow" w:hAnsi="Arial Narrow" w:cs="Arial"/>
                <w:sz w:val="18"/>
                <w:szCs w:val="18"/>
                <w:lang w:val="es-ES" w:eastAsia="es-ES"/>
              </w:rPr>
              <w:t>18.964</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 xml:space="preserve">Total producción </w:t>
            </w:r>
            <w:r w:rsidR="00A02272">
              <w:rPr>
                <w:rFonts w:ascii="Arial Narrow" w:hAnsi="Arial Narrow" w:cs="Arial"/>
                <w:sz w:val="18"/>
                <w:szCs w:val="18"/>
                <w:lang w:val="es-ES" w:eastAsia="es-ES"/>
              </w:rPr>
              <w:t>(</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r w:rsidR="00A02272" w:rsidRPr="001B6644">
              <w:rPr>
                <w:rFonts w:ascii="Arial Narrow" w:hAnsi="Arial Narrow" w:cs="Arial"/>
                <w:sz w:val="18"/>
                <w:szCs w:val="18"/>
                <w:lang w:val="es-ES" w:eastAsia="es-ES"/>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88.000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lang w:val="es-ES" w:eastAsia="es-ES"/>
              </w:rPr>
            </w:pPr>
            <w:r w:rsidRPr="001B6644">
              <w:rPr>
                <w:rFonts w:ascii="Arial Narrow" w:hAnsi="Arial Narrow" w:cs="Arial"/>
                <w:sz w:val="18"/>
                <w:szCs w:val="18"/>
                <w:lang w:val="es-ES" w:eastAsia="es-ES"/>
              </w:rPr>
              <w:t>88.000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r>
      <w:tr w:rsidR="00EA3A93" w:rsidRPr="001B6644" w:rsidTr="001B6644">
        <w:trPr>
          <w:cantSplit/>
          <w:trHeight w:val="198"/>
          <w:jc w:val="center"/>
        </w:trPr>
        <w:tc>
          <w:tcPr>
            <w:tcW w:w="3380" w:type="dxa"/>
            <w:tcBorders>
              <w:bottom w:val="single" w:sz="2" w:space="0" w:color="auto"/>
            </w:tcBorders>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 xml:space="preserve">Coste unitario por </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p>
        </w:tc>
        <w:tc>
          <w:tcPr>
            <w:tcW w:w="1680" w:type="dxa"/>
            <w:tcBorders>
              <w:bottom w:val="single" w:sz="2"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0,216</w:t>
            </w:r>
          </w:p>
        </w:tc>
        <w:tc>
          <w:tcPr>
            <w:tcW w:w="1567"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lang w:val="es-ES" w:eastAsia="es-ES"/>
              </w:rPr>
            </w:pPr>
            <w:r w:rsidRPr="001B6644">
              <w:rPr>
                <w:rFonts w:ascii="Arial Narrow" w:hAnsi="Arial Narrow" w:cs="Arial"/>
                <w:sz w:val="18"/>
                <w:szCs w:val="18"/>
                <w:lang w:val="es-ES" w:eastAsia="es-ES"/>
              </w:rPr>
              <w:t>0,215</w:t>
            </w:r>
          </w:p>
        </w:tc>
        <w:tc>
          <w:tcPr>
            <w:tcW w:w="2174"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r>
      <w:tr w:rsidR="00EA3A93" w:rsidRPr="001B6644" w:rsidTr="001B6644">
        <w:trPr>
          <w:cantSplit/>
          <w:trHeight w:val="255"/>
          <w:jc w:val="center"/>
        </w:trPr>
        <w:tc>
          <w:tcPr>
            <w:tcW w:w="3380"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bCs/>
                <w:lang w:val="es-ES" w:eastAsia="es-ES"/>
              </w:rPr>
            </w:pPr>
            <w:r w:rsidRPr="001B6644">
              <w:rPr>
                <w:rFonts w:ascii="Arial" w:hAnsi="Arial" w:cs="Arial"/>
                <w:bCs/>
                <w:lang w:val="es-ES" w:eastAsia="es-ES"/>
              </w:rPr>
              <w:t>ETAP La Pedrera</w:t>
            </w:r>
          </w:p>
        </w:tc>
        <w:tc>
          <w:tcPr>
            <w:tcW w:w="1680" w:type="dxa"/>
            <w:tcBorders>
              <w:top w:val="single" w:sz="2" w:space="0" w:color="auto"/>
            </w:tcBorders>
            <w:shd w:val="clear" w:color="auto" w:fill="auto"/>
            <w:noWrap/>
            <w:vAlign w:val="center"/>
            <w:hideMark/>
          </w:tcPr>
          <w:p w:rsidR="00EA3A93" w:rsidRPr="001B6644" w:rsidRDefault="00EA3A93" w:rsidP="001B6644">
            <w:pPr>
              <w:spacing w:after="0"/>
              <w:ind w:left="-70" w:firstLine="0"/>
              <w:contextualSpacing/>
              <w:jc w:val="left"/>
              <w:rPr>
                <w:rFonts w:ascii="Arial" w:hAnsi="Arial" w:cs="Arial"/>
                <w:color w:val="000000"/>
                <w:lang w:val="es-ES" w:eastAsia="es-ES"/>
              </w:rPr>
            </w:pPr>
          </w:p>
        </w:tc>
        <w:tc>
          <w:tcPr>
            <w:tcW w:w="1567"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c>
          <w:tcPr>
            <w:tcW w:w="2174"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Total costes (€)</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137.169</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lang w:val="es-ES" w:eastAsia="es-ES"/>
              </w:rPr>
            </w:pPr>
            <w:r w:rsidRPr="001B6644">
              <w:rPr>
                <w:rFonts w:ascii="Arial Narrow" w:hAnsi="Arial Narrow" w:cs="Arial"/>
                <w:sz w:val="18"/>
                <w:szCs w:val="18"/>
                <w:lang w:val="es-ES" w:eastAsia="es-ES"/>
              </w:rPr>
              <w:t>481.165</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347.362</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 xml:space="preserve">Total producción </w:t>
            </w:r>
            <w:r w:rsidR="00A02272">
              <w:rPr>
                <w:rFonts w:ascii="Arial Narrow" w:hAnsi="Arial Narrow" w:cs="Arial"/>
                <w:sz w:val="18"/>
                <w:szCs w:val="18"/>
                <w:lang w:val="es-ES" w:eastAsia="es-ES"/>
              </w:rPr>
              <w:t>(</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r w:rsidR="00A02272" w:rsidRPr="001B6644">
              <w:rPr>
                <w:rFonts w:ascii="Arial Narrow" w:hAnsi="Arial Narrow" w:cs="Arial"/>
                <w:sz w:val="18"/>
                <w:szCs w:val="18"/>
                <w:lang w:val="es-ES" w:eastAsia="es-ES"/>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lang w:val="es-ES" w:eastAsia="es-ES"/>
              </w:rPr>
            </w:pPr>
            <w:r w:rsidRPr="001B6644">
              <w:rPr>
                <w:rFonts w:ascii="Arial Narrow" w:hAnsi="Arial Narrow" w:cs="Arial"/>
                <w:sz w:val="18"/>
                <w:szCs w:val="18"/>
                <w:lang w:val="es-ES" w:eastAsia="es-ES"/>
              </w:rPr>
              <w:t>1.406.000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1.396.600</w:t>
            </w:r>
          </w:p>
        </w:tc>
      </w:tr>
      <w:tr w:rsidR="00EA3A93" w:rsidRPr="001B6644" w:rsidTr="001B6644">
        <w:trPr>
          <w:cantSplit/>
          <w:trHeight w:val="198"/>
          <w:jc w:val="center"/>
        </w:trPr>
        <w:tc>
          <w:tcPr>
            <w:tcW w:w="3380" w:type="dxa"/>
            <w:tcBorders>
              <w:bottom w:val="single" w:sz="2" w:space="0" w:color="auto"/>
            </w:tcBorders>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 xml:space="preserve">Coste unitario por </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r w:rsidRPr="001B6644">
              <w:rPr>
                <w:rFonts w:ascii="Arial Narrow" w:hAnsi="Arial Narrow" w:cs="Arial"/>
                <w:sz w:val="18"/>
                <w:szCs w:val="18"/>
                <w:lang w:val="es-ES" w:eastAsia="es-ES"/>
              </w:rPr>
              <w:t xml:space="preserve"> </w:t>
            </w:r>
          </w:p>
        </w:tc>
        <w:tc>
          <w:tcPr>
            <w:tcW w:w="1680" w:type="dxa"/>
            <w:tcBorders>
              <w:bottom w:val="single" w:sz="2"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c>
          <w:tcPr>
            <w:tcW w:w="1567"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lang w:val="es-ES" w:eastAsia="es-ES"/>
              </w:rPr>
            </w:pPr>
            <w:r w:rsidRPr="001B6644">
              <w:rPr>
                <w:rFonts w:ascii="Arial Narrow" w:hAnsi="Arial Narrow" w:cs="Arial"/>
                <w:sz w:val="18"/>
                <w:szCs w:val="18"/>
                <w:lang w:val="es-ES" w:eastAsia="es-ES"/>
              </w:rPr>
              <w:t>0,3422</w:t>
            </w:r>
          </w:p>
        </w:tc>
        <w:tc>
          <w:tcPr>
            <w:tcW w:w="2174"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0,249</w:t>
            </w:r>
          </w:p>
        </w:tc>
      </w:tr>
      <w:tr w:rsidR="00EA3A93" w:rsidRPr="001B6644" w:rsidTr="001B6644">
        <w:trPr>
          <w:cantSplit/>
          <w:trHeight w:val="255"/>
          <w:jc w:val="center"/>
        </w:trPr>
        <w:tc>
          <w:tcPr>
            <w:tcW w:w="3380"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bCs/>
                <w:lang w:val="es-ES" w:eastAsia="es-ES"/>
              </w:rPr>
            </w:pPr>
            <w:r w:rsidRPr="001B6644">
              <w:rPr>
                <w:rFonts w:ascii="Arial" w:hAnsi="Arial" w:cs="Arial"/>
                <w:bCs/>
                <w:lang w:val="es-ES" w:eastAsia="es-ES"/>
              </w:rPr>
              <w:t>Bombeo Canal de Navarra</w:t>
            </w:r>
          </w:p>
        </w:tc>
        <w:tc>
          <w:tcPr>
            <w:tcW w:w="1680" w:type="dxa"/>
            <w:tcBorders>
              <w:top w:val="single" w:sz="2" w:space="0" w:color="auto"/>
            </w:tcBorders>
            <w:shd w:val="clear" w:color="auto" w:fill="auto"/>
            <w:noWrap/>
            <w:vAlign w:val="center"/>
            <w:hideMark/>
          </w:tcPr>
          <w:p w:rsidR="00EA3A93" w:rsidRPr="001B6644" w:rsidRDefault="00EA3A93" w:rsidP="001B6644">
            <w:pPr>
              <w:spacing w:after="0"/>
              <w:ind w:left="-70" w:firstLine="0"/>
              <w:contextualSpacing/>
              <w:jc w:val="left"/>
              <w:rPr>
                <w:rFonts w:ascii="Arial" w:hAnsi="Arial" w:cs="Arial"/>
                <w:color w:val="000000"/>
                <w:lang w:val="es-ES" w:eastAsia="es-ES"/>
              </w:rPr>
            </w:pPr>
          </w:p>
        </w:tc>
        <w:tc>
          <w:tcPr>
            <w:tcW w:w="1567"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c>
          <w:tcPr>
            <w:tcW w:w="2174"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Total costes (€)</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1.635</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lang w:val="es-ES" w:eastAsia="es-ES"/>
              </w:rPr>
            </w:pPr>
            <w:r w:rsidRPr="001B6644">
              <w:rPr>
                <w:rFonts w:ascii="Arial Narrow" w:hAnsi="Arial Narrow" w:cs="Arial"/>
                <w:sz w:val="18"/>
                <w:szCs w:val="18"/>
                <w:lang w:val="es-ES" w:eastAsia="es-ES"/>
              </w:rPr>
              <w:t>6.215</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4.983</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A02272" w:rsidP="00A02272">
            <w:pPr>
              <w:spacing w:after="0"/>
              <w:ind w:left="230" w:firstLine="0"/>
              <w:contextualSpacing/>
              <w:jc w:val="left"/>
              <w:rPr>
                <w:rFonts w:ascii="Arial Narrow" w:hAnsi="Arial Narrow" w:cs="Arial"/>
                <w:sz w:val="18"/>
                <w:szCs w:val="18"/>
                <w:lang w:val="es-ES" w:eastAsia="es-ES"/>
              </w:rPr>
            </w:pPr>
            <w:r>
              <w:rPr>
                <w:rFonts w:ascii="Arial Narrow" w:hAnsi="Arial Narrow" w:cs="Arial"/>
                <w:sz w:val="18"/>
                <w:szCs w:val="18"/>
                <w:lang w:val="es-ES" w:eastAsia="es-ES"/>
              </w:rPr>
              <w:t>Total producción (</w:t>
            </w:r>
            <w:r w:rsidRPr="00A02272">
              <w:rPr>
                <w:rFonts w:ascii="Arial Narrow" w:hAnsi="Arial Narrow" w:cs="Arial"/>
                <w:sz w:val="18"/>
                <w:szCs w:val="18"/>
                <w:lang w:val="es-ES" w:eastAsia="es-ES"/>
              </w:rPr>
              <w:t>m</w:t>
            </w:r>
            <w:r w:rsidRPr="00A02272">
              <w:rPr>
                <w:rFonts w:ascii="Arial Narrow" w:hAnsi="Arial Narrow" w:cs="Arial"/>
                <w:sz w:val="18"/>
                <w:szCs w:val="18"/>
                <w:vertAlign w:val="superscript"/>
                <w:lang w:val="es-ES" w:eastAsia="es-ES"/>
              </w:rPr>
              <w:t>3</w:t>
            </w:r>
            <w:r w:rsidR="00EA3A93" w:rsidRPr="001B6644">
              <w:rPr>
                <w:rFonts w:ascii="Arial Narrow" w:hAnsi="Arial Narrow" w:cs="Arial"/>
                <w:sz w:val="18"/>
                <w:szCs w:val="18"/>
                <w:lang w:val="es-ES" w:eastAsia="es-ES"/>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lang w:val="es-ES" w:eastAsia="es-ES"/>
              </w:rPr>
            </w:pPr>
            <w:r w:rsidRPr="001B6644">
              <w:rPr>
                <w:rFonts w:ascii="Arial Narrow" w:hAnsi="Arial Narrow" w:cs="Arial"/>
                <w:sz w:val="18"/>
                <w:szCs w:val="18"/>
                <w:lang w:val="es-ES" w:eastAsia="es-ES"/>
              </w:rPr>
              <w:t>432.346</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259.407</w:t>
            </w:r>
          </w:p>
        </w:tc>
      </w:tr>
      <w:tr w:rsidR="00EA3A93" w:rsidRPr="001B6644" w:rsidTr="001B6644">
        <w:trPr>
          <w:cantSplit/>
          <w:trHeight w:val="198"/>
          <w:jc w:val="center"/>
        </w:trPr>
        <w:tc>
          <w:tcPr>
            <w:tcW w:w="3380" w:type="dxa"/>
            <w:tcBorders>
              <w:bottom w:val="single" w:sz="2" w:space="0" w:color="auto"/>
            </w:tcBorders>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 xml:space="preserve">Coste unitario BCN por </w:t>
            </w:r>
            <w:r w:rsidR="00A02272">
              <w:rPr>
                <w:rFonts w:ascii="Arial Narrow" w:hAnsi="Arial Narrow" w:cs="Arial"/>
                <w:sz w:val="18"/>
                <w:szCs w:val="18"/>
                <w:lang w:val="es-ES" w:eastAsia="es-ES"/>
              </w:rPr>
              <w:t xml:space="preserve"> </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p>
        </w:tc>
        <w:tc>
          <w:tcPr>
            <w:tcW w:w="1680" w:type="dxa"/>
            <w:tcBorders>
              <w:bottom w:val="single" w:sz="2"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c>
          <w:tcPr>
            <w:tcW w:w="1567"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lang w:val="es-ES" w:eastAsia="es-ES"/>
              </w:rPr>
            </w:pPr>
            <w:r w:rsidRPr="001B6644">
              <w:rPr>
                <w:rFonts w:ascii="Arial Narrow" w:hAnsi="Arial Narrow" w:cs="Arial"/>
                <w:sz w:val="18"/>
                <w:szCs w:val="18"/>
                <w:lang w:val="es-ES" w:eastAsia="es-ES"/>
              </w:rPr>
              <w:t>0,01</w:t>
            </w:r>
          </w:p>
        </w:tc>
        <w:tc>
          <w:tcPr>
            <w:tcW w:w="2174"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0,019</w:t>
            </w:r>
          </w:p>
        </w:tc>
      </w:tr>
      <w:tr w:rsidR="00EA3A93" w:rsidRPr="001B6644" w:rsidTr="001B6644">
        <w:trPr>
          <w:cantSplit/>
          <w:trHeight w:val="255"/>
          <w:jc w:val="center"/>
        </w:trPr>
        <w:tc>
          <w:tcPr>
            <w:tcW w:w="3380"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bCs/>
                <w:lang w:val="es-ES" w:eastAsia="es-ES"/>
              </w:rPr>
            </w:pPr>
            <w:r w:rsidRPr="001B6644">
              <w:rPr>
                <w:rFonts w:ascii="Arial" w:hAnsi="Arial" w:cs="Arial"/>
                <w:bCs/>
                <w:lang w:val="es-ES" w:eastAsia="es-ES"/>
              </w:rPr>
              <w:t>Bombeo La Pedrera-Depósito Olóriz</w:t>
            </w:r>
          </w:p>
        </w:tc>
        <w:tc>
          <w:tcPr>
            <w:tcW w:w="1680" w:type="dxa"/>
            <w:tcBorders>
              <w:top w:val="single" w:sz="2" w:space="0" w:color="auto"/>
            </w:tcBorders>
            <w:shd w:val="clear" w:color="auto" w:fill="auto"/>
            <w:noWrap/>
            <w:vAlign w:val="center"/>
            <w:hideMark/>
          </w:tcPr>
          <w:p w:rsidR="00EA3A93" w:rsidRPr="001B6644" w:rsidRDefault="00EA3A93" w:rsidP="001B6644">
            <w:pPr>
              <w:spacing w:after="0"/>
              <w:ind w:left="-70" w:firstLine="0"/>
              <w:contextualSpacing/>
              <w:jc w:val="left"/>
              <w:rPr>
                <w:rFonts w:ascii="Arial" w:hAnsi="Arial" w:cs="Arial"/>
                <w:color w:val="000000"/>
                <w:lang w:val="es-ES" w:eastAsia="es-ES"/>
              </w:rPr>
            </w:pPr>
          </w:p>
        </w:tc>
        <w:tc>
          <w:tcPr>
            <w:tcW w:w="1567"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c>
          <w:tcPr>
            <w:tcW w:w="2174"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 xml:space="preserve">Total costes (€) </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26.001</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 xml:space="preserve">Total producción </w:t>
            </w:r>
            <w:r w:rsidR="00A02272">
              <w:rPr>
                <w:rFonts w:ascii="Arial Narrow" w:hAnsi="Arial Narrow" w:cs="Arial"/>
                <w:sz w:val="18"/>
                <w:szCs w:val="18"/>
                <w:lang w:val="es-ES" w:eastAsia="es-ES"/>
              </w:rPr>
              <w:t>(</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r w:rsidR="00A02272" w:rsidRPr="001B6644">
              <w:rPr>
                <w:rFonts w:ascii="Arial Narrow" w:hAnsi="Arial Narrow" w:cs="Arial"/>
                <w:sz w:val="18"/>
                <w:szCs w:val="18"/>
                <w:lang w:val="es-ES" w:eastAsia="es-ES"/>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275.940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r>
      <w:tr w:rsidR="00EA3A93" w:rsidRPr="001B6644" w:rsidTr="001B6644">
        <w:trPr>
          <w:cantSplit/>
          <w:trHeight w:val="198"/>
          <w:jc w:val="center"/>
        </w:trPr>
        <w:tc>
          <w:tcPr>
            <w:tcW w:w="3380" w:type="dxa"/>
            <w:tcBorders>
              <w:bottom w:val="single" w:sz="2" w:space="0" w:color="auto"/>
            </w:tcBorders>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 xml:space="preserve">Coste unitario LPO por </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p>
        </w:tc>
        <w:tc>
          <w:tcPr>
            <w:tcW w:w="1680" w:type="dxa"/>
            <w:tcBorders>
              <w:bottom w:val="single" w:sz="2"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c>
          <w:tcPr>
            <w:tcW w:w="1567"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0,094</w:t>
            </w:r>
          </w:p>
        </w:tc>
        <w:tc>
          <w:tcPr>
            <w:tcW w:w="2174"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r>
      <w:tr w:rsidR="00EA3A93" w:rsidRPr="001B6644" w:rsidTr="001B6644">
        <w:trPr>
          <w:cantSplit/>
          <w:trHeight w:val="255"/>
          <w:jc w:val="center"/>
        </w:trPr>
        <w:tc>
          <w:tcPr>
            <w:tcW w:w="3380"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bCs/>
                <w:lang w:val="es-ES" w:eastAsia="es-ES"/>
              </w:rPr>
            </w:pPr>
            <w:r w:rsidRPr="001B6644">
              <w:rPr>
                <w:rFonts w:ascii="Arial" w:hAnsi="Arial" w:cs="Arial"/>
                <w:bCs/>
                <w:lang w:val="es-ES" w:eastAsia="es-ES"/>
              </w:rPr>
              <w:t>Bombeo ETAP La Pedrera-Dep. La Pedrera</w:t>
            </w:r>
          </w:p>
        </w:tc>
        <w:tc>
          <w:tcPr>
            <w:tcW w:w="1680" w:type="dxa"/>
            <w:tcBorders>
              <w:top w:val="single" w:sz="2" w:space="0" w:color="auto"/>
            </w:tcBorders>
            <w:shd w:val="clear" w:color="auto" w:fill="auto"/>
            <w:noWrap/>
            <w:vAlign w:val="center"/>
            <w:hideMark/>
          </w:tcPr>
          <w:p w:rsidR="00EA3A93" w:rsidRPr="001B6644" w:rsidRDefault="00EA3A93" w:rsidP="001B6644">
            <w:pPr>
              <w:spacing w:after="0"/>
              <w:ind w:left="-70" w:firstLine="0"/>
              <w:contextualSpacing/>
              <w:jc w:val="left"/>
              <w:rPr>
                <w:rFonts w:ascii="Arial" w:hAnsi="Arial" w:cs="Arial"/>
                <w:color w:val="000000"/>
                <w:lang w:val="es-ES" w:eastAsia="es-ES"/>
              </w:rPr>
            </w:pPr>
          </w:p>
        </w:tc>
        <w:tc>
          <w:tcPr>
            <w:tcW w:w="1567"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c>
          <w:tcPr>
            <w:tcW w:w="2174"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Total costes (€)</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5.629</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19.496</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lang w:val="es-ES" w:eastAsia="es-ES"/>
              </w:rPr>
            </w:pPr>
            <w:r w:rsidRPr="001B6644">
              <w:rPr>
                <w:rFonts w:ascii="Arial Narrow" w:hAnsi="Arial Narrow" w:cs="Arial"/>
                <w:sz w:val="18"/>
                <w:szCs w:val="18"/>
                <w:lang w:val="es-ES" w:eastAsia="es-ES"/>
              </w:rPr>
              <w:t xml:space="preserve">Total producción </w:t>
            </w:r>
            <w:r w:rsidR="00A02272">
              <w:rPr>
                <w:rFonts w:ascii="Arial Narrow" w:hAnsi="Arial Narrow" w:cs="Arial"/>
                <w:sz w:val="18"/>
                <w:szCs w:val="18"/>
                <w:lang w:val="es-ES" w:eastAsia="es-ES"/>
              </w:rPr>
              <w:t>(</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r w:rsidR="00A02272" w:rsidRPr="001B6644">
              <w:rPr>
                <w:rFonts w:ascii="Arial Narrow" w:hAnsi="Arial Narrow" w:cs="Arial"/>
                <w:sz w:val="18"/>
                <w:szCs w:val="18"/>
                <w:lang w:val="es-ES" w:eastAsia="es-ES"/>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275.940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1.396.600</w:t>
            </w:r>
          </w:p>
        </w:tc>
      </w:tr>
      <w:tr w:rsidR="00EA3A93" w:rsidRPr="001B6644" w:rsidTr="001B6644">
        <w:trPr>
          <w:cantSplit/>
          <w:trHeight w:val="198"/>
          <w:jc w:val="center"/>
        </w:trPr>
        <w:tc>
          <w:tcPr>
            <w:tcW w:w="3380" w:type="dxa"/>
            <w:tcBorders>
              <w:bottom w:val="single" w:sz="4" w:space="0" w:color="auto"/>
            </w:tcBorders>
            <w:shd w:val="clear" w:color="auto" w:fill="auto"/>
            <w:noWrap/>
            <w:vAlign w:val="center"/>
            <w:hideMark/>
          </w:tcPr>
          <w:p w:rsidR="00EA3A93" w:rsidRPr="001B6644" w:rsidRDefault="00A02272" w:rsidP="001B6644">
            <w:pPr>
              <w:spacing w:after="0"/>
              <w:ind w:left="230" w:firstLine="0"/>
              <w:contextualSpacing/>
              <w:jc w:val="left"/>
              <w:rPr>
                <w:rFonts w:ascii="Arial Narrow" w:hAnsi="Arial Narrow" w:cs="Arial"/>
                <w:sz w:val="18"/>
                <w:szCs w:val="18"/>
                <w:lang w:val="es-ES" w:eastAsia="es-ES"/>
              </w:rPr>
            </w:pPr>
            <w:r>
              <w:rPr>
                <w:rFonts w:ascii="Arial Narrow" w:hAnsi="Arial Narrow" w:cs="Arial"/>
                <w:sz w:val="18"/>
                <w:szCs w:val="18"/>
                <w:lang w:val="es-ES" w:eastAsia="es-ES"/>
              </w:rPr>
              <w:t xml:space="preserve">Coste unitario LPO por </w:t>
            </w:r>
            <w:r w:rsidRPr="00A02272">
              <w:rPr>
                <w:rFonts w:ascii="Arial Narrow" w:hAnsi="Arial Narrow" w:cs="Arial"/>
                <w:sz w:val="18"/>
                <w:szCs w:val="18"/>
                <w:lang w:val="es-ES" w:eastAsia="es-ES"/>
              </w:rPr>
              <w:t>m</w:t>
            </w:r>
            <w:r w:rsidRPr="00A02272">
              <w:rPr>
                <w:rFonts w:ascii="Arial Narrow" w:hAnsi="Arial Narrow" w:cs="Arial"/>
                <w:sz w:val="18"/>
                <w:szCs w:val="18"/>
                <w:vertAlign w:val="superscript"/>
                <w:lang w:val="es-ES" w:eastAsia="es-ES"/>
              </w:rPr>
              <w:t>3</w:t>
            </w:r>
          </w:p>
        </w:tc>
        <w:tc>
          <w:tcPr>
            <w:tcW w:w="1680" w:type="dxa"/>
            <w:tcBorders>
              <w:bottom w:val="single" w:sz="4"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w:t>
            </w:r>
          </w:p>
        </w:tc>
        <w:tc>
          <w:tcPr>
            <w:tcW w:w="1567" w:type="dxa"/>
            <w:tcBorders>
              <w:bottom w:val="single" w:sz="4"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0,02</w:t>
            </w:r>
          </w:p>
        </w:tc>
        <w:tc>
          <w:tcPr>
            <w:tcW w:w="2174" w:type="dxa"/>
            <w:tcBorders>
              <w:bottom w:val="single" w:sz="4"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lang w:val="es-ES" w:eastAsia="es-ES"/>
              </w:rPr>
            </w:pPr>
            <w:r w:rsidRPr="001B6644">
              <w:rPr>
                <w:rFonts w:ascii="Arial Narrow" w:hAnsi="Arial Narrow" w:cs="Arial"/>
                <w:color w:val="000000"/>
                <w:sz w:val="18"/>
                <w:szCs w:val="18"/>
                <w:lang w:val="es-ES" w:eastAsia="es-ES"/>
              </w:rPr>
              <w:t>0,014</w:t>
            </w:r>
          </w:p>
        </w:tc>
      </w:tr>
      <w:tr w:rsidR="00EA3A93" w:rsidRPr="00EA3A93" w:rsidTr="001B6644">
        <w:trPr>
          <w:cantSplit/>
          <w:trHeight w:val="198"/>
          <w:jc w:val="center"/>
        </w:trPr>
        <w:tc>
          <w:tcPr>
            <w:tcW w:w="3380" w:type="dxa"/>
            <w:tcBorders>
              <w:top w:val="single" w:sz="4" w:space="0" w:color="auto"/>
              <w:bottom w:val="single" w:sz="2" w:space="0" w:color="auto"/>
            </w:tcBorders>
            <w:shd w:val="clear" w:color="auto" w:fill="FABF8F" w:themeFill="accent6" w:themeFillTint="99"/>
            <w:noWrap/>
            <w:vAlign w:val="center"/>
            <w:hideMark/>
          </w:tcPr>
          <w:p w:rsidR="00EA3A93" w:rsidRPr="00EA3A93" w:rsidRDefault="00EA3A93" w:rsidP="001B6644">
            <w:pPr>
              <w:spacing w:after="0"/>
              <w:ind w:left="6" w:firstLine="0"/>
              <w:contextualSpacing/>
              <w:jc w:val="left"/>
              <w:rPr>
                <w:rFonts w:ascii="Arial" w:hAnsi="Arial" w:cs="Arial"/>
                <w:bCs/>
                <w:sz w:val="18"/>
                <w:szCs w:val="18"/>
                <w:lang w:val="es-ES" w:eastAsia="es-ES"/>
              </w:rPr>
            </w:pPr>
            <w:r w:rsidRPr="00EA3A93">
              <w:rPr>
                <w:rFonts w:ascii="Arial" w:hAnsi="Arial" w:cs="Arial"/>
                <w:bCs/>
                <w:sz w:val="18"/>
                <w:szCs w:val="18"/>
                <w:lang w:val="es-ES" w:eastAsia="es-ES"/>
              </w:rPr>
              <w:t>Total costes (€)</w:t>
            </w:r>
          </w:p>
        </w:tc>
        <w:tc>
          <w:tcPr>
            <w:tcW w:w="1680" w:type="dxa"/>
            <w:tcBorders>
              <w:top w:val="single" w:sz="4" w:space="0" w:color="auto"/>
              <w:bottom w:val="single" w:sz="2" w:space="0" w:color="auto"/>
            </w:tcBorders>
            <w:shd w:val="clear" w:color="auto" w:fill="FABF8F" w:themeFill="accent6" w:themeFillTint="99"/>
            <w:noWrap/>
            <w:vAlign w:val="center"/>
            <w:hideMark/>
          </w:tcPr>
          <w:p w:rsidR="00EA3A93" w:rsidRPr="00EA3A93" w:rsidRDefault="00EA3A93" w:rsidP="001B6644">
            <w:pPr>
              <w:spacing w:after="0"/>
              <w:ind w:left="-70" w:firstLine="0"/>
              <w:contextualSpacing/>
              <w:jc w:val="right"/>
              <w:rPr>
                <w:rFonts w:ascii="Arial" w:hAnsi="Arial" w:cs="Arial"/>
                <w:color w:val="000000"/>
                <w:sz w:val="18"/>
                <w:szCs w:val="18"/>
                <w:lang w:val="es-ES" w:eastAsia="es-ES"/>
              </w:rPr>
            </w:pPr>
            <w:r w:rsidRPr="00EA3A93">
              <w:rPr>
                <w:rFonts w:ascii="Arial" w:hAnsi="Arial" w:cs="Arial"/>
                <w:color w:val="000000"/>
                <w:sz w:val="18"/>
                <w:szCs w:val="18"/>
                <w:lang w:val="es-ES" w:eastAsia="es-ES"/>
              </w:rPr>
              <w:t>573.909</w:t>
            </w:r>
          </w:p>
        </w:tc>
        <w:tc>
          <w:tcPr>
            <w:tcW w:w="1567" w:type="dxa"/>
            <w:tcBorders>
              <w:top w:val="single" w:sz="4" w:space="0" w:color="auto"/>
              <w:bottom w:val="single" w:sz="2" w:space="0" w:color="auto"/>
            </w:tcBorders>
            <w:shd w:val="clear" w:color="auto" w:fill="FABF8F" w:themeFill="accent6" w:themeFillTint="99"/>
            <w:noWrap/>
            <w:vAlign w:val="center"/>
            <w:hideMark/>
          </w:tcPr>
          <w:p w:rsidR="00EA3A93" w:rsidRPr="00EA3A93" w:rsidRDefault="00EA3A93" w:rsidP="00297D83">
            <w:pPr>
              <w:spacing w:after="0"/>
              <w:ind w:firstLine="0"/>
              <w:contextualSpacing/>
              <w:jc w:val="right"/>
              <w:rPr>
                <w:rFonts w:ascii="Arial" w:hAnsi="Arial" w:cs="Arial"/>
                <w:color w:val="000000"/>
                <w:sz w:val="18"/>
                <w:szCs w:val="18"/>
                <w:lang w:val="es-ES" w:eastAsia="es-ES"/>
              </w:rPr>
            </w:pPr>
            <w:r w:rsidRPr="00EA3A93">
              <w:rPr>
                <w:rFonts w:ascii="Arial" w:hAnsi="Arial" w:cs="Arial"/>
                <w:color w:val="000000"/>
                <w:sz w:val="18"/>
                <w:szCs w:val="18"/>
                <w:lang w:val="es-ES" w:eastAsia="es-ES"/>
              </w:rPr>
              <w:t>545.138</w:t>
            </w:r>
          </w:p>
        </w:tc>
        <w:tc>
          <w:tcPr>
            <w:tcW w:w="2174" w:type="dxa"/>
            <w:tcBorders>
              <w:top w:val="single" w:sz="4" w:space="0" w:color="auto"/>
              <w:bottom w:val="single" w:sz="2" w:space="0" w:color="auto"/>
            </w:tcBorders>
            <w:shd w:val="clear" w:color="auto" w:fill="FABF8F" w:themeFill="accent6" w:themeFillTint="99"/>
            <w:noWrap/>
            <w:vAlign w:val="center"/>
            <w:hideMark/>
          </w:tcPr>
          <w:p w:rsidR="00EA3A93" w:rsidRPr="00EA3A93" w:rsidRDefault="00EA3A93" w:rsidP="00297D83">
            <w:pPr>
              <w:spacing w:after="0"/>
              <w:ind w:firstLine="0"/>
              <w:contextualSpacing/>
              <w:jc w:val="right"/>
              <w:rPr>
                <w:rFonts w:ascii="Arial" w:hAnsi="Arial" w:cs="Arial"/>
                <w:color w:val="000000"/>
                <w:sz w:val="18"/>
                <w:szCs w:val="18"/>
                <w:lang w:val="es-ES" w:eastAsia="es-ES"/>
              </w:rPr>
            </w:pPr>
            <w:r w:rsidRPr="00EA3A93">
              <w:rPr>
                <w:rFonts w:ascii="Arial" w:hAnsi="Arial" w:cs="Arial"/>
                <w:color w:val="000000"/>
                <w:sz w:val="18"/>
                <w:szCs w:val="18"/>
                <w:lang w:val="es-ES" w:eastAsia="es-ES"/>
              </w:rPr>
              <w:t>683.565</w:t>
            </w:r>
          </w:p>
        </w:tc>
      </w:tr>
      <w:tr w:rsidR="00EA3A93" w:rsidRPr="00EA3A93" w:rsidTr="001B6644">
        <w:trPr>
          <w:cantSplit/>
          <w:trHeight w:val="198"/>
          <w:jc w:val="center"/>
        </w:trPr>
        <w:tc>
          <w:tcPr>
            <w:tcW w:w="3380" w:type="dxa"/>
            <w:tcBorders>
              <w:top w:val="single" w:sz="2" w:space="0" w:color="auto"/>
              <w:bottom w:val="single" w:sz="2" w:space="0" w:color="auto"/>
            </w:tcBorders>
            <w:shd w:val="clear" w:color="auto" w:fill="FABF8F" w:themeFill="accent6" w:themeFillTint="99"/>
            <w:noWrap/>
            <w:vAlign w:val="center"/>
            <w:hideMark/>
          </w:tcPr>
          <w:p w:rsidR="00EA3A93" w:rsidRPr="00EA3A93" w:rsidRDefault="00EA3A93" w:rsidP="001B6644">
            <w:pPr>
              <w:spacing w:after="0"/>
              <w:ind w:left="6" w:firstLine="0"/>
              <w:contextualSpacing/>
              <w:jc w:val="left"/>
              <w:rPr>
                <w:rFonts w:ascii="Arial" w:hAnsi="Arial" w:cs="Arial"/>
                <w:bCs/>
                <w:sz w:val="18"/>
                <w:szCs w:val="18"/>
                <w:lang w:val="es-ES" w:eastAsia="es-ES"/>
              </w:rPr>
            </w:pPr>
            <w:r w:rsidRPr="00EA3A93">
              <w:rPr>
                <w:rFonts w:ascii="Arial" w:hAnsi="Arial" w:cs="Arial"/>
                <w:bCs/>
                <w:sz w:val="18"/>
                <w:szCs w:val="18"/>
                <w:lang w:val="es-ES" w:eastAsia="es-ES"/>
              </w:rPr>
              <w:t xml:space="preserve">Total producción </w:t>
            </w:r>
            <w:r w:rsidR="00A02272">
              <w:rPr>
                <w:rFonts w:ascii="Arial Narrow" w:hAnsi="Arial Narrow" w:cs="Arial"/>
                <w:sz w:val="18"/>
                <w:szCs w:val="18"/>
                <w:lang w:val="es-ES" w:eastAsia="es-ES"/>
              </w:rPr>
              <w:t>(</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r w:rsidR="00A02272">
              <w:rPr>
                <w:rFonts w:ascii="Arial Narrow" w:hAnsi="Arial Narrow" w:cs="Arial"/>
                <w:sz w:val="18"/>
                <w:szCs w:val="18"/>
                <w:lang w:val="es-ES" w:eastAsia="es-ES"/>
              </w:rPr>
              <w:t>)</w:t>
            </w:r>
          </w:p>
        </w:tc>
        <w:tc>
          <w:tcPr>
            <w:tcW w:w="1680" w:type="dxa"/>
            <w:tcBorders>
              <w:top w:val="single" w:sz="2" w:space="0" w:color="auto"/>
              <w:bottom w:val="single" w:sz="2" w:space="0" w:color="auto"/>
            </w:tcBorders>
            <w:shd w:val="clear" w:color="auto" w:fill="FABF8F" w:themeFill="accent6" w:themeFillTint="99"/>
            <w:noWrap/>
            <w:vAlign w:val="center"/>
            <w:hideMark/>
          </w:tcPr>
          <w:p w:rsidR="00EA3A93" w:rsidRPr="00EA3A93" w:rsidRDefault="00EA3A93" w:rsidP="001B6644">
            <w:pPr>
              <w:spacing w:after="0"/>
              <w:ind w:left="-70" w:firstLine="0"/>
              <w:contextualSpacing/>
              <w:jc w:val="right"/>
              <w:rPr>
                <w:rFonts w:ascii="Arial" w:hAnsi="Arial" w:cs="Arial"/>
                <w:bCs/>
                <w:sz w:val="18"/>
                <w:szCs w:val="18"/>
                <w:lang w:val="es-ES" w:eastAsia="es-ES"/>
              </w:rPr>
            </w:pPr>
            <w:r w:rsidRPr="00EA3A93">
              <w:rPr>
                <w:rFonts w:ascii="Arial" w:hAnsi="Arial" w:cs="Arial"/>
                <w:bCs/>
                <w:sz w:val="18"/>
                <w:szCs w:val="18"/>
                <w:lang w:val="es-ES" w:eastAsia="es-ES"/>
              </w:rPr>
              <w:t>1.959.000</w:t>
            </w:r>
          </w:p>
        </w:tc>
        <w:tc>
          <w:tcPr>
            <w:tcW w:w="1567" w:type="dxa"/>
            <w:tcBorders>
              <w:top w:val="single" w:sz="2" w:space="0" w:color="auto"/>
              <w:bottom w:val="single" w:sz="2" w:space="0" w:color="auto"/>
            </w:tcBorders>
            <w:shd w:val="clear" w:color="auto" w:fill="FABF8F" w:themeFill="accent6" w:themeFillTint="99"/>
            <w:noWrap/>
            <w:vAlign w:val="center"/>
            <w:hideMark/>
          </w:tcPr>
          <w:p w:rsidR="00EA3A93" w:rsidRPr="00EA3A93" w:rsidRDefault="00EA3A93" w:rsidP="00297D83">
            <w:pPr>
              <w:spacing w:after="0"/>
              <w:ind w:firstLine="0"/>
              <w:contextualSpacing/>
              <w:jc w:val="right"/>
              <w:rPr>
                <w:rFonts w:ascii="Arial" w:hAnsi="Arial" w:cs="Arial"/>
                <w:color w:val="000000"/>
                <w:sz w:val="18"/>
                <w:szCs w:val="18"/>
                <w:lang w:val="es-ES" w:eastAsia="es-ES"/>
              </w:rPr>
            </w:pPr>
            <w:r w:rsidRPr="00EA3A93">
              <w:rPr>
                <w:rFonts w:ascii="Arial" w:hAnsi="Arial" w:cs="Arial"/>
                <w:color w:val="000000"/>
                <w:sz w:val="18"/>
                <w:szCs w:val="18"/>
                <w:lang w:val="es-ES" w:eastAsia="es-ES"/>
              </w:rPr>
              <w:t>1.959.000</w:t>
            </w:r>
          </w:p>
        </w:tc>
        <w:tc>
          <w:tcPr>
            <w:tcW w:w="2174" w:type="dxa"/>
            <w:tcBorders>
              <w:top w:val="single" w:sz="2" w:space="0" w:color="auto"/>
              <w:bottom w:val="single" w:sz="2" w:space="0" w:color="auto"/>
            </w:tcBorders>
            <w:shd w:val="clear" w:color="auto" w:fill="FABF8F" w:themeFill="accent6" w:themeFillTint="99"/>
            <w:noWrap/>
            <w:vAlign w:val="center"/>
            <w:hideMark/>
          </w:tcPr>
          <w:p w:rsidR="00EA3A93" w:rsidRPr="00EA3A93" w:rsidRDefault="00EA3A93" w:rsidP="00297D83">
            <w:pPr>
              <w:spacing w:after="0"/>
              <w:ind w:firstLine="0"/>
              <w:contextualSpacing/>
              <w:jc w:val="right"/>
              <w:rPr>
                <w:rFonts w:ascii="Arial" w:hAnsi="Arial" w:cs="Arial"/>
                <w:color w:val="000000"/>
                <w:sz w:val="18"/>
                <w:szCs w:val="18"/>
                <w:lang w:val="es-ES" w:eastAsia="es-ES"/>
              </w:rPr>
            </w:pPr>
            <w:r w:rsidRPr="00EA3A93">
              <w:rPr>
                <w:rFonts w:ascii="Arial" w:hAnsi="Arial" w:cs="Arial"/>
                <w:color w:val="000000"/>
                <w:sz w:val="18"/>
                <w:szCs w:val="18"/>
                <w:lang w:val="es-ES" w:eastAsia="es-ES"/>
              </w:rPr>
              <w:t>1.959.000</w:t>
            </w:r>
          </w:p>
        </w:tc>
      </w:tr>
      <w:tr w:rsidR="00EA3A93" w:rsidRPr="00EA3A93" w:rsidTr="001B6644">
        <w:trPr>
          <w:cantSplit/>
          <w:trHeight w:val="198"/>
          <w:jc w:val="center"/>
        </w:trPr>
        <w:tc>
          <w:tcPr>
            <w:tcW w:w="3380" w:type="dxa"/>
            <w:tcBorders>
              <w:top w:val="single" w:sz="2" w:space="0" w:color="auto"/>
              <w:bottom w:val="single" w:sz="4" w:space="0" w:color="auto"/>
            </w:tcBorders>
            <w:shd w:val="clear" w:color="auto" w:fill="FABF8F" w:themeFill="accent6" w:themeFillTint="99"/>
            <w:noWrap/>
            <w:vAlign w:val="center"/>
            <w:hideMark/>
          </w:tcPr>
          <w:p w:rsidR="00EA3A93" w:rsidRPr="00EA3A93" w:rsidRDefault="00EA3A93" w:rsidP="00A02272">
            <w:pPr>
              <w:spacing w:after="0"/>
              <w:ind w:left="6" w:firstLine="0"/>
              <w:contextualSpacing/>
              <w:jc w:val="left"/>
              <w:rPr>
                <w:rFonts w:ascii="Arial" w:hAnsi="Arial" w:cs="Arial"/>
                <w:bCs/>
                <w:sz w:val="18"/>
                <w:szCs w:val="18"/>
                <w:lang w:val="es-ES" w:eastAsia="es-ES"/>
              </w:rPr>
            </w:pPr>
            <w:r w:rsidRPr="00EA3A93">
              <w:rPr>
                <w:rFonts w:ascii="Arial" w:hAnsi="Arial" w:cs="Arial"/>
                <w:bCs/>
                <w:sz w:val="18"/>
                <w:szCs w:val="18"/>
                <w:lang w:val="es-ES" w:eastAsia="es-ES"/>
              </w:rPr>
              <w:t xml:space="preserve">Coste unitario por </w:t>
            </w:r>
            <w:r w:rsidR="00A02272" w:rsidRPr="00A02272">
              <w:rPr>
                <w:rFonts w:ascii="Arial Narrow" w:hAnsi="Arial Narrow" w:cs="Arial"/>
                <w:sz w:val="18"/>
                <w:szCs w:val="18"/>
                <w:lang w:val="es-ES" w:eastAsia="es-ES"/>
              </w:rPr>
              <w:t>m</w:t>
            </w:r>
            <w:r w:rsidR="00A02272" w:rsidRPr="00A02272">
              <w:rPr>
                <w:rFonts w:ascii="Arial Narrow" w:hAnsi="Arial Narrow" w:cs="Arial"/>
                <w:sz w:val="18"/>
                <w:szCs w:val="18"/>
                <w:vertAlign w:val="superscript"/>
                <w:lang w:val="es-ES" w:eastAsia="es-ES"/>
              </w:rPr>
              <w:t>3</w:t>
            </w:r>
          </w:p>
        </w:tc>
        <w:tc>
          <w:tcPr>
            <w:tcW w:w="1680" w:type="dxa"/>
            <w:tcBorders>
              <w:top w:val="single" w:sz="2" w:space="0" w:color="auto"/>
              <w:bottom w:val="single" w:sz="4" w:space="0" w:color="auto"/>
            </w:tcBorders>
            <w:shd w:val="clear" w:color="auto" w:fill="FABF8F" w:themeFill="accent6" w:themeFillTint="99"/>
            <w:noWrap/>
            <w:vAlign w:val="center"/>
            <w:hideMark/>
          </w:tcPr>
          <w:p w:rsidR="00EA3A93" w:rsidRPr="00EA3A93" w:rsidRDefault="00EA3A93" w:rsidP="001B6644">
            <w:pPr>
              <w:spacing w:after="0"/>
              <w:ind w:left="-70" w:firstLine="0"/>
              <w:contextualSpacing/>
              <w:jc w:val="right"/>
              <w:rPr>
                <w:rFonts w:ascii="Arial" w:hAnsi="Arial" w:cs="Arial"/>
                <w:bCs/>
                <w:sz w:val="18"/>
                <w:szCs w:val="18"/>
                <w:lang w:val="es-ES" w:eastAsia="es-ES"/>
              </w:rPr>
            </w:pPr>
            <w:r w:rsidRPr="00EA3A93">
              <w:rPr>
                <w:rFonts w:ascii="Arial" w:hAnsi="Arial" w:cs="Arial"/>
                <w:bCs/>
                <w:sz w:val="18"/>
                <w:szCs w:val="18"/>
                <w:lang w:val="es-ES" w:eastAsia="es-ES"/>
              </w:rPr>
              <w:t>0,29</w:t>
            </w:r>
          </w:p>
        </w:tc>
        <w:tc>
          <w:tcPr>
            <w:tcW w:w="1567" w:type="dxa"/>
            <w:tcBorders>
              <w:top w:val="single" w:sz="2" w:space="0" w:color="auto"/>
              <w:bottom w:val="single" w:sz="4" w:space="0" w:color="auto"/>
            </w:tcBorders>
            <w:shd w:val="clear" w:color="auto" w:fill="FABF8F" w:themeFill="accent6" w:themeFillTint="99"/>
            <w:noWrap/>
            <w:vAlign w:val="center"/>
            <w:hideMark/>
          </w:tcPr>
          <w:p w:rsidR="00EA3A93" w:rsidRPr="00EA3A93" w:rsidRDefault="00EA3A93" w:rsidP="00297D83">
            <w:pPr>
              <w:spacing w:after="0"/>
              <w:ind w:firstLine="0"/>
              <w:contextualSpacing/>
              <w:jc w:val="right"/>
              <w:rPr>
                <w:rFonts w:ascii="Arial" w:hAnsi="Arial" w:cs="Arial"/>
                <w:color w:val="000000"/>
                <w:sz w:val="18"/>
                <w:szCs w:val="18"/>
                <w:lang w:val="es-ES" w:eastAsia="es-ES"/>
              </w:rPr>
            </w:pPr>
            <w:r w:rsidRPr="00EA3A93">
              <w:rPr>
                <w:rFonts w:ascii="Arial" w:hAnsi="Arial" w:cs="Arial"/>
                <w:color w:val="000000"/>
                <w:sz w:val="18"/>
                <w:szCs w:val="18"/>
                <w:lang w:val="es-ES" w:eastAsia="es-ES"/>
              </w:rPr>
              <w:t>0,28</w:t>
            </w:r>
          </w:p>
        </w:tc>
        <w:tc>
          <w:tcPr>
            <w:tcW w:w="2174" w:type="dxa"/>
            <w:tcBorders>
              <w:top w:val="single" w:sz="2" w:space="0" w:color="auto"/>
              <w:bottom w:val="single" w:sz="4" w:space="0" w:color="auto"/>
            </w:tcBorders>
            <w:shd w:val="clear" w:color="auto" w:fill="FABF8F" w:themeFill="accent6" w:themeFillTint="99"/>
            <w:noWrap/>
            <w:vAlign w:val="center"/>
            <w:hideMark/>
          </w:tcPr>
          <w:p w:rsidR="00EA3A93" w:rsidRPr="00EA3A93" w:rsidRDefault="00EA3A93" w:rsidP="00297D83">
            <w:pPr>
              <w:spacing w:after="0"/>
              <w:ind w:firstLine="0"/>
              <w:contextualSpacing/>
              <w:jc w:val="right"/>
              <w:rPr>
                <w:rFonts w:ascii="Arial" w:hAnsi="Arial" w:cs="Arial"/>
                <w:color w:val="000000"/>
                <w:sz w:val="18"/>
                <w:szCs w:val="18"/>
                <w:lang w:val="es-ES" w:eastAsia="es-ES"/>
              </w:rPr>
            </w:pPr>
            <w:r w:rsidRPr="00EA3A93">
              <w:rPr>
                <w:rFonts w:ascii="Arial" w:hAnsi="Arial" w:cs="Arial"/>
                <w:color w:val="000000"/>
                <w:sz w:val="18"/>
                <w:szCs w:val="18"/>
                <w:lang w:val="es-ES" w:eastAsia="es-ES"/>
              </w:rPr>
              <w:t>0,35</w:t>
            </w:r>
          </w:p>
        </w:tc>
      </w:tr>
    </w:tbl>
    <w:p w:rsidR="00EA3A93" w:rsidRPr="001B6644" w:rsidRDefault="00EA3A93" w:rsidP="001B6644">
      <w:pPr>
        <w:pStyle w:val="texto"/>
        <w:spacing w:before="240"/>
      </w:pPr>
      <w:r w:rsidRPr="001B6644">
        <w:t xml:space="preserve">Las </w:t>
      </w:r>
      <w:r w:rsidR="00665384">
        <w:t xml:space="preserve">principales </w:t>
      </w:r>
      <w:r w:rsidRPr="001B6644">
        <w:t>conclusiones del informe fueron las siguientes:</w:t>
      </w:r>
    </w:p>
    <w:p w:rsidR="00665384" w:rsidRDefault="00D455AA"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Pr>
          <w:rFonts w:cs="Arial"/>
        </w:rPr>
        <w:t xml:space="preserve">La alternativa </w:t>
      </w:r>
      <w:r w:rsidR="00665384">
        <w:rPr>
          <w:rFonts w:cs="Arial"/>
        </w:rPr>
        <w:t>2 que implicaba seguir lo establecido en el PD era la más b</w:t>
      </w:r>
      <w:r w:rsidR="00665384">
        <w:rPr>
          <w:rFonts w:cs="Arial"/>
        </w:rPr>
        <w:t>a</w:t>
      </w:r>
      <w:r w:rsidR="00665384">
        <w:rPr>
          <w:rFonts w:cs="Arial"/>
        </w:rPr>
        <w:t>rata.</w:t>
      </w:r>
    </w:p>
    <w:p w:rsidR="00EA3A93" w:rsidRPr="00297D83" w:rsidRDefault="00665384"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Pr>
          <w:rFonts w:cs="Arial"/>
        </w:rPr>
        <w:t xml:space="preserve">La alternativa </w:t>
      </w:r>
      <w:r w:rsidR="00D455AA">
        <w:rPr>
          <w:rFonts w:cs="Arial"/>
        </w:rPr>
        <w:t>1, que suponía seguir captando agua fundamen</w:t>
      </w:r>
      <w:r>
        <w:rPr>
          <w:rFonts w:cs="Arial"/>
        </w:rPr>
        <w:t xml:space="preserve">talmente del embalse de Mairaga </w:t>
      </w:r>
      <w:r w:rsidR="00D455AA">
        <w:rPr>
          <w:rFonts w:cs="Arial"/>
        </w:rPr>
        <w:t>frente a captarla del Canal, suponía 28.711 euros más anuales</w:t>
      </w:r>
      <w:r>
        <w:rPr>
          <w:rFonts w:cs="Arial"/>
        </w:rPr>
        <w:t xml:space="preserve"> que la opción 2</w:t>
      </w:r>
      <w:r w:rsidR="00EA3A93" w:rsidRPr="00297D83">
        <w:rPr>
          <w:rFonts w:cs="Arial"/>
        </w:rPr>
        <w:t>.</w:t>
      </w:r>
    </w:p>
    <w:p w:rsidR="00EA3A93" w:rsidRPr="00297D83" w:rsidRDefault="00EA3A93"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297D83">
        <w:rPr>
          <w:rFonts w:cs="Arial"/>
        </w:rPr>
        <w:t xml:space="preserve">La </w:t>
      </w:r>
      <w:r w:rsidR="00D455AA">
        <w:rPr>
          <w:rFonts w:cs="Arial"/>
        </w:rPr>
        <w:t xml:space="preserve">alternativa 3 que implicaba la </w:t>
      </w:r>
      <w:r w:rsidRPr="00297D83">
        <w:rPr>
          <w:rFonts w:cs="Arial"/>
        </w:rPr>
        <w:t xml:space="preserve">utilización conjunta de los sistemas de abastecimiento </w:t>
      </w:r>
      <w:r w:rsidR="00D455AA">
        <w:rPr>
          <w:rFonts w:cs="Arial"/>
        </w:rPr>
        <w:t>era</w:t>
      </w:r>
      <w:r w:rsidRPr="00297D83">
        <w:rPr>
          <w:rFonts w:cs="Arial"/>
        </w:rPr>
        <w:t xml:space="preserve"> la opción más cara. </w:t>
      </w:r>
    </w:p>
    <w:p w:rsidR="00EA3A93" w:rsidRPr="00297D83" w:rsidRDefault="00EA3A93"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297D83">
        <w:rPr>
          <w:rFonts w:cs="Arial"/>
        </w:rPr>
        <w:t>El agua proveniente del Canal de Navarra contiene la mitad de dureza total que el agua del embalse de Mairaga por lo que no serían necesarios los sist</w:t>
      </w:r>
      <w:r w:rsidRPr="00297D83">
        <w:rPr>
          <w:rFonts w:cs="Arial"/>
        </w:rPr>
        <w:t>e</w:t>
      </w:r>
      <w:r w:rsidRPr="00297D83">
        <w:rPr>
          <w:rFonts w:cs="Arial"/>
        </w:rPr>
        <w:t xml:space="preserve">mas de descalcificación </w:t>
      </w:r>
      <w:r w:rsidR="00AD3D56">
        <w:rPr>
          <w:rFonts w:cs="Arial"/>
        </w:rPr>
        <w:t>particulare</w:t>
      </w:r>
      <w:r w:rsidRPr="00297D83">
        <w:rPr>
          <w:rFonts w:cs="Arial"/>
        </w:rPr>
        <w:t>s.</w:t>
      </w:r>
    </w:p>
    <w:p w:rsidR="00EA3A93" w:rsidRDefault="00EA3A93" w:rsidP="00EA3A93">
      <w:pPr>
        <w:pStyle w:val="texto"/>
        <w:tabs>
          <w:tab w:val="clear" w:pos="2835"/>
          <w:tab w:val="clear" w:pos="3969"/>
          <w:tab w:val="clear" w:pos="5103"/>
          <w:tab w:val="clear" w:pos="6237"/>
          <w:tab w:val="clear" w:pos="7371"/>
        </w:tabs>
        <w:rPr>
          <w:szCs w:val="26"/>
        </w:rPr>
      </w:pPr>
      <w:r>
        <w:rPr>
          <w:szCs w:val="26"/>
        </w:rPr>
        <w:lastRenderedPageBreak/>
        <w:t>Posteriormente, el presidente de la Asamblea General decidió someter a v</w:t>
      </w:r>
      <w:r>
        <w:rPr>
          <w:szCs w:val="26"/>
        </w:rPr>
        <w:t>o</w:t>
      </w:r>
      <w:r>
        <w:rPr>
          <w:szCs w:val="26"/>
        </w:rPr>
        <w:t>tación</w:t>
      </w:r>
      <w:r w:rsidR="00D455AA">
        <w:rPr>
          <w:szCs w:val="26"/>
        </w:rPr>
        <w:t xml:space="preserve"> las tres alternativas</w:t>
      </w:r>
      <w:r>
        <w:rPr>
          <w:szCs w:val="26"/>
        </w:rPr>
        <w:t xml:space="preserve">; </w:t>
      </w:r>
      <w:r w:rsidR="00D455AA">
        <w:rPr>
          <w:szCs w:val="26"/>
        </w:rPr>
        <w:t>previamente a esto</w:t>
      </w:r>
      <w:r>
        <w:rPr>
          <w:szCs w:val="26"/>
        </w:rPr>
        <w:t xml:space="preserve">, </w:t>
      </w:r>
      <w:r w:rsidR="00AD3D56">
        <w:rPr>
          <w:szCs w:val="26"/>
        </w:rPr>
        <w:t>el</w:t>
      </w:r>
      <w:r w:rsidR="00D455AA">
        <w:rPr>
          <w:szCs w:val="26"/>
        </w:rPr>
        <w:t xml:space="preserve"> área técnica</w:t>
      </w:r>
      <w:r>
        <w:rPr>
          <w:szCs w:val="26"/>
        </w:rPr>
        <w:t xml:space="preserve"> </w:t>
      </w:r>
      <w:r w:rsidR="00AD3D56">
        <w:rPr>
          <w:szCs w:val="26"/>
        </w:rPr>
        <w:t>realizó otro i</w:t>
      </w:r>
      <w:r w:rsidR="00AD3D56">
        <w:rPr>
          <w:szCs w:val="26"/>
        </w:rPr>
        <w:t>n</w:t>
      </w:r>
      <w:r w:rsidR="00AD3D56">
        <w:rPr>
          <w:szCs w:val="26"/>
        </w:rPr>
        <w:t xml:space="preserve">forme </w:t>
      </w:r>
      <w:r>
        <w:rPr>
          <w:szCs w:val="26"/>
        </w:rPr>
        <w:t xml:space="preserve">para identificar la alternativa técnico-económica más idónea. </w:t>
      </w:r>
    </w:p>
    <w:p w:rsidR="00EA3A93" w:rsidRDefault="00EA3A93" w:rsidP="00EA3A93">
      <w:pPr>
        <w:pStyle w:val="texto"/>
        <w:tabs>
          <w:tab w:val="clear" w:pos="2835"/>
          <w:tab w:val="clear" w:pos="3969"/>
          <w:tab w:val="clear" w:pos="5103"/>
          <w:tab w:val="clear" w:pos="6237"/>
          <w:tab w:val="clear" w:pos="7371"/>
        </w:tabs>
        <w:spacing w:after="240"/>
        <w:rPr>
          <w:szCs w:val="26"/>
        </w:rPr>
      </w:pPr>
      <w:r>
        <w:rPr>
          <w:szCs w:val="26"/>
        </w:rPr>
        <w:t xml:space="preserve">El 11 de octubre de 2016 se </w:t>
      </w:r>
      <w:r w:rsidR="00AD3D56">
        <w:rPr>
          <w:szCs w:val="26"/>
        </w:rPr>
        <w:t>elabor</w:t>
      </w:r>
      <w:r w:rsidR="00665384">
        <w:rPr>
          <w:szCs w:val="26"/>
        </w:rPr>
        <w:t>ó</w:t>
      </w:r>
      <w:r>
        <w:rPr>
          <w:szCs w:val="26"/>
        </w:rPr>
        <w:t xml:space="preserve"> dicho </w:t>
      </w:r>
      <w:r w:rsidR="00AD3D56">
        <w:rPr>
          <w:szCs w:val="26"/>
        </w:rPr>
        <w:t>estudio</w:t>
      </w:r>
      <w:r>
        <w:rPr>
          <w:szCs w:val="26"/>
        </w:rPr>
        <w:t xml:space="preserve"> en el que se concluy</w:t>
      </w:r>
      <w:r w:rsidR="00665384">
        <w:rPr>
          <w:szCs w:val="26"/>
        </w:rPr>
        <w:t>ó que la mejor alternativa era</w:t>
      </w:r>
      <w:r>
        <w:rPr>
          <w:szCs w:val="26"/>
        </w:rPr>
        <w:t xml:space="preserve"> la que supon</w:t>
      </w:r>
      <w:r w:rsidR="00665384">
        <w:rPr>
          <w:szCs w:val="26"/>
        </w:rPr>
        <w:t>ía</w:t>
      </w:r>
      <w:r>
        <w:rPr>
          <w:szCs w:val="26"/>
        </w:rPr>
        <w:t xml:space="preserve"> abastecerse de agua desde el Canal de Navarra y utilizar el depósito y la ETAP de La Pedrera, eliminando progres</w:t>
      </w:r>
      <w:r>
        <w:rPr>
          <w:szCs w:val="26"/>
        </w:rPr>
        <w:t>i</w:t>
      </w:r>
      <w:r>
        <w:rPr>
          <w:szCs w:val="26"/>
        </w:rPr>
        <w:t xml:space="preserve">vamente tanto el abastecimiento de Mairaga como el uso de la ETAP de Olóriz, por motivos técnicos y económicos, </w:t>
      </w:r>
      <w:r w:rsidR="00665384">
        <w:rPr>
          <w:szCs w:val="26"/>
        </w:rPr>
        <w:t>obteniendo además</w:t>
      </w:r>
      <w:r>
        <w:rPr>
          <w:szCs w:val="26"/>
        </w:rPr>
        <w:t xml:space="preserve"> agua de mayor calidad que la actual.</w:t>
      </w:r>
    </w:p>
    <w:p w:rsidR="00EA3A93" w:rsidRPr="00297D83" w:rsidRDefault="00EA3A93" w:rsidP="00297D83">
      <w:pPr>
        <w:pStyle w:val="atitulo3"/>
        <w:spacing w:before="240" w:after="120"/>
      </w:pPr>
      <w:r w:rsidRPr="00297D83">
        <w:t>Informe del interventor</w:t>
      </w:r>
    </w:p>
    <w:p w:rsidR="00EA3A93" w:rsidRDefault="00EA3A93" w:rsidP="00EA3A93">
      <w:pPr>
        <w:pStyle w:val="texto"/>
        <w:tabs>
          <w:tab w:val="clear" w:pos="2835"/>
          <w:tab w:val="clear" w:pos="3969"/>
          <w:tab w:val="clear" w:pos="5103"/>
          <w:tab w:val="clear" w:pos="6237"/>
          <w:tab w:val="clear" w:pos="7371"/>
        </w:tabs>
        <w:rPr>
          <w:szCs w:val="26"/>
        </w:rPr>
      </w:pPr>
      <w:r>
        <w:rPr>
          <w:szCs w:val="26"/>
        </w:rPr>
        <w:t>En esta misma fecha, 11 de octubre de 2016, el interventor, en relación con sus funciones de control interno, emite un informe en el que analiza las altern</w:t>
      </w:r>
      <w:r>
        <w:rPr>
          <w:szCs w:val="26"/>
        </w:rPr>
        <w:t>a</w:t>
      </w:r>
      <w:r>
        <w:rPr>
          <w:szCs w:val="26"/>
        </w:rPr>
        <w:t>tivas e incide, entre otros, en los siguientes puntos:</w:t>
      </w:r>
    </w:p>
    <w:p w:rsidR="00EA3A93" w:rsidRPr="00297D83" w:rsidRDefault="00EA3A93"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297D83">
        <w:rPr>
          <w:rFonts w:cs="Arial"/>
        </w:rPr>
        <w:t>El PD del Gobierno de Navarra priorizó, para solucionar los posibles pr</w:t>
      </w:r>
      <w:r w:rsidRPr="00297D83">
        <w:rPr>
          <w:rFonts w:cs="Arial"/>
        </w:rPr>
        <w:t>o</w:t>
      </w:r>
      <w:r w:rsidRPr="00297D83">
        <w:rPr>
          <w:rFonts w:cs="Arial"/>
        </w:rPr>
        <w:t>blemas de abastecimiento de la mancomunidad, la ejecución de la inversión de la ETAP de La Pedrera con un gasto cercano a los dos millones de euros.</w:t>
      </w:r>
    </w:p>
    <w:p w:rsidR="00EA3A93" w:rsidRPr="00297D83" w:rsidRDefault="00EA3A93"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297D83">
        <w:rPr>
          <w:rFonts w:cs="Arial"/>
        </w:rPr>
        <w:t>La alternativa de tomar agua del embalse de Mairaga y dejar en reserva la de La Pedrera no tiene justificación</w:t>
      </w:r>
      <w:r w:rsidR="0002273D">
        <w:rPr>
          <w:rFonts w:cs="Arial"/>
        </w:rPr>
        <w:t>,</w:t>
      </w:r>
      <w:r w:rsidRPr="00297D83">
        <w:rPr>
          <w:rFonts w:cs="Arial"/>
        </w:rPr>
        <w:t xml:space="preserve"> ya que implica desvirtuar su uso y concu</w:t>
      </w:r>
      <w:r w:rsidRPr="00297D83">
        <w:rPr>
          <w:rFonts w:cs="Arial"/>
        </w:rPr>
        <w:t>l</w:t>
      </w:r>
      <w:r w:rsidRPr="00297D83">
        <w:rPr>
          <w:rFonts w:cs="Arial"/>
        </w:rPr>
        <w:t>car el interés público que toda inversión de las administraciones lleva implícita, así como dejar de obtener el rendimiento esperado de la misma, e incumplir el PD aprobado por el Gobierno de Navarra.</w:t>
      </w:r>
    </w:p>
    <w:p w:rsidR="00EA3A93" w:rsidRPr="00297D83" w:rsidRDefault="00EA3A93"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297D83">
        <w:rPr>
          <w:rFonts w:cs="Arial"/>
        </w:rPr>
        <w:t>Por todo ello, y teniendo en cuenta el informe del área técnica, el interve</w:t>
      </w:r>
      <w:r w:rsidRPr="00297D83">
        <w:rPr>
          <w:rFonts w:cs="Arial"/>
        </w:rPr>
        <w:t>n</w:t>
      </w:r>
      <w:r w:rsidRPr="00297D83">
        <w:rPr>
          <w:rFonts w:cs="Arial"/>
        </w:rPr>
        <w:t>tor concluye que, en el desarrollo de sus funciones de control interno de inte</w:t>
      </w:r>
      <w:r w:rsidRPr="00297D83">
        <w:rPr>
          <w:rFonts w:cs="Arial"/>
        </w:rPr>
        <w:t>r</w:t>
      </w:r>
      <w:r w:rsidRPr="00297D83">
        <w:rPr>
          <w:rFonts w:cs="Arial"/>
        </w:rPr>
        <w:t>vención y de eficacia, la mejor alternativa es la de uso fundamental de las inst</w:t>
      </w:r>
      <w:r w:rsidRPr="00297D83">
        <w:rPr>
          <w:rFonts w:cs="Arial"/>
        </w:rPr>
        <w:t>a</w:t>
      </w:r>
      <w:r w:rsidRPr="00297D83">
        <w:rPr>
          <w:rFonts w:cs="Arial"/>
        </w:rPr>
        <w:t>laciones de La Pedrera por varios motivos:</w:t>
      </w:r>
    </w:p>
    <w:p w:rsidR="00EA3A93" w:rsidRDefault="00EA3A93" w:rsidP="00297D83">
      <w:pPr>
        <w:pStyle w:val="texto"/>
        <w:numPr>
          <w:ilvl w:val="1"/>
          <w:numId w:val="15"/>
        </w:numPr>
        <w:tabs>
          <w:tab w:val="clear" w:pos="2835"/>
          <w:tab w:val="clear" w:pos="3969"/>
          <w:tab w:val="clear" w:pos="5103"/>
          <w:tab w:val="clear" w:pos="6237"/>
          <w:tab w:val="clear" w:pos="7371"/>
          <w:tab w:val="left" w:pos="574"/>
        </w:tabs>
        <w:ind w:left="0" w:firstLine="308"/>
        <w:rPr>
          <w:szCs w:val="26"/>
        </w:rPr>
      </w:pPr>
      <w:r>
        <w:rPr>
          <w:szCs w:val="26"/>
        </w:rPr>
        <w:t>Cumple con lo previsto en el PD del Gobierno de Navarra que, según su opinión, es imperativo.</w:t>
      </w:r>
    </w:p>
    <w:p w:rsidR="00EA3A93" w:rsidRDefault="00EA3A93" w:rsidP="00297D83">
      <w:pPr>
        <w:pStyle w:val="texto"/>
        <w:numPr>
          <w:ilvl w:val="1"/>
          <w:numId w:val="15"/>
        </w:numPr>
        <w:tabs>
          <w:tab w:val="clear" w:pos="2835"/>
          <w:tab w:val="clear" w:pos="3969"/>
          <w:tab w:val="clear" w:pos="5103"/>
          <w:tab w:val="clear" w:pos="6237"/>
          <w:tab w:val="clear" w:pos="7371"/>
          <w:tab w:val="left" w:pos="574"/>
        </w:tabs>
        <w:ind w:left="0" w:firstLine="308"/>
        <w:rPr>
          <w:szCs w:val="26"/>
        </w:rPr>
      </w:pPr>
      <w:r>
        <w:rPr>
          <w:szCs w:val="26"/>
        </w:rPr>
        <w:t>Rentabiliza la inversión de la ETAP de La Pedrera teniendo en cuenta los principios de economía, eficiencia y eficacia que deben regir las actuaciones de cualquier administración pública.</w:t>
      </w:r>
    </w:p>
    <w:p w:rsidR="00EA3A93" w:rsidRDefault="00EA3A93" w:rsidP="00297D83">
      <w:pPr>
        <w:pStyle w:val="texto"/>
        <w:numPr>
          <w:ilvl w:val="1"/>
          <w:numId w:val="15"/>
        </w:numPr>
        <w:tabs>
          <w:tab w:val="clear" w:pos="2835"/>
          <w:tab w:val="clear" w:pos="3969"/>
          <w:tab w:val="clear" w:pos="5103"/>
          <w:tab w:val="clear" w:pos="6237"/>
          <w:tab w:val="clear" w:pos="7371"/>
          <w:tab w:val="left" w:pos="574"/>
        </w:tabs>
        <w:spacing w:after="240"/>
        <w:ind w:left="0" w:firstLine="308"/>
        <w:rPr>
          <w:szCs w:val="26"/>
        </w:rPr>
      </w:pPr>
      <w:r>
        <w:rPr>
          <w:szCs w:val="26"/>
        </w:rPr>
        <w:t>Reduce los costes de implantación y aumenta las ventajas tal y como det</w:t>
      </w:r>
      <w:r>
        <w:rPr>
          <w:szCs w:val="26"/>
        </w:rPr>
        <w:t>a</w:t>
      </w:r>
      <w:r>
        <w:rPr>
          <w:szCs w:val="26"/>
        </w:rPr>
        <w:t>lla el informe del área técnica.</w:t>
      </w:r>
    </w:p>
    <w:p w:rsidR="00EA3A93" w:rsidRPr="00297D83" w:rsidRDefault="00EA3A93" w:rsidP="00297D83">
      <w:pPr>
        <w:pStyle w:val="atitulo3"/>
        <w:spacing w:before="240" w:after="120"/>
      </w:pPr>
      <w:r w:rsidRPr="00297D83">
        <w:lastRenderedPageBreak/>
        <w:t xml:space="preserve">Reunión de la Asamblea General </w:t>
      </w:r>
    </w:p>
    <w:p w:rsidR="00EA3A93" w:rsidRPr="00585771" w:rsidRDefault="00EA3A93" w:rsidP="00585771">
      <w:pPr>
        <w:pStyle w:val="texto"/>
        <w:spacing w:after="240"/>
      </w:pPr>
      <w:r w:rsidRPr="00585771">
        <w:t xml:space="preserve">El 19 de octubre de 2016, </w:t>
      </w:r>
      <w:r w:rsidR="00D455AA">
        <w:t>asistieron</w:t>
      </w:r>
      <w:r w:rsidRPr="00585771">
        <w:t xml:space="preserve"> 22 de los 27 miembros de la Asamblea General con un porcentaje de voto sobre el total del 80,48 por ciento</w:t>
      </w:r>
      <w:r w:rsidR="00105F41">
        <w:rPr>
          <w:rStyle w:val="Refdenotaalpie"/>
        </w:rPr>
        <w:footnoteReference w:id="3"/>
      </w:r>
      <w:r w:rsidRPr="00585771">
        <w:t>; los m</w:t>
      </w:r>
      <w:r w:rsidRPr="00585771">
        <w:t>u</w:t>
      </w:r>
      <w:r w:rsidRPr="00585771">
        <w:t>nicipios de procedencia de los mismos eran los siguientes:</w:t>
      </w:r>
    </w:p>
    <w:tbl>
      <w:tblPr>
        <w:tblStyle w:val="Tablaconcuadrcula"/>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126"/>
        <w:gridCol w:w="2628"/>
      </w:tblGrid>
      <w:tr w:rsidR="00EA3A93" w:rsidRPr="008A0522" w:rsidTr="00585771">
        <w:trPr>
          <w:trHeight w:val="271"/>
        </w:trPr>
        <w:tc>
          <w:tcPr>
            <w:tcW w:w="3023" w:type="dxa"/>
            <w:tcBorders>
              <w:top w:val="single" w:sz="4" w:space="0" w:color="auto"/>
              <w:bottom w:val="single" w:sz="4" w:space="0" w:color="auto"/>
            </w:tcBorders>
            <w:shd w:val="clear" w:color="auto" w:fill="FABF8F" w:themeFill="accent6" w:themeFillTint="99"/>
            <w:vAlign w:val="center"/>
          </w:tcPr>
          <w:p w:rsidR="00EA3A93" w:rsidRPr="008A0522"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w:hAnsi="Arial" w:cs="Arial"/>
                <w:sz w:val="18"/>
                <w:szCs w:val="18"/>
              </w:rPr>
            </w:pPr>
            <w:r w:rsidRPr="008A0522">
              <w:rPr>
                <w:rFonts w:ascii="Arial" w:hAnsi="Arial" w:cs="Arial"/>
                <w:sz w:val="18"/>
                <w:szCs w:val="18"/>
              </w:rPr>
              <w:t>Municipio</w:t>
            </w:r>
          </w:p>
        </w:tc>
        <w:tc>
          <w:tcPr>
            <w:tcW w:w="3126" w:type="dxa"/>
            <w:tcBorders>
              <w:top w:val="single" w:sz="4" w:space="0" w:color="auto"/>
              <w:bottom w:val="single" w:sz="4" w:space="0" w:color="auto"/>
            </w:tcBorders>
            <w:shd w:val="clear" w:color="auto" w:fill="FABF8F" w:themeFill="accent6" w:themeFillTint="99"/>
            <w:vAlign w:val="center"/>
          </w:tcPr>
          <w:p w:rsidR="00EA3A93" w:rsidRPr="008A0522"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w:hAnsi="Arial" w:cs="Arial"/>
                <w:sz w:val="18"/>
                <w:szCs w:val="18"/>
              </w:rPr>
            </w:pPr>
            <w:r w:rsidRPr="008A0522">
              <w:rPr>
                <w:rFonts w:ascii="Arial" w:hAnsi="Arial" w:cs="Arial"/>
                <w:sz w:val="18"/>
                <w:szCs w:val="18"/>
              </w:rPr>
              <w:t>Nº asistentes</w:t>
            </w:r>
          </w:p>
        </w:tc>
        <w:tc>
          <w:tcPr>
            <w:tcW w:w="2628" w:type="dxa"/>
            <w:tcBorders>
              <w:top w:val="single" w:sz="4" w:space="0" w:color="auto"/>
              <w:bottom w:val="single" w:sz="4" w:space="0" w:color="auto"/>
            </w:tcBorders>
            <w:shd w:val="clear" w:color="auto" w:fill="FABF8F" w:themeFill="accent6" w:themeFillTint="99"/>
            <w:vAlign w:val="center"/>
          </w:tcPr>
          <w:p w:rsidR="00EA3A93" w:rsidRPr="008A0522"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w:hAnsi="Arial" w:cs="Arial"/>
                <w:sz w:val="18"/>
                <w:szCs w:val="18"/>
              </w:rPr>
            </w:pPr>
            <w:r w:rsidRPr="008A0522">
              <w:rPr>
                <w:rFonts w:ascii="Arial" w:hAnsi="Arial" w:cs="Arial"/>
                <w:sz w:val="18"/>
                <w:szCs w:val="18"/>
              </w:rPr>
              <w:t>% voto</w:t>
            </w:r>
          </w:p>
        </w:tc>
      </w:tr>
      <w:tr w:rsidR="00EA3A93" w:rsidRPr="00585771" w:rsidTr="00585771">
        <w:trPr>
          <w:trHeight w:val="198"/>
        </w:trPr>
        <w:tc>
          <w:tcPr>
            <w:tcW w:w="3023" w:type="dxa"/>
            <w:tcBorders>
              <w:top w:val="single" w:sz="4"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 xml:space="preserve">Tafalla </w:t>
            </w:r>
          </w:p>
        </w:tc>
        <w:tc>
          <w:tcPr>
            <w:tcW w:w="3126" w:type="dxa"/>
            <w:tcBorders>
              <w:top w:val="single" w:sz="4"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4</w:t>
            </w:r>
          </w:p>
        </w:tc>
        <w:tc>
          <w:tcPr>
            <w:tcW w:w="2628" w:type="dxa"/>
            <w:tcBorders>
              <w:top w:val="single" w:sz="4"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31,67</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Olite</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2</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11,92</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Pueyo</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1,06</w:t>
            </w:r>
          </w:p>
        </w:tc>
      </w:tr>
      <w:tr w:rsidR="00EA3A93" w:rsidRPr="00585771" w:rsidTr="00585771">
        <w:trPr>
          <w:trHeight w:val="198"/>
        </w:trPr>
        <w:tc>
          <w:tcPr>
            <w:tcW w:w="3023" w:type="dxa"/>
            <w:tcBorders>
              <w:top w:val="single" w:sz="2" w:space="0" w:color="auto"/>
              <w:bottom w:val="single" w:sz="2" w:space="0" w:color="auto"/>
            </w:tcBorders>
            <w:vAlign w:val="center"/>
          </w:tcPr>
          <w:p w:rsidR="00A02272" w:rsidRPr="00585771" w:rsidRDefault="00EA3A93" w:rsidP="00A02272">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Leoz</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0,78</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Pitillas</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1,61</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Beire</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0,93</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Garínoain</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1,52</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Barásoain</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2,07</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Unzué</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0,39</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Orísoain</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0,29</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Murillo el Cuende</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2,00</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Ujué</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0,61</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Mélida</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2,28</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Santacara</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2,75</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Caparros</w:t>
            </w:r>
            <w:r w:rsidR="00D455AA">
              <w:rPr>
                <w:rFonts w:ascii="Arial Narrow" w:hAnsi="Arial Narrow"/>
                <w:sz w:val="20"/>
                <w:szCs w:val="20"/>
              </w:rPr>
              <w:t>o</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8,57</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Murillo el Fruto</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1,96</w:t>
            </w:r>
          </w:p>
        </w:tc>
      </w:tr>
      <w:tr w:rsidR="00EA3A93" w:rsidRPr="00585771" w:rsidTr="00585771">
        <w:trPr>
          <w:trHeight w:val="198"/>
        </w:trPr>
        <w:tc>
          <w:tcPr>
            <w:tcW w:w="3023" w:type="dxa"/>
            <w:tcBorders>
              <w:top w:val="single" w:sz="2" w:space="0" w:color="auto"/>
              <w:bottom w:val="single" w:sz="4"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sidRPr="00585771">
              <w:rPr>
                <w:rFonts w:ascii="Arial Narrow" w:hAnsi="Arial Narrow"/>
                <w:sz w:val="20"/>
                <w:szCs w:val="20"/>
              </w:rPr>
              <w:t>Peralta</w:t>
            </w:r>
          </w:p>
        </w:tc>
        <w:tc>
          <w:tcPr>
            <w:tcW w:w="3126" w:type="dxa"/>
            <w:tcBorders>
              <w:top w:val="single" w:sz="2" w:space="0" w:color="auto"/>
              <w:bottom w:val="single" w:sz="4"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2</w:t>
            </w:r>
          </w:p>
        </w:tc>
        <w:tc>
          <w:tcPr>
            <w:tcW w:w="2628" w:type="dxa"/>
            <w:tcBorders>
              <w:top w:val="single" w:sz="2" w:space="0" w:color="auto"/>
              <w:bottom w:val="single" w:sz="4"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sidRPr="00585771">
              <w:rPr>
                <w:rFonts w:ascii="Arial Narrow" w:hAnsi="Arial Narrow"/>
                <w:sz w:val="20"/>
                <w:szCs w:val="20"/>
              </w:rPr>
              <w:t>10,07</w:t>
            </w:r>
          </w:p>
        </w:tc>
      </w:tr>
      <w:tr w:rsidR="00EA3A93" w:rsidRPr="008A0522" w:rsidTr="00585771">
        <w:trPr>
          <w:trHeight w:val="255"/>
        </w:trPr>
        <w:tc>
          <w:tcPr>
            <w:tcW w:w="3023" w:type="dxa"/>
            <w:tcBorders>
              <w:top w:val="single" w:sz="4" w:space="0" w:color="auto"/>
              <w:bottom w:val="single" w:sz="4" w:space="0" w:color="auto"/>
            </w:tcBorders>
            <w:shd w:val="clear" w:color="auto" w:fill="FABF8F" w:themeFill="accent6" w:themeFillTint="99"/>
            <w:vAlign w:val="center"/>
          </w:tcPr>
          <w:p w:rsidR="00EA3A93" w:rsidRPr="008A0522"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w:hAnsi="Arial" w:cs="Arial"/>
                <w:sz w:val="18"/>
                <w:szCs w:val="18"/>
              </w:rPr>
            </w:pPr>
            <w:r w:rsidRPr="008A0522">
              <w:rPr>
                <w:rFonts w:ascii="Arial" w:hAnsi="Arial" w:cs="Arial"/>
                <w:sz w:val="18"/>
                <w:szCs w:val="18"/>
              </w:rPr>
              <w:t>Total</w:t>
            </w:r>
          </w:p>
        </w:tc>
        <w:tc>
          <w:tcPr>
            <w:tcW w:w="3126" w:type="dxa"/>
            <w:tcBorders>
              <w:top w:val="single" w:sz="4" w:space="0" w:color="auto"/>
              <w:bottom w:val="single" w:sz="4" w:space="0" w:color="auto"/>
            </w:tcBorders>
            <w:shd w:val="clear" w:color="auto" w:fill="FABF8F" w:themeFill="accent6" w:themeFillTint="99"/>
            <w:vAlign w:val="center"/>
          </w:tcPr>
          <w:p w:rsidR="00EA3A93" w:rsidRPr="008A0522"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w:hAnsi="Arial" w:cs="Arial"/>
                <w:sz w:val="18"/>
                <w:szCs w:val="18"/>
              </w:rPr>
            </w:pPr>
            <w:r w:rsidRPr="008A0522">
              <w:rPr>
                <w:rFonts w:ascii="Arial" w:hAnsi="Arial" w:cs="Arial"/>
                <w:sz w:val="18"/>
                <w:szCs w:val="18"/>
              </w:rPr>
              <w:t>22</w:t>
            </w:r>
          </w:p>
        </w:tc>
        <w:tc>
          <w:tcPr>
            <w:tcW w:w="2628" w:type="dxa"/>
            <w:tcBorders>
              <w:top w:val="single" w:sz="4" w:space="0" w:color="auto"/>
              <w:bottom w:val="single" w:sz="4" w:space="0" w:color="auto"/>
            </w:tcBorders>
            <w:shd w:val="clear" w:color="auto" w:fill="FABF8F" w:themeFill="accent6" w:themeFillTint="99"/>
            <w:vAlign w:val="center"/>
          </w:tcPr>
          <w:p w:rsidR="00EA3A93" w:rsidRPr="008A0522"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w:hAnsi="Arial" w:cs="Arial"/>
                <w:sz w:val="18"/>
                <w:szCs w:val="18"/>
              </w:rPr>
            </w:pPr>
            <w:r w:rsidRPr="008A0522">
              <w:rPr>
                <w:rFonts w:ascii="Arial" w:hAnsi="Arial" w:cs="Arial"/>
                <w:sz w:val="18"/>
                <w:szCs w:val="18"/>
              </w:rPr>
              <w:t>80,48</w:t>
            </w:r>
          </w:p>
        </w:tc>
      </w:tr>
    </w:tbl>
    <w:p w:rsidR="00EA3A93" w:rsidRDefault="00EA3A93" w:rsidP="00EA3A93">
      <w:pPr>
        <w:pStyle w:val="texto"/>
        <w:tabs>
          <w:tab w:val="clear" w:pos="2835"/>
          <w:tab w:val="clear" w:pos="3969"/>
          <w:tab w:val="clear" w:pos="5103"/>
          <w:tab w:val="clear" w:pos="6237"/>
          <w:tab w:val="clear" w:pos="7371"/>
        </w:tabs>
        <w:spacing w:before="240"/>
        <w:rPr>
          <w:szCs w:val="26"/>
        </w:rPr>
      </w:pPr>
      <w:r>
        <w:rPr>
          <w:szCs w:val="26"/>
        </w:rPr>
        <w:t>El quinto punto del orden del día consistía en la aprobación, si procedía, de la propuesta de acuerdo del SAA entre las diversas alternativas propuestas. A</w:t>
      </w:r>
      <w:r>
        <w:rPr>
          <w:szCs w:val="26"/>
        </w:rPr>
        <w:t>n</w:t>
      </w:r>
      <w:r>
        <w:rPr>
          <w:szCs w:val="26"/>
        </w:rPr>
        <w:t>tes de proceder a la votación abandonaron la reunión dos personas con un po</w:t>
      </w:r>
      <w:r>
        <w:rPr>
          <w:szCs w:val="26"/>
        </w:rPr>
        <w:t>r</w:t>
      </w:r>
      <w:r>
        <w:rPr>
          <w:szCs w:val="26"/>
        </w:rPr>
        <w:t xml:space="preserve">centaje de voto total de 5,96. </w:t>
      </w:r>
    </w:p>
    <w:p w:rsidR="0052055D" w:rsidRDefault="00EA3A93" w:rsidP="00EA3A93">
      <w:pPr>
        <w:pStyle w:val="texto"/>
        <w:tabs>
          <w:tab w:val="clear" w:pos="2835"/>
          <w:tab w:val="clear" w:pos="3969"/>
          <w:tab w:val="clear" w:pos="5103"/>
          <w:tab w:val="clear" w:pos="6237"/>
          <w:tab w:val="clear" w:pos="7371"/>
        </w:tabs>
        <w:spacing w:before="120"/>
        <w:rPr>
          <w:szCs w:val="26"/>
        </w:rPr>
      </w:pPr>
      <w:r>
        <w:rPr>
          <w:szCs w:val="26"/>
        </w:rPr>
        <w:t>El presidente de la asamblea</w:t>
      </w:r>
      <w:r w:rsidR="00A02272">
        <w:rPr>
          <w:szCs w:val="26"/>
        </w:rPr>
        <w:t xml:space="preserve">, tras indicar que representantes del Gobierno de Navarra en una reunión mantenida </w:t>
      </w:r>
      <w:r w:rsidR="0052055D">
        <w:rPr>
          <w:szCs w:val="26"/>
        </w:rPr>
        <w:t xml:space="preserve">previamente </w:t>
      </w:r>
      <w:r w:rsidR="00A02272">
        <w:rPr>
          <w:szCs w:val="26"/>
        </w:rPr>
        <w:t xml:space="preserve">no se habían decantado por ninguna alternativa, </w:t>
      </w:r>
      <w:r>
        <w:rPr>
          <w:szCs w:val="26"/>
        </w:rPr>
        <w:t>propuso para su aprobación la opción de seguir captando agua del embalse de Mairaga y tratarla en la ETAP de Olóriz, y solo en casos de emergencia, abastecerse de agua del Canal de Navarra y utilizar las instal</w:t>
      </w:r>
      <w:r>
        <w:rPr>
          <w:szCs w:val="26"/>
        </w:rPr>
        <w:t>a</w:t>
      </w:r>
      <w:r>
        <w:rPr>
          <w:szCs w:val="26"/>
        </w:rPr>
        <w:t>ciones de La Pedrera</w:t>
      </w:r>
      <w:r w:rsidR="0052055D">
        <w:rPr>
          <w:szCs w:val="26"/>
        </w:rPr>
        <w:t xml:space="preserve">. </w:t>
      </w:r>
      <w:r w:rsidR="00136538">
        <w:rPr>
          <w:szCs w:val="26"/>
        </w:rPr>
        <w:t>Las otras dos alternativas no fueron sometidas a vot</w:t>
      </w:r>
      <w:r w:rsidR="00136538">
        <w:rPr>
          <w:szCs w:val="26"/>
        </w:rPr>
        <w:t>a</w:t>
      </w:r>
      <w:r w:rsidR="00136538">
        <w:rPr>
          <w:szCs w:val="26"/>
        </w:rPr>
        <w:t>ción.</w:t>
      </w:r>
    </w:p>
    <w:p w:rsidR="00EA3A93" w:rsidRDefault="0052055D" w:rsidP="00EA3A93">
      <w:pPr>
        <w:pStyle w:val="texto"/>
        <w:tabs>
          <w:tab w:val="clear" w:pos="2835"/>
          <w:tab w:val="clear" w:pos="3969"/>
          <w:tab w:val="clear" w:pos="5103"/>
          <w:tab w:val="clear" w:pos="6237"/>
          <w:tab w:val="clear" w:pos="7371"/>
        </w:tabs>
        <w:spacing w:before="120"/>
        <w:rPr>
          <w:szCs w:val="26"/>
        </w:rPr>
      </w:pPr>
      <w:r>
        <w:rPr>
          <w:szCs w:val="26"/>
        </w:rPr>
        <w:t>S</w:t>
      </w:r>
      <w:r w:rsidR="00EA3A93">
        <w:rPr>
          <w:szCs w:val="26"/>
        </w:rPr>
        <w:t xml:space="preserve">e acordó la elección de esta alternativa con </w:t>
      </w:r>
      <w:r>
        <w:rPr>
          <w:szCs w:val="26"/>
        </w:rPr>
        <w:t xml:space="preserve">los siguientes resultados: </w:t>
      </w:r>
      <w:r w:rsidR="00EA3A93">
        <w:rPr>
          <w:szCs w:val="26"/>
        </w:rPr>
        <w:t xml:space="preserve">15 miembros que representaban un 52,82 por ciento de los votos totales </w:t>
      </w:r>
      <w:r w:rsidR="00A02272">
        <w:rPr>
          <w:szCs w:val="26"/>
        </w:rPr>
        <w:t>de la asamblea</w:t>
      </w:r>
      <w:r>
        <w:rPr>
          <w:szCs w:val="26"/>
        </w:rPr>
        <w:t>,</w:t>
      </w:r>
      <w:r w:rsidR="00A02272">
        <w:rPr>
          <w:szCs w:val="26"/>
        </w:rPr>
        <w:t xml:space="preserve"> y el 70,9 por ciento de los votos de los asistentes</w:t>
      </w:r>
      <w:r>
        <w:rPr>
          <w:szCs w:val="26"/>
        </w:rPr>
        <w:t xml:space="preserve">, votaron a favor de esta opción; </w:t>
      </w:r>
      <w:r w:rsidR="00EA3A93">
        <w:rPr>
          <w:szCs w:val="26"/>
        </w:rPr>
        <w:t xml:space="preserve">el 20,77 por ciento de los votos </w:t>
      </w:r>
      <w:r>
        <w:rPr>
          <w:szCs w:val="26"/>
        </w:rPr>
        <w:t>totales de la asamblea, que sup</w:t>
      </w:r>
      <w:r>
        <w:rPr>
          <w:szCs w:val="26"/>
        </w:rPr>
        <w:t>o</w:t>
      </w:r>
      <w:r>
        <w:rPr>
          <w:szCs w:val="26"/>
        </w:rPr>
        <w:t xml:space="preserve">nían el 27,9 por ciento de los asistentes, </w:t>
      </w:r>
      <w:r w:rsidR="00EA3A93">
        <w:rPr>
          <w:szCs w:val="26"/>
        </w:rPr>
        <w:t>fue en contra</w:t>
      </w:r>
      <w:r>
        <w:rPr>
          <w:szCs w:val="26"/>
        </w:rPr>
        <w:t>. Las abstenciones fueron del 1,2 por ciento de los votos de los asistentes, lo que supone e</w:t>
      </w:r>
      <w:r w:rsidR="00EA3A93">
        <w:rPr>
          <w:szCs w:val="26"/>
        </w:rPr>
        <w:t>l 0,93 por cie</w:t>
      </w:r>
      <w:r w:rsidR="00EA3A93">
        <w:rPr>
          <w:szCs w:val="26"/>
        </w:rPr>
        <w:t>n</w:t>
      </w:r>
      <w:r w:rsidR="00EA3A93">
        <w:rPr>
          <w:szCs w:val="26"/>
        </w:rPr>
        <w:t xml:space="preserve">to de los votos </w:t>
      </w:r>
      <w:r>
        <w:rPr>
          <w:szCs w:val="26"/>
        </w:rPr>
        <w:t>totales.</w:t>
      </w:r>
      <w:r w:rsidR="00EA3A93">
        <w:rPr>
          <w:szCs w:val="26"/>
        </w:rPr>
        <w:t xml:space="preserve"> </w:t>
      </w:r>
    </w:p>
    <w:p w:rsidR="00EA3A93" w:rsidRDefault="00EA3A93" w:rsidP="00EA3A93">
      <w:pPr>
        <w:pStyle w:val="texto"/>
        <w:tabs>
          <w:tab w:val="clear" w:pos="2835"/>
          <w:tab w:val="clear" w:pos="3969"/>
          <w:tab w:val="clear" w:pos="5103"/>
          <w:tab w:val="clear" w:pos="6237"/>
          <w:tab w:val="clear" w:pos="7371"/>
        </w:tabs>
        <w:spacing w:before="120" w:after="240"/>
        <w:rPr>
          <w:szCs w:val="26"/>
        </w:rPr>
      </w:pPr>
      <w:r>
        <w:rPr>
          <w:szCs w:val="26"/>
        </w:rPr>
        <w:lastRenderedPageBreak/>
        <w:t>Tras finalizar la votación, el interventor advirtió de la emisión de un informe de reparo al respecto.</w:t>
      </w:r>
    </w:p>
    <w:p w:rsidR="00EA3A93" w:rsidRPr="00585771" w:rsidRDefault="00EA3A93" w:rsidP="00585771">
      <w:pPr>
        <w:pStyle w:val="atitulo3"/>
        <w:spacing w:before="240" w:after="120"/>
      </w:pPr>
      <w:r w:rsidRPr="00585771">
        <w:t>Informe de reparo del interventor</w:t>
      </w:r>
    </w:p>
    <w:p w:rsidR="00EA3A93" w:rsidRPr="00585771" w:rsidRDefault="00EA3A93" w:rsidP="00585771">
      <w:pPr>
        <w:pStyle w:val="texto"/>
      </w:pPr>
      <w:r w:rsidRPr="00585771">
        <w:t>El 26 de octubre de 2016, el interventor emite un reparo en el que destaca, entre otros aspectos, que el artículo 2 de la Ley 16/2008 del Plan de Inversiones Locales para el periodo 2009-2012, establece que, a fin de asegurar la debida coordinación en la actuación de las entidades locales de Navarra, se declaran de interés comunitario, y en consecuencia, supralocal, la función del abastecimie</w:t>
      </w:r>
      <w:r w:rsidRPr="00585771">
        <w:t>n</w:t>
      </w:r>
      <w:r w:rsidRPr="00585771">
        <w:t>to de agua en alta incluido en el PD. Además, el artículo continúa estableciendo que el Gobierno de Navarra coordina la actividad de las entidades locales en esta materia mediante el PD que tendrá carácter imperativo y estará sujeto a las condiciones y límites previstos en esta ley foral.</w:t>
      </w:r>
    </w:p>
    <w:p w:rsidR="00EA3A93" w:rsidRPr="00585771" w:rsidRDefault="00EA3A93" w:rsidP="00585771">
      <w:pPr>
        <w:pStyle w:val="texto"/>
      </w:pPr>
      <w:r w:rsidRPr="00585771">
        <w:t>Además de lo que ya había apuntado en su informe anterior, que ya hemos descrito, señala que la opción elegida implica la necesidad de efectuar impo</w:t>
      </w:r>
      <w:r w:rsidRPr="00585771">
        <w:t>r</w:t>
      </w:r>
      <w:r w:rsidRPr="00585771">
        <w:t>tantes reparaciones del embalse de Mairaga, realizar revisiones periódicas de la planta de La Pedrera para que su falta de uso no derive en reparaciones extr</w:t>
      </w:r>
      <w:r w:rsidRPr="00585771">
        <w:t>a</w:t>
      </w:r>
      <w:r w:rsidRPr="00585771">
        <w:t xml:space="preserve">ordinarias, etc. </w:t>
      </w:r>
    </w:p>
    <w:p w:rsidR="00EA3A93" w:rsidRPr="00585771" w:rsidRDefault="00EA3A93" w:rsidP="00585771">
      <w:pPr>
        <w:pStyle w:val="texto"/>
      </w:pPr>
      <w:r w:rsidRPr="00585771">
        <w:t>Por todo ello emite informe de reparo sobre el acuerdo tomado en la reunión de la Asamblea General por entender que:</w:t>
      </w:r>
    </w:p>
    <w:p w:rsidR="00EA3A93" w:rsidRPr="009A035E" w:rsidRDefault="00EA3A93" w:rsidP="009A035E">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r w:rsidRPr="009A035E">
        <w:rPr>
          <w:i/>
          <w:sz w:val="20"/>
          <w:szCs w:val="20"/>
        </w:rPr>
        <w:t>“….Incumple lo previsto con carácter imperativo en el PD aprobado por el Gobierno de Nav</w:t>
      </w:r>
      <w:r w:rsidRPr="009A035E">
        <w:rPr>
          <w:i/>
          <w:sz w:val="20"/>
          <w:szCs w:val="20"/>
        </w:rPr>
        <w:t>a</w:t>
      </w:r>
      <w:r w:rsidRPr="009A035E">
        <w:rPr>
          <w:i/>
          <w:sz w:val="20"/>
          <w:szCs w:val="20"/>
        </w:rPr>
        <w:t>rra.</w:t>
      </w:r>
    </w:p>
    <w:p w:rsidR="00EA3A93" w:rsidRPr="009A035E" w:rsidRDefault="00EA3A93" w:rsidP="009A035E">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r w:rsidRPr="009A035E">
        <w:rPr>
          <w:i/>
          <w:sz w:val="20"/>
          <w:szCs w:val="20"/>
        </w:rPr>
        <w:t>Inutiliza la costosa inversión de la ETAP de La Pedrera y la condena durante años a una total y absoluta falta de rendimiento, que es exigible a toda actuación de la administración pública regida por el interés público bajo los principios de economía, eficacia y eficiencia, máxime si ha sido su</w:t>
      </w:r>
      <w:r w:rsidRPr="009A035E">
        <w:rPr>
          <w:i/>
          <w:sz w:val="20"/>
          <w:szCs w:val="20"/>
        </w:rPr>
        <w:t>b</w:t>
      </w:r>
      <w:r w:rsidRPr="009A035E">
        <w:rPr>
          <w:i/>
          <w:sz w:val="20"/>
          <w:szCs w:val="20"/>
        </w:rPr>
        <w:t>vencionada, como es el caso, al 80 por ciento por su carácter de necesaria para un servicio de aba</w:t>
      </w:r>
      <w:r w:rsidRPr="009A035E">
        <w:rPr>
          <w:i/>
          <w:sz w:val="20"/>
          <w:szCs w:val="20"/>
        </w:rPr>
        <w:t>s</w:t>
      </w:r>
      <w:r w:rsidRPr="009A035E">
        <w:rPr>
          <w:i/>
          <w:sz w:val="20"/>
          <w:szCs w:val="20"/>
        </w:rPr>
        <w:t>tecimiento de agua de prestación obligatoria.</w:t>
      </w:r>
    </w:p>
    <w:p w:rsidR="00306939" w:rsidRPr="009A035E" w:rsidRDefault="00EA3A93" w:rsidP="009A035E">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r w:rsidRPr="009A035E">
        <w:rPr>
          <w:i/>
          <w:sz w:val="20"/>
          <w:szCs w:val="20"/>
        </w:rPr>
        <w:t>Implica incurrir en costes innecesarios y genera incertidumbre sobre los que será necesario acometer en el corto plazo para solucionar las reparaciones del embalse, de las que se sabe que p</w:t>
      </w:r>
      <w:r w:rsidRPr="009A035E">
        <w:rPr>
          <w:i/>
          <w:sz w:val="20"/>
          <w:szCs w:val="20"/>
        </w:rPr>
        <w:t>o</w:t>
      </w:r>
      <w:r w:rsidRPr="009A035E">
        <w:rPr>
          <w:i/>
          <w:sz w:val="20"/>
          <w:szCs w:val="20"/>
        </w:rPr>
        <w:t>drán ser significativas, y que elevarán sobremanera a futuro el coste de la prestación del serv</w:t>
      </w:r>
      <w:r w:rsidRPr="009A035E">
        <w:rPr>
          <w:i/>
          <w:sz w:val="20"/>
          <w:szCs w:val="20"/>
        </w:rPr>
        <w:t>i</w:t>
      </w:r>
      <w:r w:rsidRPr="009A035E">
        <w:rPr>
          <w:i/>
          <w:sz w:val="20"/>
          <w:szCs w:val="20"/>
        </w:rPr>
        <w:t>cio</w:t>
      </w:r>
      <w:r w:rsidR="001D0A02">
        <w:rPr>
          <w:i/>
          <w:sz w:val="20"/>
          <w:szCs w:val="20"/>
        </w:rPr>
        <w:t>…”.</w:t>
      </w:r>
    </w:p>
    <w:p w:rsidR="00EA3A93" w:rsidRPr="009A035E" w:rsidRDefault="00EA3A93" w:rsidP="009A035E">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r w:rsidRPr="009A035E">
        <w:rPr>
          <w:i/>
          <w:sz w:val="20"/>
          <w:szCs w:val="20"/>
        </w:rPr>
        <w:br w:type="page"/>
      </w:r>
    </w:p>
    <w:p w:rsidR="009C52A8" w:rsidRPr="00341874" w:rsidRDefault="009C52A8" w:rsidP="009C52A8">
      <w:pPr>
        <w:pStyle w:val="atitulo1"/>
      </w:pPr>
      <w:bookmarkStart w:id="21" w:name="_Toc499802367"/>
      <w:bookmarkStart w:id="22" w:name="_Toc505686770"/>
      <w:r w:rsidRPr="00983EB9">
        <w:lastRenderedPageBreak/>
        <w:t xml:space="preserve">III. </w:t>
      </w:r>
      <w:r w:rsidRPr="00341874">
        <w:t>Objetivo</w:t>
      </w:r>
      <w:r>
        <w:t>s, alcance y limitaciones</w:t>
      </w:r>
      <w:bookmarkEnd w:id="21"/>
      <w:bookmarkEnd w:id="22"/>
    </w:p>
    <w:p w:rsidR="009C52A8" w:rsidRPr="00D87B9C" w:rsidRDefault="009C52A8" w:rsidP="009C52A8">
      <w:pPr>
        <w:pStyle w:val="texto"/>
      </w:pPr>
      <w:r>
        <w:t>Teniendo en cuenta la petición parlamentaria, l</w:t>
      </w:r>
      <w:r w:rsidRPr="00D87B9C">
        <w:t xml:space="preserve">os objetivos de este trabajo </w:t>
      </w:r>
      <w:r>
        <w:t>fueron los siguientes</w:t>
      </w:r>
      <w:r w:rsidRPr="00D87B9C">
        <w:t>:</w:t>
      </w:r>
    </w:p>
    <w:p w:rsidR="00105F41" w:rsidRDefault="00105F41"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Pr>
          <w:rFonts w:cs="Arial"/>
        </w:rPr>
        <w:t>Analizar la evolución del Plan Director en lo que a la zona de Mairaga se refiere.</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9C52A8">
        <w:rPr>
          <w:rFonts w:cs="Arial"/>
        </w:rPr>
        <w:t xml:space="preserve">Revisar el soporte y cálculos de los informes </w:t>
      </w:r>
      <w:r w:rsidR="00105F41">
        <w:rPr>
          <w:rFonts w:cs="Arial"/>
        </w:rPr>
        <w:t>técnicos solicitados para t</w:t>
      </w:r>
      <w:r w:rsidR="00105F41">
        <w:rPr>
          <w:rFonts w:cs="Arial"/>
        </w:rPr>
        <w:t>o</w:t>
      </w:r>
      <w:r w:rsidR="00105F41">
        <w:rPr>
          <w:rFonts w:cs="Arial"/>
        </w:rPr>
        <w:t>mar la decisión entre las posibles alternativas.</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9C52A8">
        <w:rPr>
          <w:rFonts w:cs="Arial"/>
        </w:rPr>
        <w:t>Analizar la decisión tomada por la Asamblea General considerando los i</w:t>
      </w:r>
      <w:r w:rsidRPr="009C52A8">
        <w:rPr>
          <w:rFonts w:cs="Arial"/>
        </w:rPr>
        <w:t>n</w:t>
      </w:r>
      <w:r w:rsidRPr="009C52A8">
        <w:rPr>
          <w:rFonts w:cs="Arial"/>
        </w:rPr>
        <w:t>formes anteriores, lo establecido en el P</w:t>
      </w:r>
      <w:r w:rsidR="00105F41">
        <w:rPr>
          <w:rFonts w:cs="Arial"/>
        </w:rPr>
        <w:t xml:space="preserve">lan </w:t>
      </w:r>
      <w:r w:rsidRPr="009C52A8">
        <w:rPr>
          <w:rFonts w:cs="Arial"/>
        </w:rPr>
        <w:t>D</w:t>
      </w:r>
      <w:r w:rsidR="00105F41">
        <w:rPr>
          <w:rFonts w:cs="Arial"/>
        </w:rPr>
        <w:t>irector</w:t>
      </w:r>
      <w:r w:rsidRPr="009C52A8">
        <w:rPr>
          <w:rFonts w:cs="Arial"/>
        </w:rPr>
        <w:t>, y las consecuencias de e</w:t>
      </w:r>
      <w:r w:rsidRPr="009C52A8">
        <w:rPr>
          <w:rFonts w:cs="Arial"/>
        </w:rPr>
        <w:t>s</w:t>
      </w:r>
      <w:r w:rsidRPr="009C52A8">
        <w:rPr>
          <w:rFonts w:cs="Arial"/>
        </w:rPr>
        <w:t>ta alternativa sobre el futuro de este instrumento.</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9C52A8">
        <w:rPr>
          <w:rFonts w:cs="Arial"/>
        </w:rPr>
        <w:t>Evaluar las consecuencias económicas de la alternativa elegida en las tar</w:t>
      </w:r>
      <w:r w:rsidRPr="009C52A8">
        <w:rPr>
          <w:rFonts w:cs="Arial"/>
        </w:rPr>
        <w:t>i</w:t>
      </w:r>
      <w:r w:rsidRPr="009C52A8">
        <w:rPr>
          <w:rFonts w:cs="Arial"/>
        </w:rPr>
        <w:t>fas de los usuarios de la mancomunidad.</w:t>
      </w:r>
    </w:p>
    <w:p w:rsidR="009C52A8" w:rsidRPr="009C52A8" w:rsidRDefault="009C52A8" w:rsidP="009C52A8">
      <w:pPr>
        <w:pStyle w:val="texto"/>
      </w:pPr>
      <w:r w:rsidRPr="009C52A8">
        <w:t>Para realizar nuestro trabajo hemos analizado el P</w:t>
      </w:r>
      <w:r w:rsidR="00105F41">
        <w:t>lan Director d</w:t>
      </w:r>
      <w:r w:rsidRPr="009C52A8">
        <w:t>el S</w:t>
      </w:r>
      <w:r w:rsidR="00105F41">
        <w:t xml:space="preserve">istema de </w:t>
      </w:r>
      <w:r w:rsidRPr="009C52A8">
        <w:t>A</w:t>
      </w:r>
      <w:r w:rsidR="00105F41">
        <w:t xml:space="preserve">bastecimiento de </w:t>
      </w:r>
      <w:r w:rsidRPr="009C52A8">
        <w:t>A</w:t>
      </w:r>
      <w:r w:rsidR="00105F41">
        <w:t>gua en Alta</w:t>
      </w:r>
      <w:r w:rsidRPr="009C52A8">
        <w:t xml:space="preserve"> para las Zonas de Mairaga, Bajo Arga y Ar</w:t>
      </w:r>
      <w:r w:rsidRPr="009C52A8">
        <w:t>a</w:t>
      </w:r>
      <w:r w:rsidRPr="009C52A8">
        <w:t>gón y sus modificaciones, así como los informes técnicos y económicos elab</w:t>
      </w:r>
      <w:r w:rsidRPr="009C52A8">
        <w:t>o</w:t>
      </w:r>
      <w:r w:rsidRPr="009C52A8">
        <w:t xml:space="preserve">rados y sus soportes. </w:t>
      </w:r>
    </w:p>
    <w:p w:rsidR="009C52A8" w:rsidRPr="009C52A8" w:rsidRDefault="009C52A8" w:rsidP="009C52A8">
      <w:pPr>
        <w:pStyle w:val="texto"/>
      </w:pPr>
      <w:r w:rsidRPr="009C52A8">
        <w:t>El trabajo se ha ejecutado de acuerdo con los principios y normas de audit</w:t>
      </w:r>
      <w:r w:rsidRPr="009C52A8">
        <w:t>o</w:t>
      </w:r>
      <w:r w:rsidRPr="009C52A8">
        <w:t>ría del Sector Público aprobados por la Comisión de Coordinación de los Órg</w:t>
      </w:r>
      <w:r w:rsidRPr="009C52A8">
        <w:t>a</w:t>
      </w:r>
      <w:r w:rsidRPr="009C52A8">
        <w:t>nos Públicos del Control Externo del Estado Español y desarrollados por esta Cámara de Comptos en su manual de fiscalización, aplicándose fundamenta</w:t>
      </w:r>
      <w:r w:rsidRPr="009C52A8">
        <w:t>l</w:t>
      </w:r>
      <w:r w:rsidRPr="009C52A8">
        <w:t>mente la ISSAI-ES de nivel tres y cuatro referidas a las fiscalizaciones operat</w:t>
      </w:r>
      <w:r w:rsidRPr="009C52A8">
        <w:t>i</w:t>
      </w:r>
      <w:r w:rsidRPr="009C52A8">
        <w:t>vas y de cumplimiento. Se han incluido todos aquellos procedimientos técnicos considerados necesarios, de acuerdo con las circunstancias y con el objetivo del trabajo.</w:t>
      </w:r>
    </w:p>
    <w:p w:rsidR="009C52A8" w:rsidRPr="009C52A8" w:rsidRDefault="00105F41" w:rsidP="009C52A8">
      <w:pPr>
        <w:pStyle w:val="texto"/>
      </w:pPr>
      <w:r>
        <w:t>En el</w:t>
      </w:r>
      <w:r w:rsidR="009C52A8" w:rsidRPr="009C52A8">
        <w:t xml:space="preserve"> análisis de los informes técnicos, hemos verificado la existencia de d</w:t>
      </w:r>
      <w:r w:rsidR="009C52A8" w:rsidRPr="009C52A8">
        <w:t>a</w:t>
      </w:r>
      <w:r w:rsidR="009C52A8" w:rsidRPr="009C52A8">
        <w:t xml:space="preserve">tos cuya inclusión no valoraremos por </w:t>
      </w:r>
      <w:r w:rsidR="00665384">
        <w:t>responder a</w:t>
      </w:r>
      <w:r w:rsidR="009C52A8" w:rsidRPr="009C52A8">
        <w:t xml:space="preserve"> cuestiones técnica</w:t>
      </w:r>
      <w:r>
        <w:t>s</w:t>
      </w:r>
      <w:r w:rsidR="009C52A8" w:rsidRPr="009C52A8">
        <w:t>; al re</w:t>
      </w:r>
      <w:r w:rsidR="009C52A8" w:rsidRPr="009C52A8">
        <w:t>s</w:t>
      </w:r>
      <w:r w:rsidR="009C52A8" w:rsidRPr="009C52A8">
        <w:t>pecto</w:t>
      </w:r>
      <w:r w:rsidR="00665384">
        <w:t>,</w:t>
      </w:r>
      <w:r w:rsidR="009C52A8" w:rsidRPr="009C52A8">
        <w:t xml:space="preserve"> analizaremos el porqué de su consideración, si se han </w:t>
      </w:r>
      <w:r>
        <w:t>tenido en cuenta</w:t>
      </w:r>
      <w:r w:rsidR="009C52A8" w:rsidRPr="009C52A8">
        <w:t xml:space="preserve"> por igual en todos los casos y los cálculos aritméticos que los soportan.</w:t>
      </w:r>
    </w:p>
    <w:p w:rsidR="009C52A8" w:rsidRDefault="00665384" w:rsidP="009C52A8">
      <w:pPr>
        <w:pStyle w:val="texto"/>
      </w:pPr>
      <w:r>
        <w:t>Además</w:t>
      </w:r>
      <w:r w:rsidR="0002273D">
        <w:t>,</w:t>
      </w:r>
      <w:r>
        <w:t xml:space="preserve"> queremos destacar que</w:t>
      </w:r>
      <w:r w:rsidR="009C52A8" w:rsidRPr="009C52A8">
        <w:t xml:space="preserve"> la petición parlamentaria solicitaba que se llevara a cabo una comparación de la calidad del agua de las alternativas pr</w:t>
      </w:r>
      <w:r w:rsidR="009C52A8" w:rsidRPr="009C52A8">
        <w:t>o</w:t>
      </w:r>
      <w:r w:rsidR="009C52A8" w:rsidRPr="009C52A8">
        <w:t>pues</w:t>
      </w:r>
      <w:r>
        <w:t>tas; sobre esta</w:t>
      </w:r>
      <w:r w:rsidR="009C52A8" w:rsidRPr="009C52A8">
        <w:t xml:space="preserve"> cuestión esta Cámara se remit</w:t>
      </w:r>
      <w:r w:rsidR="00105F41">
        <w:t>e</w:t>
      </w:r>
      <w:r w:rsidR="009C52A8" w:rsidRPr="009C52A8">
        <w:t xml:space="preserve"> a los informes técnicos re</w:t>
      </w:r>
      <w:r w:rsidR="009C52A8" w:rsidRPr="009C52A8">
        <w:t>a</w:t>
      </w:r>
      <w:r w:rsidR="009C52A8" w:rsidRPr="009C52A8">
        <w:t>lizados por la mancomunidad.</w:t>
      </w:r>
    </w:p>
    <w:p w:rsidR="009C52A8" w:rsidRDefault="00105F41" w:rsidP="00105F41">
      <w:pPr>
        <w:pStyle w:val="texto"/>
        <w:rPr>
          <w:rFonts w:cs="Arial"/>
        </w:rPr>
      </w:pPr>
      <w:r>
        <w:t>Finalmente, hay que tener en cuenta que se desconoce el precio que habría resultado de una posible negociación entre la mancomunidad y Canasa S.A. p</w:t>
      </w:r>
      <w:r>
        <w:t>a</w:t>
      </w:r>
      <w:r>
        <w:t>ra el suministro del agua, lo cual podría modificar significativamente el resu</w:t>
      </w:r>
      <w:r>
        <w:t>l</w:t>
      </w:r>
      <w:r>
        <w:t xml:space="preserve">tado de los cálculos obtenidos. Analizaremos los informes teniendo en cuenta los precios </w:t>
      </w:r>
      <w:r w:rsidR="002831DF">
        <w:t>previsto</w:t>
      </w:r>
      <w:r>
        <w:t>s para 201</w:t>
      </w:r>
      <w:r w:rsidR="002831DF">
        <w:t>5</w:t>
      </w:r>
      <w:r>
        <w:t xml:space="preserve"> pero </w:t>
      </w:r>
      <w:r w:rsidR="002831DF">
        <w:t>considerando</w:t>
      </w:r>
      <w:r>
        <w:t xml:space="preserve"> la limitación expuesta.</w:t>
      </w:r>
      <w:r w:rsidR="009C52A8">
        <w:rPr>
          <w:rFonts w:cs="Arial"/>
        </w:rPr>
        <w:br w:type="page"/>
      </w:r>
    </w:p>
    <w:p w:rsidR="009C52A8" w:rsidRPr="00BB1925" w:rsidRDefault="009C52A8" w:rsidP="009C52A8">
      <w:pPr>
        <w:pStyle w:val="atitulo1"/>
      </w:pPr>
      <w:bookmarkStart w:id="23" w:name="_Toc398207038"/>
      <w:bookmarkStart w:id="24" w:name="_Toc432757087"/>
      <w:bookmarkStart w:id="25" w:name="_Toc447195021"/>
      <w:bookmarkStart w:id="26" w:name="_Toc499802368"/>
      <w:bookmarkStart w:id="27" w:name="_Toc505686771"/>
      <w:r>
        <w:lastRenderedPageBreak/>
        <w:t>I</w:t>
      </w:r>
      <w:r w:rsidRPr="00BB1925">
        <w:t xml:space="preserve">V. </w:t>
      </w:r>
      <w:bookmarkEnd w:id="23"/>
      <w:bookmarkEnd w:id="24"/>
      <w:r w:rsidRPr="00BB1925">
        <w:t>Conclusiones y recomendaciones</w:t>
      </w:r>
      <w:bookmarkEnd w:id="25"/>
      <w:bookmarkEnd w:id="26"/>
      <w:bookmarkEnd w:id="27"/>
    </w:p>
    <w:p w:rsidR="009C52A8" w:rsidRPr="009C52A8" w:rsidRDefault="009C52A8" w:rsidP="009C52A8">
      <w:pPr>
        <w:pStyle w:val="texto"/>
      </w:pPr>
      <w:r w:rsidRPr="009C52A8">
        <w:t>Presentamos en este epígrafe las principales conclusiones del trabajo realiz</w:t>
      </w:r>
      <w:r w:rsidRPr="009C52A8">
        <w:t>a</w:t>
      </w:r>
      <w:r w:rsidRPr="009C52A8">
        <w:t>do y las recomendaciones que consideramos oportunas para mejorar la gestión de los aspectos analizados.</w:t>
      </w:r>
    </w:p>
    <w:p w:rsidR="002673A6" w:rsidRDefault="009C52A8" w:rsidP="009C52A8">
      <w:pPr>
        <w:pStyle w:val="atitulo2"/>
        <w:spacing w:after="120"/>
      </w:pPr>
      <w:bookmarkStart w:id="28" w:name="_Toc499802369"/>
      <w:bookmarkStart w:id="29" w:name="_Toc505686772"/>
      <w:r>
        <w:t>I</w:t>
      </w:r>
      <w:r w:rsidRPr="00723975">
        <w:t>V.</w:t>
      </w:r>
      <w:r>
        <w:t>1</w:t>
      </w:r>
      <w:r w:rsidRPr="00723975">
        <w:t>.</w:t>
      </w:r>
      <w:r w:rsidR="001D0A02">
        <w:t xml:space="preserve"> </w:t>
      </w:r>
      <w:bookmarkEnd w:id="28"/>
      <w:r w:rsidR="002673A6">
        <w:t xml:space="preserve">Plan Director de </w:t>
      </w:r>
      <w:r w:rsidR="00665384">
        <w:t>a</w:t>
      </w:r>
      <w:r w:rsidR="002673A6">
        <w:t xml:space="preserve">bastecimiento de </w:t>
      </w:r>
      <w:r w:rsidR="00665384">
        <w:t>a</w:t>
      </w:r>
      <w:r w:rsidR="002673A6">
        <w:t xml:space="preserve">gua en </w:t>
      </w:r>
      <w:r w:rsidR="00665384">
        <w:t>a</w:t>
      </w:r>
      <w:r w:rsidR="002673A6">
        <w:t>lta (Mairaga)</w:t>
      </w:r>
      <w:bookmarkEnd w:id="29"/>
    </w:p>
    <w:p w:rsidR="00657FFB" w:rsidRDefault="009C52A8" w:rsidP="002673A6">
      <w:pPr>
        <w:pStyle w:val="texto"/>
      </w:pPr>
      <w:r w:rsidRPr="002673A6">
        <w:t xml:space="preserve"> </w:t>
      </w:r>
      <w:r w:rsidR="007D24F9">
        <w:t>En 1989 se aprobó el Plan Director que determinaba que la zona de Mairaga se abasteciera desde el embalse</w:t>
      </w:r>
      <w:r w:rsidR="00665384">
        <w:t xml:space="preserve"> de Mairaga</w:t>
      </w:r>
      <w:r w:rsidR="007D24F9">
        <w:t xml:space="preserve"> y desde los pozos y manantiales</w:t>
      </w:r>
      <w:r w:rsidR="00665384">
        <w:t xml:space="preserve"> ya</w:t>
      </w:r>
      <w:r w:rsidR="007D24F9">
        <w:t xml:space="preserve"> citados</w:t>
      </w:r>
      <w:r w:rsidR="002673A6" w:rsidRPr="002673A6">
        <w:t>.</w:t>
      </w:r>
      <w:r w:rsidR="007D24F9">
        <w:t xml:space="preserve"> </w:t>
      </w:r>
    </w:p>
    <w:p w:rsidR="00657FFB" w:rsidRDefault="007D24F9" w:rsidP="00657FFB">
      <w:pPr>
        <w:pStyle w:val="texto"/>
      </w:pPr>
      <w:r>
        <w:t>En 2007 se modificó este plan</w:t>
      </w:r>
      <w:r w:rsidR="00657FFB">
        <w:t>,</w:t>
      </w:r>
      <w:r>
        <w:t xml:space="preserve"> considerando que esta opción ya no era la más idónea</w:t>
      </w:r>
      <w:r w:rsidR="00657FFB">
        <w:t>,</w:t>
      </w:r>
      <w:r>
        <w:t xml:space="preserve"> y que se debía captar agua del Canal de Navarra</w:t>
      </w:r>
      <w:r w:rsidR="00657FFB">
        <w:t>,</w:t>
      </w:r>
      <w:r>
        <w:t xml:space="preserve"> y tratarla en unas instalaciones que se realizarían en la zona de La Pedrera</w:t>
      </w:r>
      <w:r w:rsidR="00657FFB">
        <w:t xml:space="preserve"> para el año 2021</w:t>
      </w:r>
      <w:r w:rsidR="00665384">
        <w:t>,</w:t>
      </w:r>
      <w:r w:rsidR="00657FFB">
        <w:t xml:space="preserve"> m</w:t>
      </w:r>
      <w:r w:rsidR="00657FFB">
        <w:t>o</w:t>
      </w:r>
      <w:r w:rsidR="00657FFB">
        <w:t>mento en el cual se abastecería además a otras poblaciones con unas inversi</w:t>
      </w:r>
      <w:r w:rsidR="00657FFB">
        <w:t>o</w:t>
      </w:r>
      <w:r w:rsidR="00657FFB">
        <w:t>nes previstas de 34,2 millones de euros.</w:t>
      </w:r>
    </w:p>
    <w:p w:rsidR="00657FFB" w:rsidRDefault="00657FFB" w:rsidP="00657FFB">
      <w:pPr>
        <w:pStyle w:val="texto"/>
      </w:pPr>
      <w:r>
        <w:t>Desde ese momento hasta la actualidad se han ejecutado inversiones por un</w:t>
      </w:r>
      <w:r w:rsidR="00D92F51">
        <w:t xml:space="preserve"> total de 3,4 millones de euros,</w:t>
      </w:r>
      <w:r>
        <w:t xml:space="preserve"> entre las que destaca la construcción de la pr</w:t>
      </w:r>
      <w:r>
        <w:t>i</w:t>
      </w:r>
      <w:r>
        <w:t xml:space="preserve">mera fase de las instalaciones de La Pedrera que posibilitan un </w:t>
      </w:r>
      <w:r w:rsidR="00AD3D56">
        <w:t>tratamiento de agua</w:t>
      </w:r>
      <w:r>
        <w:t xml:space="preserve"> de 100 litros por segundo.</w:t>
      </w:r>
    </w:p>
    <w:p w:rsidR="00657FFB" w:rsidRDefault="00657FFB" w:rsidP="00657FFB">
      <w:pPr>
        <w:pStyle w:val="texto"/>
      </w:pPr>
      <w:r>
        <w:t>A la fecha de redacción de este informe no se han ejecutado las otras dos f</w:t>
      </w:r>
      <w:r>
        <w:t>a</w:t>
      </w:r>
      <w:r>
        <w:t>ses ni los tramos de conducción para el resto de municipios, si bien estas inve</w:t>
      </w:r>
      <w:r>
        <w:t>r</w:t>
      </w:r>
      <w:r>
        <w:t xml:space="preserve">siones se han previsto en </w:t>
      </w:r>
      <w:r w:rsidR="00D92F51">
        <w:t>el</w:t>
      </w:r>
      <w:r>
        <w:t xml:space="preserve"> PIL correspondiente al periodo 2017-2018.</w:t>
      </w:r>
    </w:p>
    <w:p w:rsidR="00657FFB" w:rsidRPr="002673A6" w:rsidRDefault="00657FFB" w:rsidP="00657FFB">
      <w:pPr>
        <w:pStyle w:val="texto"/>
      </w:pPr>
      <w:r>
        <w:t>En octubre de 2017, se presentó una nueva actualización del Plan Director en el que se vuelven a analizar las alternativas de abastecimiento en la zona de Mairaga concluyéndose que el</w:t>
      </w:r>
      <w:r w:rsidR="00D92F51">
        <w:t xml:space="preserve"> coste de</w:t>
      </w:r>
      <w:r>
        <w:t xml:space="preserve"> abastecerse de agua del </w:t>
      </w:r>
      <w:r w:rsidR="00D92F51">
        <w:t xml:space="preserve">Canal, o del embalse de Mairaga y del Canal sería </w:t>
      </w:r>
      <w:r>
        <w:t xml:space="preserve">similar. Actualmente, esta actualización se encuentra en fase de </w:t>
      </w:r>
      <w:r w:rsidR="00AD3D56">
        <w:t>participación ciudadana</w:t>
      </w:r>
      <w:r>
        <w:t xml:space="preserve">. </w:t>
      </w:r>
    </w:p>
    <w:p w:rsidR="002673A6" w:rsidRDefault="002673A6" w:rsidP="002673A6">
      <w:pPr>
        <w:pStyle w:val="atitulo2"/>
        <w:spacing w:after="120"/>
      </w:pPr>
      <w:bookmarkStart w:id="30" w:name="_Toc505686773"/>
      <w:r>
        <w:t>I</w:t>
      </w:r>
      <w:r w:rsidRPr="00723975">
        <w:t>V.</w:t>
      </w:r>
      <w:r>
        <w:t>2</w:t>
      </w:r>
      <w:r w:rsidRPr="00723975">
        <w:t>.</w:t>
      </w:r>
      <w:r>
        <w:t xml:space="preserve"> Informes del área técnica</w:t>
      </w:r>
      <w:bookmarkEnd w:id="30"/>
      <w:r>
        <w:t xml:space="preserve"> </w:t>
      </w:r>
    </w:p>
    <w:p w:rsidR="009C52A8" w:rsidRDefault="009C52A8" w:rsidP="009C52A8">
      <w:pPr>
        <w:pStyle w:val="texto"/>
      </w:pPr>
      <w:r>
        <w:t>El primer informe que realizó el área técnica a petición de la asamblea co</w:t>
      </w:r>
      <w:r>
        <w:t>n</w:t>
      </w:r>
      <w:r>
        <w:t>tenía un anexo con un análisis exhaustivo sobre los medios humanos y materi</w:t>
      </w:r>
      <w:r>
        <w:t>a</w:t>
      </w:r>
      <w:r>
        <w:t>les necesarios en cada alternativa.</w:t>
      </w:r>
    </w:p>
    <w:p w:rsidR="009C52A8" w:rsidRDefault="009C52A8" w:rsidP="009C52A8">
      <w:pPr>
        <w:pStyle w:val="texto"/>
      </w:pPr>
      <w:r>
        <w:t>El área técnica presentó un segundo informe que reafirmaba las conclusiones del primero sin aportar datos añadidos al anexo anterior, por lo que hemos rev</w:t>
      </w:r>
      <w:r>
        <w:t>i</w:t>
      </w:r>
      <w:r>
        <w:t>sado fundamentalmente este documento</w:t>
      </w:r>
      <w:r w:rsidR="002673A6">
        <w:t xml:space="preserve"> anexado</w:t>
      </w:r>
      <w:r>
        <w:t>.</w:t>
      </w:r>
    </w:p>
    <w:p w:rsidR="009C52A8" w:rsidRDefault="009C52A8" w:rsidP="009C52A8">
      <w:pPr>
        <w:pStyle w:val="texto"/>
      </w:pPr>
      <w:r>
        <w:t>De la revisión del cálculo, soporte y consideración de cada uno de los el</w:t>
      </w:r>
      <w:r>
        <w:t>e</w:t>
      </w:r>
      <w:r>
        <w:t>mentos del citado anexo destacamos los siguientes aspectos:</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9C52A8">
        <w:rPr>
          <w:rFonts w:cs="Arial"/>
        </w:rPr>
        <w:t>En la cuantificación de los costes de la ETAP de Olóriz, el gasto corre</w:t>
      </w:r>
      <w:r w:rsidRPr="009C52A8">
        <w:rPr>
          <w:rFonts w:cs="Arial"/>
        </w:rPr>
        <w:t>s</w:t>
      </w:r>
      <w:r w:rsidRPr="009C52A8">
        <w:rPr>
          <w:rFonts w:cs="Arial"/>
        </w:rPr>
        <w:t xml:space="preserve">pondiente al canon de la CHE se asigna a la alternativa 1 (uso del  embalse de Mairaga y solo en caso de urgencia La Pedrera) por su importe total (113.000 euros); en el caso de la alternativa 3 (uso mixto de ambas plantas) se imputa el </w:t>
      </w:r>
      <w:r w:rsidRPr="009C52A8">
        <w:rPr>
          <w:rFonts w:cs="Arial"/>
        </w:rPr>
        <w:lastRenderedPageBreak/>
        <w:t xml:space="preserve">40 por ciento del importe del canon al suponer que el Gobierno de Navarra asumiría el resto. </w:t>
      </w:r>
    </w:p>
    <w:p w:rsidR="009C52A8" w:rsidRDefault="009C52A8" w:rsidP="009C52A8">
      <w:pPr>
        <w:pStyle w:val="texto"/>
      </w:pPr>
      <w:r>
        <w:t>En la alternativa 2 (uso exclusivo de La Pedrera) se consideró que el aba</w:t>
      </w:r>
      <w:r>
        <w:t>n</w:t>
      </w:r>
      <w:r>
        <w:t>dono de captación de agua para el abastecimiento del embalse de Mairaga no iba a generar ningún gasto para la mancomunidad, y que el Gobierno de Nav</w:t>
      </w:r>
      <w:r>
        <w:t>a</w:t>
      </w:r>
      <w:r>
        <w:t xml:space="preserve">rra asumiría el importe total en caso de que se mantuviera el embalse para otros usos, o que incluso este canon desaparecería si el embalse se cedía a la CHE. </w:t>
      </w:r>
    </w:p>
    <w:p w:rsidR="009C52A8" w:rsidRDefault="009C52A8" w:rsidP="009C52A8">
      <w:pPr>
        <w:pStyle w:val="texto"/>
      </w:pPr>
      <w:r>
        <w:t>Esta Cámara</w:t>
      </w:r>
      <w:r w:rsidR="00F578DF">
        <w:t>, en aplicación del principio de prudencia,</w:t>
      </w:r>
      <w:r>
        <w:t xml:space="preserve"> entiende que al no existir ningún tipo de acuerdo entre el Gobierno de Navarra y la mancomun</w:t>
      </w:r>
      <w:r>
        <w:t>i</w:t>
      </w:r>
      <w:r>
        <w:t>dad, ni ninguna decisión en firme sobre el abandono de Mairaga, el importe del canon se debería haber considerado en todas las alternativas por igual</w:t>
      </w:r>
      <w:r w:rsidR="00F578DF">
        <w:t>; hay que tener en cuenta que si el embalse se hubiera destinado a algún uso diferente al abastecimiento, el Gobierno de Navarra tendría que asumir dicho canon red</w:t>
      </w:r>
      <w:r w:rsidR="00F578DF">
        <w:t>u</w:t>
      </w:r>
      <w:r w:rsidR="00F578DF">
        <w:t>ciendo significativamente el coste de la alternativa 2.</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9C52A8">
        <w:rPr>
          <w:rFonts w:cs="Arial"/>
        </w:rPr>
        <w:t>En el cálculo de los costes de la ETAP de La Pedrera destacamos los s</w:t>
      </w:r>
      <w:r w:rsidRPr="009C52A8">
        <w:rPr>
          <w:rFonts w:cs="Arial"/>
        </w:rPr>
        <w:t>i</w:t>
      </w:r>
      <w:r w:rsidRPr="009C52A8">
        <w:rPr>
          <w:rFonts w:cs="Arial"/>
        </w:rPr>
        <w:t>guientes aspectos:</w:t>
      </w:r>
    </w:p>
    <w:p w:rsidR="009C52A8" w:rsidRPr="009C52A8" w:rsidRDefault="009C52A8" w:rsidP="009C52A8">
      <w:pPr>
        <w:pStyle w:val="texto"/>
        <w:numPr>
          <w:ilvl w:val="0"/>
          <w:numId w:val="18"/>
        </w:numPr>
        <w:tabs>
          <w:tab w:val="clear" w:pos="2835"/>
          <w:tab w:val="clear" w:pos="3969"/>
          <w:tab w:val="clear" w:pos="5103"/>
          <w:tab w:val="clear" w:pos="6237"/>
          <w:tab w:val="clear" w:pos="7371"/>
          <w:tab w:val="left" w:pos="574"/>
        </w:tabs>
        <w:ind w:left="0" w:firstLine="284"/>
        <w:rPr>
          <w:szCs w:val="26"/>
        </w:rPr>
      </w:pPr>
      <w:r w:rsidRPr="009C52A8">
        <w:rPr>
          <w:szCs w:val="26"/>
        </w:rPr>
        <w:t>El coste del agua que se toma del Canal de Navarra se compone de un c</w:t>
      </w:r>
      <w:r w:rsidRPr="009C52A8">
        <w:rPr>
          <w:szCs w:val="26"/>
        </w:rPr>
        <w:t>a</w:t>
      </w:r>
      <w:r w:rsidRPr="009C52A8">
        <w:rPr>
          <w:szCs w:val="26"/>
        </w:rPr>
        <w:t xml:space="preserve">non fijo y otro variable en función del consumo. Los importes considerados se corresponden con los </w:t>
      </w:r>
      <w:r w:rsidR="00F578DF">
        <w:rPr>
          <w:szCs w:val="26"/>
        </w:rPr>
        <w:t>previstos para 2015 por</w:t>
      </w:r>
      <w:r w:rsidRPr="009C52A8">
        <w:rPr>
          <w:szCs w:val="26"/>
        </w:rPr>
        <w:t xml:space="preserve"> la empresa Canasa S.A. </w:t>
      </w:r>
    </w:p>
    <w:p w:rsidR="009C52A8" w:rsidRDefault="009C52A8" w:rsidP="009C52A8">
      <w:pPr>
        <w:pStyle w:val="texto"/>
      </w:pPr>
      <w:r>
        <w:t xml:space="preserve">Desconocemos qué importes resultarían de </w:t>
      </w:r>
      <w:r w:rsidR="0002273D">
        <w:t>una hipotética</w:t>
      </w:r>
      <w:r>
        <w:t xml:space="preserve"> negociación entre la mancomunidad y esta empresa. En todo caso, el canon fijo sería el mismo en todas las alternativas, si bien la parte variable modificaría el importe total de cada opción en f</w:t>
      </w:r>
      <w:r w:rsidR="002673A6">
        <w:t>unción de los litros consumidos, y podría cambiar el sentido de los resultados obtenidos.</w:t>
      </w:r>
    </w:p>
    <w:p w:rsidR="009C52A8" w:rsidRDefault="009C52A8" w:rsidP="009C52A8">
      <w:pPr>
        <w:pStyle w:val="texto"/>
      </w:pPr>
      <w:r>
        <w:t xml:space="preserve">Al respecto queremos destacar que, </w:t>
      </w:r>
      <w:r w:rsidR="0052055D">
        <w:t>según nos indica el personal de la ma</w:t>
      </w:r>
      <w:r w:rsidR="0052055D">
        <w:t>n</w:t>
      </w:r>
      <w:r w:rsidR="0052055D">
        <w:t xml:space="preserve">comunidad, </w:t>
      </w:r>
      <w:r>
        <w:t xml:space="preserve">ante la sequía que actualmente se está dando en la zona, la </w:t>
      </w:r>
      <w:r w:rsidR="0052055D">
        <w:t>enti</w:t>
      </w:r>
      <w:r>
        <w:t xml:space="preserve">dad </w:t>
      </w:r>
      <w:r w:rsidR="00F578DF">
        <w:t xml:space="preserve">ya ha iniciado los trabajos para captar agua del Canal de Navarra; </w:t>
      </w:r>
      <w:r>
        <w:t>a la fecha de redacción de este informe</w:t>
      </w:r>
      <w:r w:rsidR="00F578DF">
        <w:t>,</w:t>
      </w:r>
      <w:r>
        <w:t xml:space="preserve"> la mancomunidad y Canasa se encuentran en fase de negociaciones para establecer dichos importes. </w:t>
      </w:r>
    </w:p>
    <w:p w:rsidR="009C52A8" w:rsidRPr="009C52A8" w:rsidRDefault="009C52A8" w:rsidP="009C52A8">
      <w:pPr>
        <w:pStyle w:val="texto"/>
        <w:numPr>
          <w:ilvl w:val="0"/>
          <w:numId w:val="18"/>
        </w:numPr>
        <w:tabs>
          <w:tab w:val="clear" w:pos="2835"/>
          <w:tab w:val="clear" w:pos="3969"/>
          <w:tab w:val="clear" w:pos="5103"/>
          <w:tab w:val="clear" w:pos="6237"/>
          <w:tab w:val="clear" w:pos="7371"/>
          <w:tab w:val="left" w:pos="574"/>
        </w:tabs>
        <w:ind w:left="0" w:firstLine="284"/>
        <w:rPr>
          <w:szCs w:val="26"/>
        </w:rPr>
      </w:pPr>
      <w:r w:rsidRPr="009C52A8">
        <w:rPr>
          <w:szCs w:val="26"/>
        </w:rPr>
        <w:t>La ETAP de La Pedrera es una instalación prácticamente automatizada en su totalidad, frente a la de Olóriz que precisa de más personal (actualmente el trabajo de esta ETAP lo realiza una empresa externa con cinco operadores de planta). A pesar de esta diferencia tan significativa, en la alternativa 2 (uso e</w:t>
      </w:r>
      <w:r w:rsidRPr="009C52A8">
        <w:rPr>
          <w:szCs w:val="26"/>
        </w:rPr>
        <w:t>x</w:t>
      </w:r>
      <w:r w:rsidRPr="009C52A8">
        <w:rPr>
          <w:szCs w:val="26"/>
        </w:rPr>
        <w:t>clusivo de La Pedrera) se imputa el coste de cinco personas (164.164 euros) y en la alternativa 3 (uso mixto) tan solo el de una (31.247 euros).</w:t>
      </w:r>
    </w:p>
    <w:p w:rsidR="009C52A8" w:rsidRDefault="009C52A8" w:rsidP="009C52A8">
      <w:pPr>
        <w:pStyle w:val="texto"/>
      </w:pPr>
      <w:r>
        <w:t>Esta Cámara opina que el gasto correspondiente a este concepto debería h</w:t>
      </w:r>
      <w:r>
        <w:t>a</w:t>
      </w:r>
      <w:r>
        <w:t xml:space="preserve">ber sido el mismo en la alternativa 2 </w:t>
      </w:r>
      <w:r w:rsidR="002673A6">
        <w:t>y</w:t>
      </w:r>
      <w:r>
        <w:t xml:space="preserve"> en la 3</w:t>
      </w:r>
      <w:r w:rsidR="002673A6">
        <w:t xml:space="preserve"> ya que no existen diferencias</w:t>
      </w:r>
      <w:r w:rsidR="00D92F51">
        <w:t xml:space="preserve"> en la organización de la producción</w:t>
      </w:r>
      <w:r w:rsidR="002673A6">
        <w:t xml:space="preserve"> al respecto</w:t>
      </w:r>
      <w:r>
        <w:t>.</w:t>
      </w:r>
    </w:p>
    <w:p w:rsid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9C52A8">
        <w:rPr>
          <w:rFonts w:cs="Arial"/>
        </w:rPr>
        <w:lastRenderedPageBreak/>
        <w:t>Solo se han tenido en cuenta las amortizaciones de las nuevas inversiones ya que el resto de instalaciones se considera que están ya amortizadas.</w:t>
      </w:r>
    </w:p>
    <w:p w:rsidR="009C52A8" w:rsidRPr="009C52A8" w:rsidRDefault="001D0A02" w:rsidP="001D0A02">
      <w:pPr>
        <w:pStyle w:val="texto"/>
        <w:tabs>
          <w:tab w:val="clear" w:pos="2835"/>
          <w:tab w:val="clear" w:pos="3969"/>
          <w:tab w:val="clear" w:pos="5103"/>
          <w:tab w:val="clear" w:pos="6237"/>
          <w:tab w:val="clear" w:pos="7371"/>
          <w:tab w:val="left" w:pos="480"/>
          <w:tab w:val="num" w:pos="720"/>
          <w:tab w:val="num" w:pos="1320"/>
          <w:tab w:val="num" w:pos="1948"/>
        </w:tabs>
        <w:rPr>
          <w:rFonts w:cs="Arial"/>
        </w:rPr>
      </w:pPr>
      <w:r>
        <w:rPr>
          <w:rFonts w:cs="Arial"/>
        </w:rPr>
        <w:t xml:space="preserve">Hemos </w:t>
      </w:r>
      <w:r w:rsidR="009C52A8" w:rsidRPr="009C52A8">
        <w:rPr>
          <w:rFonts w:cs="Arial"/>
        </w:rPr>
        <w:t>recalculado los costes asociados a cada alternativa teniendo en cuenta los puntos anteriores y las conclusiones son:</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9C52A8">
        <w:rPr>
          <w:rFonts w:cs="Arial"/>
        </w:rPr>
        <w:t>La alternativa de utilizar exclusivamente La Pedrera para abastecimiento manteniendo de forma provisional el embalse de Mairaga para otros usos sigue siendo la opción más económica, además de ser la que proporciona una mayor calidad del agua para los usuarios de acuerdo a los informes técnicos existe</w:t>
      </w:r>
      <w:r w:rsidRPr="009C52A8">
        <w:rPr>
          <w:rFonts w:cs="Arial"/>
        </w:rPr>
        <w:t>n</w:t>
      </w:r>
      <w:r w:rsidRPr="009C52A8">
        <w:rPr>
          <w:rFonts w:cs="Arial"/>
        </w:rPr>
        <w:t>tes.</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9C52A8">
        <w:rPr>
          <w:rFonts w:cs="Arial"/>
        </w:rPr>
        <w:t>La opción de utilizar el Embalse de Mairaga y solo para casos de urgencia La Pedrera es 54.622 euros más cara al año que la alternativa indicada en el punto anterior.</w:t>
      </w:r>
    </w:p>
    <w:p w:rsid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9C52A8">
        <w:rPr>
          <w:rFonts w:cs="Arial"/>
        </w:rPr>
        <w:t>La</w:t>
      </w:r>
      <w:r w:rsidR="002673A6">
        <w:rPr>
          <w:rFonts w:cs="Arial"/>
        </w:rPr>
        <w:t xml:space="preserve"> alternativa 3 que supone la</w:t>
      </w:r>
      <w:r w:rsidRPr="009C52A8">
        <w:rPr>
          <w:rFonts w:cs="Arial"/>
        </w:rPr>
        <w:t xml:space="preserve"> utilización mixta de ambas plantas es la s</w:t>
      </w:r>
      <w:r w:rsidRPr="009C52A8">
        <w:rPr>
          <w:rFonts w:cs="Arial"/>
        </w:rPr>
        <w:t>o</w:t>
      </w:r>
      <w:r w:rsidRPr="009C52A8">
        <w:rPr>
          <w:rFonts w:cs="Arial"/>
        </w:rPr>
        <w:t>lución más ca</w:t>
      </w:r>
      <w:r w:rsidR="002673A6">
        <w:rPr>
          <w:rFonts w:cs="Arial"/>
        </w:rPr>
        <w:t>ra e implicaría un gasto mayor que la 2 en 230.533 euros anuales.</w:t>
      </w:r>
    </w:p>
    <w:p w:rsidR="00D92F51" w:rsidRPr="009C52A8" w:rsidRDefault="00D92F51" w:rsidP="00D92F51">
      <w:pPr>
        <w:pStyle w:val="texto"/>
        <w:tabs>
          <w:tab w:val="clear" w:pos="2835"/>
          <w:tab w:val="clear" w:pos="3969"/>
          <w:tab w:val="clear" w:pos="5103"/>
          <w:tab w:val="clear" w:pos="6237"/>
          <w:tab w:val="clear" w:pos="7371"/>
          <w:tab w:val="left" w:pos="480"/>
          <w:tab w:val="num" w:pos="720"/>
          <w:tab w:val="num" w:pos="1320"/>
          <w:tab w:val="num" w:pos="1948"/>
        </w:tabs>
        <w:ind w:firstLine="289"/>
        <w:rPr>
          <w:rFonts w:cs="Arial"/>
        </w:rPr>
      </w:pPr>
      <w:r>
        <w:rPr>
          <w:rFonts w:cs="Arial"/>
        </w:rPr>
        <w:t xml:space="preserve">Como ya hemos indicado en el epígrafe anterior, estas estimaciones están realizadas teniendo en cuenta los importes </w:t>
      </w:r>
      <w:r w:rsidR="002831DF">
        <w:rPr>
          <w:rFonts w:cs="Arial"/>
        </w:rPr>
        <w:t>previstos por</w:t>
      </w:r>
      <w:r>
        <w:rPr>
          <w:rFonts w:cs="Arial"/>
        </w:rPr>
        <w:t xml:space="preserve"> Canasa </w:t>
      </w:r>
      <w:r w:rsidR="002831DF">
        <w:rPr>
          <w:rFonts w:cs="Arial"/>
        </w:rPr>
        <w:t>para 2015</w:t>
      </w:r>
      <w:r>
        <w:rPr>
          <w:rFonts w:cs="Arial"/>
        </w:rPr>
        <w:t xml:space="preserve">; una modificación de estos precios podría variar los resultados obtenidos. </w:t>
      </w:r>
    </w:p>
    <w:p w:rsidR="009C52A8" w:rsidRDefault="009C52A8" w:rsidP="00BD249A">
      <w:pPr>
        <w:pStyle w:val="texto"/>
        <w:sectPr w:rsidR="009C52A8" w:rsidSect="00D2472C">
          <w:headerReference w:type="even" r:id="rId21"/>
          <w:footerReference w:type="default" r:id="rId22"/>
          <w:type w:val="oddPage"/>
          <w:pgSz w:w="11907" w:h="16840" w:code="9"/>
          <w:pgMar w:top="2109" w:right="1559" w:bottom="1644" w:left="1559" w:header="369" w:footer="136" w:gutter="0"/>
          <w:pgNumType w:start="3"/>
          <w:cols w:space="720"/>
          <w:docGrid w:linePitch="360"/>
        </w:sectPr>
      </w:pPr>
      <w:r>
        <w:t>En la página siguiente mostramos un resumen de los cálculos realizados por esta Cámara y su comparación con los reflejados en el informe del área técnica.</w:t>
      </w:r>
    </w:p>
    <w:tbl>
      <w:tblPr>
        <w:tblpPr w:leftFromText="141" w:rightFromText="141" w:vertAnchor="page" w:horzAnchor="margin" w:tblpX="-781" w:tblpY="2146"/>
        <w:tblW w:w="15379" w:type="dxa"/>
        <w:tblCellMar>
          <w:left w:w="70" w:type="dxa"/>
          <w:right w:w="70" w:type="dxa"/>
        </w:tblCellMar>
        <w:tblLook w:val="04A0" w:firstRow="1" w:lastRow="0" w:firstColumn="1" w:lastColumn="0" w:noHBand="0" w:noVBand="1"/>
      </w:tblPr>
      <w:tblGrid>
        <w:gridCol w:w="4032"/>
        <w:gridCol w:w="1786"/>
        <w:gridCol w:w="1651"/>
        <w:gridCol w:w="1881"/>
        <w:gridCol w:w="1651"/>
        <w:gridCol w:w="1881"/>
        <w:gridCol w:w="2497"/>
      </w:tblGrid>
      <w:tr w:rsidR="00E171FA" w:rsidRPr="00442F3B" w:rsidTr="001A61A2">
        <w:trPr>
          <w:cantSplit/>
          <w:trHeight w:val="198"/>
        </w:trPr>
        <w:tc>
          <w:tcPr>
            <w:tcW w:w="4032" w:type="dxa"/>
            <w:vMerge w:val="restart"/>
            <w:tcBorders>
              <w:top w:val="single" w:sz="4" w:space="0" w:color="auto"/>
              <w:bottom w:val="single" w:sz="4" w:space="0" w:color="auto"/>
            </w:tcBorders>
            <w:shd w:val="clear" w:color="auto" w:fill="FABF8F" w:themeFill="accent6" w:themeFillTint="99"/>
            <w:noWrap/>
            <w:vAlign w:val="center"/>
          </w:tcPr>
          <w:p w:rsidR="00E171FA" w:rsidRPr="00442F3B" w:rsidRDefault="00E171FA" w:rsidP="001A61A2">
            <w:pPr>
              <w:spacing w:after="0"/>
              <w:ind w:right="-84" w:firstLine="0"/>
              <w:contextualSpacing/>
              <w:jc w:val="left"/>
              <w:rPr>
                <w:rFonts w:ascii="Arial" w:hAnsi="Arial" w:cs="Arial"/>
                <w:bCs/>
                <w:color w:val="000000"/>
                <w:sz w:val="18"/>
                <w:szCs w:val="18"/>
                <w:lang w:val="es-ES" w:eastAsia="es-ES"/>
              </w:rPr>
            </w:pPr>
            <w:r w:rsidRPr="00442F3B">
              <w:rPr>
                <w:rFonts w:ascii="Arial" w:hAnsi="Arial" w:cs="Arial"/>
                <w:bCs/>
                <w:color w:val="000000"/>
                <w:sz w:val="18"/>
                <w:szCs w:val="18"/>
                <w:lang w:val="es-ES" w:eastAsia="es-ES"/>
              </w:rPr>
              <w:lastRenderedPageBreak/>
              <w:t>Fuente abastecimiento</w:t>
            </w:r>
          </w:p>
        </w:tc>
        <w:tc>
          <w:tcPr>
            <w:tcW w:w="3437" w:type="dxa"/>
            <w:gridSpan w:val="2"/>
            <w:tcBorders>
              <w:top w:val="single" w:sz="4" w:space="0" w:color="auto"/>
              <w:bottom w:val="single" w:sz="2" w:space="0" w:color="auto"/>
            </w:tcBorders>
            <w:shd w:val="clear" w:color="auto" w:fill="FABF8F" w:themeFill="accent6" w:themeFillTint="99"/>
            <w:noWrap/>
            <w:vAlign w:val="center"/>
          </w:tcPr>
          <w:p w:rsidR="00E171FA" w:rsidRPr="00442F3B" w:rsidRDefault="00E171FA" w:rsidP="001A61A2">
            <w:pPr>
              <w:spacing w:after="0"/>
              <w:ind w:firstLine="0"/>
              <w:contextualSpacing/>
              <w:jc w:val="center"/>
              <w:rPr>
                <w:rFonts w:ascii="Arial" w:hAnsi="Arial" w:cs="Arial"/>
                <w:color w:val="000000"/>
                <w:sz w:val="18"/>
                <w:szCs w:val="18"/>
                <w:lang w:val="es-ES" w:eastAsia="es-ES"/>
              </w:rPr>
            </w:pPr>
            <w:r w:rsidRPr="00442F3B">
              <w:rPr>
                <w:rFonts w:ascii="Arial" w:hAnsi="Arial" w:cs="Arial"/>
                <w:color w:val="000000"/>
                <w:sz w:val="18"/>
                <w:szCs w:val="18"/>
                <w:lang w:val="es-ES" w:eastAsia="es-ES"/>
              </w:rPr>
              <w:t>Alternativa 1:</w:t>
            </w:r>
          </w:p>
          <w:p w:rsidR="00E171FA" w:rsidRPr="00442F3B" w:rsidRDefault="00E171FA" w:rsidP="001A61A2">
            <w:pPr>
              <w:spacing w:after="0"/>
              <w:ind w:firstLine="0"/>
              <w:contextualSpacing/>
              <w:jc w:val="center"/>
              <w:rPr>
                <w:rFonts w:ascii="Arial" w:hAnsi="Arial" w:cs="Arial"/>
                <w:color w:val="000000"/>
                <w:sz w:val="18"/>
                <w:szCs w:val="18"/>
                <w:lang w:val="es-ES" w:eastAsia="es-ES"/>
              </w:rPr>
            </w:pPr>
            <w:r w:rsidRPr="00442F3B">
              <w:rPr>
                <w:rFonts w:ascii="Arial" w:hAnsi="Arial" w:cs="Arial"/>
                <w:color w:val="000000"/>
                <w:sz w:val="18"/>
                <w:szCs w:val="18"/>
                <w:lang w:val="es-ES" w:eastAsia="es-ES"/>
              </w:rPr>
              <w:t>Embalse Mairaga + reserva La Pedrera</w:t>
            </w:r>
          </w:p>
        </w:tc>
        <w:tc>
          <w:tcPr>
            <w:tcW w:w="3532" w:type="dxa"/>
            <w:gridSpan w:val="2"/>
            <w:tcBorders>
              <w:top w:val="single" w:sz="4" w:space="0" w:color="auto"/>
              <w:bottom w:val="single" w:sz="2" w:space="0" w:color="auto"/>
            </w:tcBorders>
            <w:shd w:val="clear" w:color="auto" w:fill="FABF8F" w:themeFill="accent6" w:themeFillTint="99"/>
            <w:noWrap/>
            <w:vAlign w:val="center"/>
          </w:tcPr>
          <w:p w:rsidR="00E171FA" w:rsidRPr="00442F3B" w:rsidRDefault="00E171FA" w:rsidP="001A61A2">
            <w:pPr>
              <w:spacing w:after="0"/>
              <w:ind w:firstLine="0"/>
              <w:contextualSpacing/>
              <w:jc w:val="center"/>
              <w:rPr>
                <w:rFonts w:ascii="Arial" w:hAnsi="Arial" w:cs="Arial"/>
                <w:color w:val="000000"/>
                <w:sz w:val="18"/>
                <w:szCs w:val="18"/>
                <w:lang w:val="es-ES" w:eastAsia="es-ES"/>
              </w:rPr>
            </w:pPr>
            <w:r w:rsidRPr="00442F3B">
              <w:rPr>
                <w:rFonts w:ascii="Arial" w:hAnsi="Arial" w:cs="Arial"/>
                <w:color w:val="000000"/>
                <w:sz w:val="18"/>
                <w:szCs w:val="18"/>
                <w:lang w:val="es-ES" w:eastAsia="es-ES"/>
              </w:rPr>
              <w:t>Alternativa 2:</w:t>
            </w:r>
          </w:p>
          <w:p w:rsidR="00E171FA" w:rsidRPr="00442F3B" w:rsidRDefault="00E171FA" w:rsidP="001A61A2">
            <w:pPr>
              <w:spacing w:after="0"/>
              <w:ind w:firstLine="0"/>
              <w:contextualSpacing/>
              <w:jc w:val="center"/>
              <w:rPr>
                <w:rFonts w:ascii="Arial" w:hAnsi="Arial" w:cs="Arial"/>
                <w:color w:val="000000"/>
                <w:sz w:val="18"/>
                <w:szCs w:val="18"/>
                <w:lang w:val="es-ES" w:eastAsia="es-ES"/>
              </w:rPr>
            </w:pPr>
            <w:r w:rsidRPr="00442F3B">
              <w:rPr>
                <w:rFonts w:ascii="Arial" w:hAnsi="Arial" w:cs="Arial"/>
                <w:color w:val="000000"/>
                <w:sz w:val="18"/>
                <w:szCs w:val="18"/>
                <w:lang w:val="es-ES" w:eastAsia="es-ES"/>
              </w:rPr>
              <w:t>La Pedrera sin embalse Mairaga</w:t>
            </w:r>
          </w:p>
        </w:tc>
        <w:tc>
          <w:tcPr>
            <w:tcW w:w="4378" w:type="dxa"/>
            <w:gridSpan w:val="2"/>
            <w:tcBorders>
              <w:top w:val="single" w:sz="4" w:space="0" w:color="auto"/>
              <w:bottom w:val="single" w:sz="2" w:space="0" w:color="auto"/>
            </w:tcBorders>
            <w:shd w:val="clear" w:color="auto" w:fill="FABF8F" w:themeFill="accent6" w:themeFillTint="99"/>
            <w:noWrap/>
            <w:vAlign w:val="center"/>
          </w:tcPr>
          <w:p w:rsidR="00E171FA" w:rsidRPr="00442F3B" w:rsidRDefault="00E171FA" w:rsidP="001A61A2">
            <w:pPr>
              <w:spacing w:after="0"/>
              <w:ind w:firstLine="0"/>
              <w:contextualSpacing/>
              <w:jc w:val="center"/>
              <w:rPr>
                <w:rFonts w:ascii="Arial" w:hAnsi="Arial" w:cs="Arial"/>
                <w:color w:val="000000"/>
                <w:sz w:val="18"/>
                <w:szCs w:val="18"/>
                <w:lang w:val="es-ES" w:eastAsia="es-ES"/>
              </w:rPr>
            </w:pPr>
            <w:r w:rsidRPr="00442F3B">
              <w:rPr>
                <w:rFonts w:ascii="Arial" w:hAnsi="Arial" w:cs="Arial"/>
                <w:color w:val="000000"/>
                <w:sz w:val="18"/>
                <w:szCs w:val="18"/>
                <w:lang w:val="es-ES" w:eastAsia="es-ES"/>
              </w:rPr>
              <w:t>Alternativa 3:</w:t>
            </w:r>
          </w:p>
          <w:p w:rsidR="00E171FA" w:rsidRPr="00442F3B" w:rsidRDefault="00E171FA" w:rsidP="001A61A2">
            <w:pPr>
              <w:spacing w:after="0"/>
              <w:ind w:firstLine="0"/>
              <w:contextualSpacing/>
              <w:jc w:val="center"/>
              <w:rPr>
                <w:rFonts w:ascii="Arial" w:hAnsi="Arial" w:cs="Arial"/>
                <w:color w:val="000000"/>
                <w:sz w:val="18"/>
                <w:szCs w:val="18"/>
                <w:lang w:val="es-ES" w:eastAsia="es-ES"/>
              </w:rPr>
            </w:pPr>
            <w:r w:rsidRPr="00442F3B">
              <w:rPr>
                <w:rFonts w:ascii="Arial" w:hAnsi="Arial" w:cs="Arial"/>
                <w:color w:val="000000"/>
                <w:sz w:val="18"/>
                <w:szCs w:val="18"/>
                <w:lang w:val="es-ES" w:eastAsia="es-ES"/>
              </w:rPr>
              <w:t>Embalse Mairaga (40%) + La Pedrera (60%)</w:t>
            </w:r>
          </w:p>
        </w:tc>
      </w:tr>
      <w:tr w:rsidR="00E171FA" w:rsidRPr="00442F3B" w:rsidTr="001A61A2">
        <w:trPr>
          <w:cantSplit/>
          <w:trHeight w:val="198"/>
        </w:trPr>
        <w:tc>
          <w:tcPr>
            <w:tcW w:w="4032" w:type="dxa"/>
            <w:vMerge/>
            <w:tcBorders>
              <w:top w:val="single" w:sz="4" w:space="0" w:color="auto"/>
              <w:bottom w:val="single" w:sz="4" w:space="0" w:color="auto"/>
            </w:tcBorders>
            <w:shd w:val="clear" w:color="auto" w:fill="FABF8F" w:themeFill="accent6" w:themeFillTint="99"/>
            <w:noWrap/>
            <w:vAlign w:val="center"/>
          </w:tcPr>
          <w:p w:rsidR="00E171FA" w:rsidRPr="00442F3B" w:rsidRDefault="00E171FA" w:rsidP="001A61A2">
            <w:pPr>
              <w:spacing w:after="0"/>
              <w:ind w:right="-84" w:firstLine="0"/>
              <w:contextualSpacing/>
              <w:jc w:val="left"/>
              <w:rPr>
                <w:rFonts w:ascii="Arial" w:hAnsi="Arial" w:cs="Arial"/>
                <w:b/>
                <w:bCs/>
                <w:color w:val="000000"/>
                <w:sz w:val="18"/>
                <w:szCs w:val="18"/>
                <w:lang w:val="es-ES" w:eastAsia="es-ES"/>
              </w:rPr>
            </w:pPr>
          </w:p>
        </w:tc>
        <w:tc>
          <w:tcPr>
            <w:tcW w:w="1786"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Informe área técnica</w:t>
            </w:r>
          </w:p>
        </w:tc>
        <w:tc>
          <w:tcPr>
            <w:tcW w:w="165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Cámara Comptos</w:t>
            </w:r>
          </w:p>
        </w:tc>
        <w:tc>
          <w:tcPr>
            <w:tcW w:w="188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Informe área técnica</w:t>
            </w:r>
          </w:p>
        </w:tc>
        <w:tc>
          <w:tcPr>
            <w:tcW w:w="165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Cámara Comptos</w:t>
            </w:r>
          </w:p>
        </w:tc>
        <w:tc>
          <w:tcPr>
            <w:tcW w:w="188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Informe área técnica</w:t>
            </w:r>
          </w:p>
        </w:tc>
        <w:tc>
          <w:tcPr>
            <w:tcW w:w="2497"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Cámara Comptos</w:t>
            </w:r>
          </w:p>
        </w:tc>
      </w:tr>
      <w:tr w:rsidR="00E171FA" w:rsidRPr="00442F3B" w:rsidTr="001A61A2">
        <w:trPr>
          <w:cantSplit/>
          <w:trHeight w:val="198"/>
        </w:trPr>
        <w:tc>
          <w:tcPr>
            <w:tcW w:w="4032" w:type="dxa"/>
            <w:tcBorders>
              <w:top w:val="single" w:sz="4" w:space="0" w:color="auto"/>
            </w:tcBorders>
            <w:shd w:val="clear" w:color="auto" w:fill="auto"/>
            <w:noWrap/>
            <w:vAlign w:val="center"/>
          </w:tcPr>
          <w:p w:rsidR="00E171FA" w:rsidRPr="00442F3B" w:rsidRDefault="00E171FA" w:rsidP="001A61A2">
            <w:pPr>
              <w:spacing w:after="0"/>
              <w:ind w:right="-84" w:firstLine="0"/>
              <w:contextualSpacing/>
              <w:jc w:val="left"/>
              <w:rPr>
                <w:rFonts w:ascii="Arial" w:hAnsi="Arial" w:cs="Arial"/>
                <w:bCs/>
                <w:color w:val="000000"/>
                <w:lang w:val="es-ES" w:eastAsia="es-ES"/>
              </w:rPr>
            </w:pPr>
            <w:r w:rsidRPr="00442F3B">
              <w:rPr>
                <w:rFonts w:ascii="Arial" w:hAnsi="Arial" w:cs="Arial"/>
                <w:bCs/>
                <w:color w:val="000000"/>
                <w:lang w:val="es-ES" w:eastAsia="es-ES"/>
              </w:rPr>
              <w:t>ETAP de Olóriz</w:t>
            </w:r>
          </w:p>
        </w:tc>
        <w:tc>
          <w:tcPr>
            <w:tcW w:w="1786" w:type="dxa"/>
            <w:tcBorders>
              <w:top w:val="single" w:sz="4" w:space="0" w:color="auto"/>
            </w:tcBorders>
            <w:shd w:val="clear" w:color="auto" w:fill="auto"/>
            <w:noWrap/>
            <w:vAlign w:val="center"/>
          </w:tcPr>
          <w:p w:rsidR="00E171FA" w:rsidRPr="00442F3B" w:rsidRDefault="00E171FA" w:rsidP="001A61A2">
            <w:pPr>
              <w:spacing w:after="0"/>
              <w:ind w:firstLine="0"/>
              <w:contextualSpacing/>
              <w:jc w:val="right"/>
              <w:rPr>
                <w:rFonts w:ascii="Arial" w:hAnsi="Arial" w:cs="Arial"/>
                <w:color w:val="000000"/>
                <w:lang w:val="es-ES" w:eastAsia="es-ES"/>
              </w:rPr>
            </w:pPr>
          </w:p>
        </w:tc>
        <w:tc>
          <w:tcPr>
            <w:tcW w:w="1651" w:type="dxa"/>
            <w:tcBorders>
              <w:top w:val="single" w:sz="4" w:space="0" w:color="auto"/>
            </w:tcBorders>
            <w:shd w:val="clear" w:color="auto" w:fill="auto"/>
            <w:noWrap/>
            <w:vAlign w:val="center"/>
          </w:tcPr>
          <w:p w:rsidR="00E171FA" w:rsidRPr="00442F3B" w:rsidRDefault="00E171FA" w:rsidP="001A61A2">
            <w:pPr>
              <w:spacing w:after="0"/>
              <w:ind w:firstLine="0"/>
              <w:contextualSpacing/>
              <w:jc w:val="right"/>
              <w:rPr>
                <w:rFonts w:ascii="Arial" w:hAnsi="Arial" w:cs="Arial"/>
                <w:color w:val="000000"/>
                <w:lang w:val="es-ES" w:eastAsia="es-ES"/>
              </w:rPr>
            </w:pPr>
          </w:p>
        </w:tc>
        <w:tc>
          <w:tcPr>
            <w:tcW w:w="1881" w:type="dxa"/>
            <w:tcBorders>
              <w:top w:val="single" w:sz="4" w:space="0" w:color="auto"/>
            </w:tcBorders>
            <w:shd w:val="clear" w:color="auto" w:fill="auto"/>
            <w:noWrap/>
            <w:vAlign w:val="center"/>
          </w:tcPr>
          <w:p w:rsidR="00E171FA" w:rsidRPr="00442F3B" w:rsidRDefault="00E171FA" w:rsidP="001A61A2">
            <w:pPr>
              <w:spacing w:after="0"/>
              <w:ind w:firstLine="0"/>
              <w:contextualSpacing/>
              <w:jc w:val="right"/>
              <w:rPr>
                <w:rFonts w:ascii="Arial" w:hAnsi="Arial" w:cs="Arial"/>
                <w:color w:val="000000"/>
                <w:lang w:val="es-ES" w:eastAsia="es-ES"/>
              </w:rPr>
            </w:pPr>
          </w:p>
        </w:tc>
        <w:tc>
          <w:tcPr>
            <w:tcW w:w="1651" w:type="dxa"/>
            <w:tcBorders>
              <w:top w:val="single" w:sz="4" w:space="0" w:color="auto"/>
            </w:tcBorders>
            <w:shd w:val="clear" w:color="auto" w:fill="auto"/>
            <w:noWrap/>
            <w:vAlign w:val="center"/>
          </w:tcPr>
          <w:p w:rsidR="00E171FA" w:rsidRPr="00442F3B" w:rsidRDefault="00E171FA" w:rsidP="001A61A2">
            <w:pPr>
              <w:spacing w:after="0"/>
              <w:ind w:firstLine="0"/>
              <w:contextualSpacing/>
              <w:jc w:val="right"/>
              <w:rPr>
                <w:rFonts w:ascii="Arial" w:hAnsi="Arial" w:cs="Arial"/>
                <w:lang w:val="es-ES" w:eastAsia="es-ES"/>
              </w:rPr>
            </w:pPr>
          </w:p>
        </w:tc>
        <w:tc>
          <w:tcPr>
            <w:tcW w:w="1881" w:type="dxa"/>
            <w:tcBorders>
              <w:top w:val="single" w:sz="4" w:space="0" w:color="auto"/>
            </w:tcBorders>
            <w:shd w:val="clear" w:color="auto" w:fill="auto"/>
            <w:noWrap/>
            <w:vAlign w:val="center"/>
          </w:tcPr>
          <w:p w:rsidR="00E171FA" w:rsidRPr="00442F3B" w:rsidRDefault="00E171FA" w:rsidP="001A61A2">
            <w:pPr>
              <w:spacing w:after="0"/>
              <w:ind w:firstLine="0"/>
              <w:contextualSpacing/>
              <w:jc w:val="right"/>
              <w:rPr>
                <w:rFonts w:ascii="Arial" w:hAnsi="Arial" w:cs="Arial"/>
                <w:color w:val="000000"/>
                <w:lang w:val="es-ES" w:eastAsia="es-ES"/>
              </w:rPr>
            </w:pPr>
          </w:p>
        </w:tc>
        <w:tc>
          <w:tcPr>
            <w:tcW w:w="2497" w:type="dxa"/>
            <w:tcBorders>
              <w:top w:val="single" w:sz="4" w:space="0" w:color="auto"/>
            </w:tcBorders>
            <w:shd w:val="clear" w:color="auto" w:fill="auto"/>
            <w:noWrap/>
            <w:vAlign w:val="center"/>
          </w:tcPr>
          <w:p w:rsidR="00E171FA" w:rsidRPr="00442F3B" w:rsidRDefault="00E171FA" w:rsidP="001A61A2">
            <w:pPr>
              <w:spacing w:after="0"/>
              <w:ind w:firstLine="0"/>
              <w:contextualSpacing/>
              <w:jc w:val="right"/>
              <w:rPr>
                <w:rFonts w:ascii="Arial" w:hAnsi="Arial" w:cs="Arial"/>
                <w:color w:val="000000"/>
                <w:lang w:val="es-ES" w:eastAsia="es-ES"/>
              </w:rPr>
            </w:pP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Total costes (€)</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408.954</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415.738</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113.827</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311.724</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389.781</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Total producción (</w:t>
            </w:r>
            <w:r w:rsidR="0052055D" w:rsidRPr="00A02272">
              <w:rPr>
                <w:rFonts w:ascii="Arial Narrow" w:hAnsi="Arial Narrow" w:cs="Arial"/>
                <w:sz w:val="18"/>
                <w:szCs w:val="18"/>
                <w:lang w:val="es-ES" w:eastAsia="es-ES"/>
              </w:rPr>
              <w:t>m</w:t>
            </w:r>
            <w:r w:rsidR="0052055D" w:rsidRPr="00A02272">
              <w:rPr>
                <w:rFonts w:ascii="Arial Narrow" w:hAnsi="Arial Narrow" w:cs="Arial"/>
                <w:sz w:val="18"/>
                <w:szCs w:val="18"/>
                <w:vertAlign w:val="superscript"/>
                <w:lang w:val="es-ES" w:eastAsia="es-ES"/>
              </w:rPr>
              <w:t>3</w:t>
            </w:r>
            <w:r w:rsidR="0052055D" w:rsidRPr="001B6644">
              <w:rPr>
                <w:rFonts w:ascii="Arial Narrow" w:hAnsi="Arial Narrow" w:cs="Arial"/>
                <w:sz w:val="18"/>
                <w:szCs w:val="18"/>
                <w:lang w:val="es-ES" w:eastAsia="es-ES"/>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1.406.000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1.406.000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562.400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562.400</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52055D">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Coste unitario por </w:t>
            </w:r>
            <w:r w:rsidR="0052055D" w:rsidRPr="00A02272">
              <w:rPr>
                <w:rFonts w:ascii="Arial Narrow" w:hAnsi="Arial Narrow" w:cs="Arial"/>
                <w:sz w:val="18"/>
                <w:szCs w:val="18"/>
                <w:lang w:val="es-ES" w:eastAsia="es-ES"/>
              </w:rPr>
              <w:t>m</w:t>
            </w:r>
            <w:r w:rsidR="0052055D" w:rsidRPr="00A02272">
              <w:rPr>
                <w:rFonts w:ascii="Arial Narrow" w:hAnsi="Arial Narrow" w:cs="Arial"/>
                <w:sz w:val="18"/>
                <w:szCs w:val="18"/>
                <w:vertAlign w:val="superscript"/>
                <w:lang w:val="es-ES" w:eastAsia="es-ES"/>
              </w:rPr>
              <w:t>3</w:t>
            </w:r>
            <w:r w:rsidRPr="00442F3B">
              <w:rPr>
                <w:rFonts w:ascii="Arial Narrow" w:hAnsi="Arial Narrow" w:cs="Arial"/>
                <w:lang w:val="es-ES" w:eastAsia="es-ES"/>
              </w:rPr>
              <w:t xml:space="preserve"> </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0,291</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0,296</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0,554</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0,693</w:t>
            </w:r>
          </w:p>
        </w:tc>
      </w:tr>
      <w:tr w:rsidR="00E171FA" w:rsidRPr="00442F3B" w:rsidTr="001A61A2">
        <w:trPr>
          <w:cantSplit/>
          <w:trHeight w:val="198"/>
        </w:trPr>
        <w:tc>
          <w:tcPr>
            <w:tcW w:w="4032" w:type="dxa"/>
            <w:tcBorders>
              <w:top w:val="single" w:sz="4" w:space="0" w:color="auto"/>
            </w:tcBorders>
            <w:shd w:val="clear" w:color="auto" w:fill="auto"/>
            <w:noWrap/>
            <w:vAlign w:val="center"/>
            <w:hideMark/>
          </w:tcPr>
          <w:p w:rsidR="00E171FA" w:rsidRPr="00442F3B" w:rsidRDefault="00E171FA" w:rsidP="001A61A2">
            <w:pPr>
              <w:spacing w:after="0"/>
              <w:ind w:right="-84" w:firstLine="0"/>
              <w:contextualSpacing/>
              <w:jc w:val="left"/>
              <w:rPr>
                <w:rFonts w:ascii="Arial" w:hAnsi="Arial" w:cs="Arial"/>
                <w:bCs/>
                <w:lang w:val="es-ES" w:eastAsia="es-ES"/>
              </w:rPr>
            </w:pPr>
            <w:r w:rsidRPr="00442F3B">
              <w:rPr>
                <w:rFonts w:ascii="Arial" w:hAnsi="Arial" w:cs="Arial"/>
                <w:bCs/>
                <w:lang w:val="es-ES" w:eastAsia="es-ES"/>
              </w:rPr>
              <w:t>Manantiales del Carrascal</w:t>
            </w:r>
          </w:p>
        </w:tc>
        <w:tc>
          <w:tcPr>
            <w:tcW w:w="1786"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lang w:val="es-ES" w:eastAsia="es-ES"/>
              </w:rPr>
            </w:pPr>
            <w:r w:rsidRPr="00442F3B">
              <w:rPr>
                <w:rFonts w:ascii="Arial" w:hAnsi="Arial" w:cs="Arial"/>
                <w:lang w:val="es-ES" w:eastAsia="es-ES"/>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lang w:val="es-ES" w:eastAsia="es-ES"/>
              </w:rPr>
            </w:pPr>
            <w:r w:rsidRPr="00442F3B">
              <w:rPr>
                <w:rFonts w:ascii="Arial" w:hAnsi="Arial" w:cs="Arial"/>
                <w:lang w:val="es-ES" w:eastAsia="es-ES"/>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2497"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r w:rsidRPr="00442F3B">
              <w:rPr>
                <w:rFonts w:ascii="Arial" w:hAnsi="Arial" w:cs="Arial"/>
                <w:color w:val="000000"/>
                <w:lang w:val="es-ES" w:eastAsia="es-ES"/>
              </w:rPr>
              <w:t> </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Total costes(€)l</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7.164</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12.182</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7.164</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12.182</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Total producción </w:t>
            </w:r>
            <w:r w:rsidR="0052055D" w:rsidRPr="00442F3B">
              <w:rPr>
                <w:rFonts w:ascii="Arial Narrow" w:hAnsi="Arial Narrow" w:cs="Arial"/>
                <w:lang w:val="es-ES" w:eastAsia="es-ES"/>
              </w:rPr>
              <w:t>(</w:t>
            </w:r>
            <w:r w:rsidR="0052055D" w:rsidRPr="00A02272">
              <w:rPr>
                <w:rFonts w:ascii="Arial Narrow" w:hAnsi="Arial Narrow" w:cs="Arial"/>
                <w:sz w:val="18"/>
                <w:szCs w:val="18"/>
                <w:lang w:val="es-ES" w:eastAsia="es-ES"/>
              </w:rPr>
              <w:t>m</w:t>
            </w:r>
            <w:r w:rsidR="0052055D" w:rsidRPr="00A02272">
              <w:rPr>
                <w:rFonts w:ascii="Arial Narrow" w:hAnsi="Arial Narrow" w:cs="Arial"/>
                <w:sz w:val="18"/>
                <w:szCs w:val="18"/>
                <w:vertAlign w:val="superscript"/>
                <w:lang w:val="es-ES" w:eastAsia="es-ES"/>
              </w:rPr>
              <w:t>3</w:t>
            </w:r>
            <w:r w:rsidR="0052055D" w:rsidRPr="001B6644">
              <w:rPr>
                <w:rFonts w:ascii="Arial Narrow" w:hAnsi="Arial Narrow" w:cs="Arial"/>
                <w:sz w:val="18"/>
                <w:szCs w:val="18"/>
                <w:lang w:val="es-ES" w:eastAsia="es-ES"/>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465.000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465.000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465.000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465.000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Coste unitario por </w:t>
            </w:r>
            <w:r w:rsidR="0052055D" w:rsidRPr="00A02272">
              <w:rPr>
                <w:rFonts w:ascii="Arial Narrow" w:hAnsi="Arial Narrow" w:cs="Arial"/>
                <w:sz w:val="18"/>
                <w:szCs w:val="18"/>
                <w:lang w:val="es-ES" w:eastAsia="es-ES"/>
              </w:rPr>
              <w:t xml:space="preserve"> m</w:t>
            </w:r>
            <w:r w:rsidR="0052055D" w:rsidRPr="00A02272">
              <w:rPr>
                <w:rFonts w:ascii="Arial Narrow" w:hAnsi="Arial Narrow" w:cs="Arial"/>
                <w:sz w:val="18"/>
                <w:szCs w:val="18"/>
                <w:vertAlign w:val="superscript"/>
                <w:lang w:val="es-ES" w:eastAsia="es-ES"/>
              </w:rPr>
              <w:t>3</w:t>
            </w:r>
            <w:r w:rsidRPr="00442F3B">
              <w:rPr>
                <w:rFonts w:ascii="Arial Narrow" w:hAnsi="Arial Narrow" w:cs="Arial"/>
                <w:lang w:val="es-ES" w:eastAsia="es-ES"/>
              </w:rPr>
              <w:t xml:space="preserve"> </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0,015</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0,026</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0,015</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0,026</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r>
      <w:tr w:rsidR="00E171FA" w:rsidRPr="00442F3B" w:rsidTr="001A61A2">
        <w:trPr>
          <w:cantSplit/>
          <w:trHeight w:val="198"/>
        </w:trPr>
        <w:tc>
          <w:tcPr>
            <w:tcW w:w="4032" w:type="dxa"/>
            <w:tcBorders>
              <w:top w:val="single" w:sz="4" w:space="0" w:color="auto"/>
            </w:tcBorders>
            <w:shd w:val="clear" w:color="auto" w:fill="auto"/>
            <w:noWrap/>
            <w:vAlign w:val="center"/>
            <w:hideMark/>
          </w:tcPr>
          <w:p w:rsidR="00E171FA" w:rsidRPr="00442F3B" w:rsidRDefault="00E171FA" w:rsidP="001A61A2">
            <w:pPr>
              <w:spacing w:after="0"/>
              <w:ind w:right="-84" w:firstLine="0"/>
              <w:contextualSpacing/>
              <w:jc w:val="left"/>
              <w:rPr>
                <w:rFonts w:ascii="Arial" w:hAnsi="Arial" w:cs="Arial"/>
                <w:bCs/>
                <w:lang w:val="es-ES" w:eastAsia="es-ES"/>
              </w:rPr>
            </w:pPr>
            <w:r w:rsidRPr="00442F3B">
              <w:rPr>
                <w:rFonts w:ascii="Arial" w:hAnsi="Arial" w:cs="Arial"/>
                <w:bCs/>
                <w:lang w:val="es-ES" w:eastAsia="es-ES"/>
              </w:rPr>
              <w:t>Bombeo del Escal</w:t>
            </w:r>
          </w:p>
        </w:tc>
        <w:tc>
          <w:tcPr>
            <w:tcW w:w="1786"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lang w:val="es-ES" w:eastAsia="es-ES"/>
              </w:rPr>
            </w:pPr>
            <w:r w:rsidRPr="00442F3B">
              <w:rPr>
                <w:rFonts w:ascii="Arial" w:hAnsi="Arial" w:cs="Arial"/>
                <w:lang w:val="es-ES" w:eastAsia="es-ES"/>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2497"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r w:rsidRPr="00442F3B">
              <w:rPr>
                <w:rFonts w:ascii="Arial" w:hAnsi="Arial" w:cs="Arial"/>
                <w:color w:val="000000"/>
                <w:lang w:val="es-ES" w:eastAsia="es-ES"/>
              </w:rPr>
              <w:t> </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Total costes (€)</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18.987</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18.987</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18.964</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18.987</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52055D">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Total producción </w:t>
            </w:r>
            <w:r w:rsidR="0052055D" w:rsidRPr="00442F3B">
              <w:rPr>
                <w:rFonts w:ascii="Arial Narrow" w:hAnsi="Arial Narrow" w:cs="Arial"/>
                <w:lang w:val="es-ES" w:eastAsia="es-ES"/>
              </w:rPr>
              <w:t>(</w:t>
            </w:r>
            <w:r w:rsidR="0052055D" w:rsidRPr="00A02272">
              <w:rPr>
                <w:rFonts w:ascii="Arial Narrow" w:hAnsi="Arial Narrow" w:cs="Arial"/>
                <w:sz w:val="18"/>
                <w:szCs w:val="18"/>
                <w:lang w:val="es-ES" w:eastAsia="es-ES"/>
              </w:rPr>
              <w:t>m</w:t>
            </w:r>
            <w:r w:rsidR="0052055D" w:rsidRPr="00A02272">
              <w:rPr>
                <w:rFonts w:ascii="Arial Narrow" w:hAnsi="Arial Narrow" w:cs="Arial"/>
                <w:sz w:val="18"/>
                <w:szCs w:val="18"/>
                <w:vertAlign w:val="superscript"/>
                <w:lang w:val="es-ES" w:eastAsia="es-ES"/>
              </w:rPr>
              <w:t>3</w:t>
            </w:r>
            <w:r w:rsidR="0052055D" w:rsidRPr="001B6644">
              <w:rPr>
                <w:rFonts w:ascii="Arial Narrow" w:hAnsi="Arial Narrow" w:cs="Arial"/>
                <w:sz w:val="18"/>
                <w:szCs w:val="18"/>
                <w:lang w:val="es-ES" w:eastAsia="es-ES"/>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88.000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88.000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88.000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88.000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Coste unitario por </w:t>
            </w:r>
            <w:r w:rsidR="0052055D" w:rsidRPr="00A02272">
              <w:rPr>
                <w:rFonts w:ascii="Arial Narrow" w:hAnsi="Arial Narrow" w:cs="Arial"/>
                <w:sz w:val="18"/>
                <w:szCs w:val="18"/>
                <w:lang w:val="es-ES" w:eastAsia="es-ES"/>
              </w:rPr>
              <w:t xml:space="preserve"> m</w:t>
            </w:r>
            <w:r w:rsidR="0052055D" w:rsidRPr="00A02272">
              <w:rPr>
                <w:rFonts w:ascii="Arial Narrow" w:hAnsi="Arial Narrow" w:cs="Arial"/>
                <w:sz w:val="18"/>
                <w:szCs w:val="18"/>
                <w:vertAlign w:val="superscript"/>
                <w:lang w:val="es-ES" w:eastAsia="es-ES"/>
              </w:rPr>
              <w:t>3</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0,216</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0,216</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0,215</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0,216</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r>
      <w:tr w:rsidR="00E171FA" w:rsidRPr="00442F3B" w:rsidTr="001A61A2">
        <w:trPr>
          <w:cantSplit/>
          <w:trHeight w:val="198"/>
        </w:trPr>
        <w:tc>
          <w:tcPr>
            <w:tcW w:w="4032" w:type="dxa"/>
            <w:tcBorders>
              <w:top w:val="single" w:sz="4" w:space="0" w:color="auto"/>
            </w:tcBorders>
            <w:shd w:val="clear" w:color="auto" w:fill="auto"/>
            <w:noWrap/>
            <w:vAlign w:val="center"/>
            <w:hideMark/>
          </w:tcPr>
          <w:p w:rsidR="00E171FA" w:rsidRPr="00442F3B" w:rsidRDefault="00E171FA" w:rsidP="001A61A2">
            <w:pPr>
              <w:spacing w:after="0"/>
              <w:ind w:right="-84" w:firstLine="0"/>
              <w:contextualSpacing/>
              <w:jc w:val="left"/>
              <w:rPr>
                <w:rFonts w:ascii="Arial" w:hAnsi="Arial" w:cs="Arial"/>
                <w:bCs/>
                <w:lang w:val="es-ES" w:eastAsia="es-ES"/>
              </w:rPr>
            </w:pPr>
            <w:r w:rsidRPr="00442F3B">
              <w:rPr>
                <w:rFonts w:ascii="Arial" w:hAnsi="Arial" w:cs="Arial"/>
                <w:bCs/>
                <w:lang w:val="es-ES" w:eastAsia="es-ES"/>
              </w:rPr>
              <w:t>ETAP La Pedrera</w:t>
            </w:r>
          </w:p>
        </w:tc>
        <w:tc>
          <w:tcPr>
            <w:tcW w:w="1786"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lang w:val="es-ES" w:eastAsia="es-ES"/>
              </w:rPr>
            </w:pPr>
            <w:r w:rsidRPr="00442F3B">
              <w:rPr>
                <w:rFonts w:ascii="Arial" w:hAnsi="Arial" w:cs="Arial"/>
                <w:lang w:val="es-ES" w:eastAsia="es-ES"/>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lang w:val="es-ES" w:eastAsia="es-ES"/>
              </w:rPr>
            </w:pPr>
            <w:r w:rsidRPr="00442F3B">
              <w:rPr>
                <w:rFonts w:ascii="Arial" w:hAnsi="Arial" w:cs="Arial"/>
                <w:lang w:val="es-ES" w:eastAsia="es-ES"/>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2497"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r w:rsidRPr="00442F3B">
              <w:rPr>
                <w:rFonts w:ascii="Arial" w:hAnsi="Arial" w:cs="Arial"/>
                <w:color w:val="000000"/>
                <w:lang w:val="es-ES" w:eastAsia="es-ES"/>
              </w:rPr>
              <w:t> </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Total costes (€)</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137.169</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137.169</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481.165</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348.248</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347.362</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347.362</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Total producción </w:t>
            </w:r>
            <w:r w:rsidR="0052055D" w:rsidRPr="00442F3B">
              <w:rPr>
                <w:rFonts w:ascii="Arial Narrow" w:hAnsi="Arial Narrow" w:cs="Arial"/>
                <w:lang w:val="es-ES" w:eastAsia="es-ES"/>
              </w:rPr>
              <w:t>(</w:t>
            </w:r>
            <w:r w:rsidR="0052055D" w:rsidRPr="00A02272">
              <w:rPr>
                <w:rFonts w:ascii="Arial Narrow" w:hAnsi="Arial Narrow" w:cs="Arial"/>
                <w:sz w:val="18"/>
                <w:szCs w:val="18"/>
                <w:lang w:val="es-ES" w:eastAsia="es-ES"/>
              </w:rPr>
              <w:t>m</w:t>
            </w:r>
            <w:r w:rsidR="0052055D" w:rsidRPr="00A02272">
              <w:rPr>
                <w:rFonts w:ascii="Arial Narrow" w:hAnsi="Arial Narrow" w:cs="Arial"/>
                <w:sz w:val="18"/>
                <w:szCs w:val="18"/>
                <w:vertAlign w:val="superscript"/>
                <w:lang w:val="es-ES" w:eastAsia="es-ES"/>
              </w:rPr>
              <w:t>3</w:t>
            </w:r>
            <w:r w:rsidR="0052055D" w:rsidRPr="001B6644">
              <w:rPr>
                <w:rFonts w:ascii="Arial Narrow" w:hAnsi="Arial Narrow" w:cs="Arial"/>
                <w:sz w:val="18"/>
                <w:szCs w:val="18"/>
                <w:lang w:val="es-ES" w:eastAsia="es-ES"/>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1.406.000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1.406.000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1.396.600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1.396.600</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Coste unitario por </w:t>
            </w:r>
            <w:r w:rsidR="0052055D" w:rsidRPr="00A02272">
              <w:rPr>
                <w:rFonts w:ascii="Arial Narrow" w:hAnsi="Arial Narrow" w:cs="Arial"/>
                <w:sz w:val="18"/>
                <w:szCs w:val="18"/>
                <w:lang w:val="es-ES" w:eastAsia="es-ES"/>
              </w:rPr>
              <w:t xml:space="preserve"> m</w:t>
            </w:r>
            <w:r w:rsidR="0052055D" w:rsidRPr="00A02272">
              <w:rPr>
                <w:rFonts w:ascii="Arial Narrow" w:hAnsi="Arial Narrow" w:cs="Arial"/>
                <w:sz w:val="18"/>
                <w:szCs w:val="18"/>
                <w:vertAlign w:val="superscript"/>
                <w:lang w:val="es-ES" w:eastAsia="es-ES"/>
              </w:rPr>
              <w:t>3</w:t>
            </w:r>
            <w:r w:rsidRPr="00442F3B">
              <w:rPr>
                <w:rFonts w:ascii="Arial Narrow" w:hAnsi="Arial Narrow" w:cs="Arial"/>
                <w:lang w:val="es-ES" w:eastAsia="es-ES"/>
              </w:rPr>
              <w:t xml:space="preserve"> </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0,3422</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0,248</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0,249</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0,249</w:t>
            </w:r>
          </w:p>
        </w:tc>
      </w:tr>
      <w:tr w:rsidR="00E171FA" w:rsidRPr="00442F3B" w:rsidTr="001A61A2">
        <w:trPr>
          <w:cantSplit/>
          <w:trHeight w:val="198"/>
        </w:trPr>
        <w:tc>
          <w:tcPr>
            <w:tcW w:w="4032" w:type="dxa"/>
            <w:tcBorders>
              <w:top w:val="single" w:sz="4" w:space="0" w:color="auto"/>
            </w:tcBorders>
            <w:shd w:val="clear" w:color="auto" w:fill="auto"/>
            <w:noWrap/>
            <w:vAlign w:val="center"/>
            <w:hideMark/>
          </w:tcPr>
          <w:p w:rsidR="00E171FA" w:rsidRPr="00442F3B" w:rsidRDefault="00E171FA" w:rsidP="001A61A2">
            <w:pPr>
              <w:spacing w:after="0"/>
              <w:ind w:right="-84" w:firstLine="0"/>
              <w:contextualSpacing/>
              <w:jc w:val="left"/>
              <w:rPr>
                <w:rFonts w:ascii="Arial" w:hAnsi="Arial" w:cs="Arial"/>
                <w:bCs/>
                <w:lang w:val="es-ES" w:eastAsia="es-ES"/>
              </w:rPr>
            </w:pPr>
            <w:r w:rsidRPr="00442F3B">
              <w:rPr>
                <w:rFonts w:ascii="Arial" w:hAnsi="Arial" w:cs="Arial"/>
                <w:bCs/>
                <w:lang w:val="es-ES" w:eastAsia="es-ES"/>
              </w:rPr>
              <w:t>Bombeo Canal de Navarra</w:t>
            </w:r>
          </w:p>
        </w:tc>
        <w:tc>
          <w:tcPr>
            <w:tcW w:w="1786"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lang w:val="es-ES" w:eastAsia="es-ES"/>
              </w:rPr>
            </w:pPr>
            <w:r w:rsidRPr="00442F3B">
              <w:rPr>
                <w:rFonts w:ascii="Arial" w:hAnsi="Arial" w:cs="Arial"/>
                <w:lang w:val="es-ES" w:eastAsia="es-ES"/>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lang w:val="es-ES" w:eastAsia="es-ES"/>
              </w:rPr>
            </w:pPr>
            <w:r w:rsidRPr="00442F3B">
              <w:rPr>
                <w:rFonts w:ascii="Arial" w:hAnsi="Arial" w:cs="Arial"/>
                <w:lang w:val="es-ES" w:eastAsia="es-ES"/>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2497"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r w:rsidRPr="00442F3B">
              <w:rPr>
                <w:rFonts w:ascii="Arial" w:hAnsi="Arial" w:cs="Arial"/>
                <w:color w:val="000000"/>
                <w:lang w:val="es-ES" w:eastAsia="es-ES"/>
              </w:rPr>
              <w:t> </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Total costes (€)</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1.635</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1.635</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6.215</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6.215</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4.983</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4.983</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Total producción </w:t>
            </w:r>
            <w:r w:rsidR="0052055D" w:rsidRPr="00442F3B">
              <w:rPr>
                <w:rFonts w:ascii="Arial Narrow" w:hAnsi="Arial Narrow" w:cs="Arial"/>
                <w:lang w:val="es-ES" w:eastAsia="es-ES"/>
              </w:rPr>
              <w:t>(</w:t>
            </w:r>
            <w:r w:rsidR="0052055D" w:rsidRPr="00A02272">
              <w:rPr>
                <w:rFonts w:ascii="Arial Narrow" w:hAnsi="Arial Narrow" w:cs="Arial"/>
                <w:sz w:val="18"/>
                <w:szCs w:val="18"/>
                <w:lang w:val="es-ES" w:eastAsia="es-ES"/>
              </w:rPr>
              <w:t>m</w:t>
            </w:r>
            <w:r w:rsidR="0052055D" w:rsidRPr="00A02272">
              <w:rPr>
                <w:rFonts w:ascii="Arial Narrow" w:hAnsi="Arial Narrow" w:cs="Arial"/>
                <w:sz w:val="18"/>
                <w:szCs w:val="18"/>
                <w:vertAlign w:val="superscript"/>
                <w:lang w:val="es-ES" w:eastAsia="es-ES"/>
              </w:rPr>
              <w:t>3</w:t>
            </w:r>
            <w:r w:rsidR="0052055D" w:rsidRPr="001B6644">
              <w:rPr>
                <w:rFonts w:ascii="Arial Narrow" w:hAnsi="Arial Narrow" w:cs="Arial"/>
                <w:sz w:val="18"/>
                <w:szCs w:val="18"/>
                <w:lang w:val="es-ES" w:eastAsia="es-ES"/>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432.346</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432.346</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259.407</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259.407</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Coste unitario por </w:t>
            </w:r>
            <w:r w:rsidR="008D484A" w:rsidRPr="00A02272">
              <w:rPr>
                <w:rFonts w:ascii="Arial Narrow" w:hAnsi="Arial Narrow" w:cs="Arial"/>
                <w:sz w:val="18"/>
                <w:szCs w:val="18"/>
                <w:lang w:val="es-ES" w:eastAsia="es-ES"/>
              </w:rPr>
              <w:t xml:space="preserve"> m</w:t>
            </w:r>
            <w:r w:rsidR="008D484A" w:rsidRPr="00A02272">
              <w:rPr>
                <w:rFonts w:ascii="Arial Narrow" w:hAnsi="Arial Narrow" w:cs="Arial"/>
                <w:sz w:val="18"/>
                <w:szCs w:val="18"/>
                <w:vertAlign w:val="superscript"/>
                <w:lang w:val="es-ES" w:eastAsia="es-ES"/>
              </w:rPr>
              <w:t>3</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0,01</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0,01</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0,019</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0,019</w:t>
            </w:r>
          </w:p>
        </w:tc>
      </w:tr>
      <w:tr w:rsidR="00E171FA" w:rsidRPr="00442F3B" w:rsidTr="001A61A2">
        <w:trPr>
          <w:cantSplit/>
          <w:trHeight w:val="198"/>
        </w:trPr>
        <w:tc>
          <w:tcPr>
            <w:tcW w:w="4032" w:type="dxa"/>
            <w:tcBorders>
              <w:top w:val="single" w:sz="4" w:space="0" w:color="auto"/>
            </w:tcBorders>
            <w:shd w:val="clear" w:color="auto" w:fill="auto"/>
            <w:noWrap/>
            <w:vAlign w:val="center"/>
            <w:hideMark/>
          </w:tcPr>
          <w:p w:rsidR="00E171FA" w:rsidRPr="00442F3B" w:rsidRDefault="00E171FA" w:rsidP="001A61A2">
            <w:pPr>
              <w:spacing w:after="0"/>
              <w:ind w:right="-84" w:firstLine="0"/>
              <w:contextualSpacing/>
              <w:jc w:val="left"/>
              <w:rPr>
                <w:rFonts w:ascii="Arial" w:hAnsi="Arial" w:cs="Arial"/>
                <w:bCs/>
                <w:lang w:val="es-ES" w:eastAsia="es-ES"/>
              </w:rPr>
            </w:pPr>
            <w:r w:rsidRPr="00442F3B">
              <w:rPr>
                <w:rFonts w:ascii="Arial" w:hAnsi="Arial" w:cs="Arial"/>
                <w:bCs/>
                <w:lang w:val="es-ES" w:eastAsia="es-ES"/>
              </w:rPr>
              <w:t>Bombeo La Pedrera-Depósito Olóriz</w:t>
            </w:r>
          </w:p>
        </w:tc>
        <w:tc>
          <w:tcPr>
            <w:tcW w:w="1786"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lang w:val="es-ES" w:eastAsia="es-ES"/>
              </w:rPr>
            </w:pPr>
            <w:r w:rsidRPr="00442F3B">
              <w:rPr>
                <w:rFonts w:ascii="Arial" w:hAnsi="Arial" w:cs="Arial"/>
                <w:lang w:val="es-ES" w:eastAsia="es-ES"/>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lang w:val="es-ES" w:eastAsia="es-ES"/>
              </w:rPr>
            </w:pPr>
            <w:r w:rsidRPr="00442F3B">
              <w:rPr>
                <w:rFonts w:ascii="Arial" w:hAnsi="Arial" w:cs="Arial"/>
                <w:lang w:val="es-ES" w:eastAsia="es-ES"/>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2497"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r w:rsidRPr="00442F3B">
              <w:rPr>
                <w:rFonts w:ascii="Arial" w:hAnsi="Arial" w:cs="Arial"/>
                <w:color w:val="000000"/>
                <w:lang w:val="es-ES" w:eastAsia="es-ES"/>
              </w:rPr>
              <w:t> </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Total costes (€) </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26.001</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26.001</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Total producción </w:t>
            </w:r>
            <w:r w:rsidR="0052055D" w:rsidRPr="00442F3B">
              <w:rPr>
                <w:rFonts w:ascii="Arial Narrow" w:hAnsi="Arial Narrow" w:cs="Arial"/>
                <w:lang w:val="es-ES" w:eastAsia="es-ES"/>
              </w:rPr>
              <w:t>(</w:t>
            </w:r>
            <w:r w:rsidR="0052055D" w:rsidRPr="00A02272">
              <w:rPr>
                <w:rFonts w:ascii="Arial Narrow" w:hAnsi="Arial Narrow" w:cs="Arial"/>
                <w:sz w:val="18"/>
                <w:szCs w:val="18"/>
                <w:lang w:val="es-ES" w:eastAsia="es-ES"/>
              </w:rPr>
              <w:t>m</w:t>
            </w:r>
            <w:r w:rsidR="0052055D" w:rsidRPr="00A02272">
              <w:rPr>
                <w:rFonts w:ascii="Arial Narrow" w:hAnsi="Arial Narrow" w:cs="Arial"/>
                <w:sz w:val="18"/>
                <w:szCs w:val="18"/>
                <w:vertAlign w:val="superscript"/>
                <w:lang w:val="es-ES" w:eastAsia="es-ES"/>
              </w:rPr>
              <w:t>3</w:t>
            </w:r>
            <w:r w:rsidR="0052055D" w:rsidRPr="001B6644">
              <w:rPr>
                <w:rFonts w:ascii="Arial Narrow" w:hAnsi="Arial Narrow" w:cs="Arial"/>
                <w:sz w:val="18"/>
                <w:szCs w:val="18"/>
                <w:lang w:val="es-ES" w:eastAsia="es-ES"/>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275.940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275.940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Coste unitario por </w:t>
            </w:r>
            <w:r w:rsidR="008D484A" w:rsidRPr="00A02272">
              <w:rPr>
                <w:rFonts w:ascii="Arial Narrow" w:hAnsi="Arial Narrow" w:cs="Arial"/>
                <w:sz w:val="18"/>
                <w:szCs w:val="18"/>
                <w:lang w:val="es-ES" w:eastAsia="es-ES"/>
              </w:rPr>
              <w:t xml:space="preserve"> m</w:t>
            </w:r>
            <w:r w:rsidR="008D484A" w:rsidRPr="00A02272">
              <w:rPr>
                <w:rFonts w:ascii="Arial Narrow" w:hAnsi="Arial Narrow" w:cs="Arial"/>
                <w:sz w:val="18"/>
                <w:szCs w:val="18"/>
                <w:vertAlign w:val="superscript"/>
                <w:lang w:val="es-ES" w:eastAsia="es-ES"/>
              </w:rPr>
              <w:t>3</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0,094</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0,094</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r>
      <w:tr w:rsidR="00E171FA" w:rsidRPr="00442F3B" w:rsidTr="001A61A2">
        <w:trPr>
          <w:cantSplit/>
          <w:trHeight w:val="198"/>
        </w:trPr>
        <w:tc>
          <w:tcPr>
            <w:tcW w:w="4032" w:type="dxa"/>
            <w:tcBorders>
              <w:top w:val="single" w:sz="4" w:space="0" w:color="auto"/>
            </w:tcBorders>
            <w:shd w:val="clear" w:color="auto" w:fill="auto"/>
            <w:noWrap/>
            <w:vAlign w:val="center"/>
            <w:hideMark/>
          </w:tcPr>
          <w:p w:rsidR="00E171FA" w:rsidRPr="00442F3B" w:rsidRDefault="00E171FA" w:rsidP="001A61A2">
            <w:pPr>
              <w:spacing w:after="0"/>
              <w:ind w:right="-84" w:firstLine="0"/>
              <w:contextualSpacing/>
              <w:jc w:val="left"/>
              <w:rPr>
                <w:rFonts w:ascii="Arial" w:hAnsi="Arial" w:cs="Arial"/>
                <w:bCs/>
                <w:lang w:val="es-ES" w:eastAsia="es-ES"/>
              </w:rPr>
            </w:pPr>
            <w:r w:rsidRPr="00442F3B">
              <w:rPr>
                <w:rFonts w:ascii="Arial" w:hAnsi="Arial" w:cs="Arial"/>
                <w:bCs/>
                <w:lang w:val="es-ES" w:eastAsia="es-ES"/>
              </w:rPr>
              <w:t>Bombeo ETAP La Pedrera-Dep. La Pedrera</w:t>
            </w:r>
          </w:p>
        </w:tc>
        <w:tc>
          <w:tcPr>
            <w:tcW w:w="1786"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lang w:val="es-ES" w:eastAsia="es-ES"/>
              </w:rPr>
            </w:pPr>
            <w:r w:rsidRPr="00442F3B">
              <w:rPr>
                <w:rFonts w:ascii="Arial" w:hAnsi="Arial" w:cs="Arial"/>
                <w:lang w:val="es-ES" w:eastAsia="es-ES"/>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lang w:val="es-ES" w:eastAsia="es-ES"/>
              </w:rPr>
            </w:pPr>
            <w:r w:rsidRPr="00442F3B">
              <w:rPr>
                <w:rFonts w:ascii="Arial" w:hAnsi="Arial" w:cs="Arial"/>
                <w:lang w:val="es-ES" w:eastAsia="es-ES"/>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2497"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r w:rsidRPr="00442F3B">
              <w:rPr>
                <w:rFonts w:ascii="Arial" w:hAnsi="Arial" w:cs="Arial"/>
                <w:color w:val="000000"/>
                <w:lang w:val="es-ES" w:eastAsia="es-ES"/>
              </w:rPr>
              <w:t> </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Total costes (€)</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5.629</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5.629</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19.496</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19.496</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Total producción </w:t>
            </w:r>
            <w:r w:rsidR="0052055D" w:rsidRPr="00442F3B">
              <w:rPr>
                <w:rFonts w:ascii="Arial Narrow" w:hAnsi="Arial Narrow" w:cs="Arial"/>
                <w:lang w:val="es-ES" w:eastAsia="es-ES"/>
              </w:rPr>
              <w:t>(</w:t>
            </w:r>
            <w:r w:rsidR="0052055D" w:rsidRPr="00A02272">
              <w:rPr>
                <w:rFonts w:ascii="Arial Narrow" w:hAnsi="Arial Narrow" w:cs="Arial"/>
                <w:sz w:val="18"/>
                <w:szCs w:val="18"/>
                <w:lang w:val="es-ES" w:eastAsia="es-ES"/>
              </w:rPr>
              <w:t>m</w:t>
            </w:r>
            <w:r w:rsidR="0052055D" w:rsidRPr="00A02272">
              <w:rPr>
                <w:rFonts w:ascii="Arial Narrow" w:hAnsi="Arial Narrow" w:cs="Arial"/>
                <w:sz w:val="18"/>
                <w:szCs w:val="18"/>
                <w:vertAlign w:val="superscript"/>
                <w:lang w:val="es-ES" w:eastAsia="es-ES"/>
              </w:rPr>
              <w:t>3</w:t>
            </w:r>
            <w:r w:rsidR="0052055D" w:rsidRPr="001B6644">
              <w:rPr>
                <w:rFonts w:ascii="Arial Narrow" w:hAnsi="Arial Narrow" w:cs="Arial"/>
                <w:sz w:val="18"/>
                <w:szCs w:val="18"/>
                <w:lang w:val="es-ES" w:eastAsia="es-ES"/>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275.940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275.940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1.396.600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1.396.600</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lang w:val="es-ES" w:eastAsia="es-ES"/>
              </w:rPr>
            </w:pPr>
            <w:r w:rsidRPr="00442F3B">
              <w:rPr>
                <w:rFonts w:ascii="Arial Narrow" w:hAnsi="Arial Narrow" w:cs="Arial"/>
                <w:lang w:val="es-ES" w:eastAsia="es-ES"/>
              </w:rPr>
              <w:t xml:space="preserve">Coste unitario por </w:t>
            </w:r>
            <w:r w:rsidR="008D484A" w:rsidRPr="00A02272">
              <w:rPr>
                <w:rFonts w:ascii="Arial Narrow" w:hAnsi="Arial Narrow" w:cs="Arial"/>
                <w:sz w:val="18"/>
                <w:szCs w:val="18"/>
                <w:lang w:val="es-ES" w:eastAsia="es-ES"/>
              </w:rPr>
              <w:t xml:space="preserve"> m</w:t>
            </w:r>
            <w:r w:rsidR="008D484A" w:rsidRPr="00A02272">
              <w:rPr>
                <w:rFonts w:ascii="Arial Narrow" w:hAnsi="Arial Narrow" w:cs="Arial"/>
                <w:sz w:val="18"/>
                <w:szCs w:val="18"/>
                <w:vertAlign w:val="superscript"/>
                <w:lang w:val="es-ES" w:eastAsia="es-ES"/>
              </w:rPr>
              <w:t>3</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0,02</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lang w:val="es-ES" w:eastAsia="es-ES"/>
              </w:rPr>
            </w:pPr>
            <w:r w:rsidRPr="00442F3B">
              <w:rPr>
                <w:rFonts w:ascii="Arial Narrow" w:hAnsi="Arial Narrow" w:cs="Arial"/>
                <w:lang w:val="es-ES" w:eastAsia="es-ES"/>
              </w:rPr>
              <w:t>0,02</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0,014</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lang w:val="es-ES" w:eastAsia="es-ES"/>
              </w:rPr>
            </w:pPr>
            <w:r w:rsidRPr="00442F3B">
              <w:rPr>
                <w:rFonts w:ascii="Arial Narrow" w:hAnsi="Arial Narrow" w:cs="Arial"/>
                <w:color w:val="000000"/>
                <w:lang w:val="es-ES" w:eastAsia="es-ES"/>
              </w:rPr>
              <w:t>0,014</w:t>
            </w:r>
          </w:p>
        </w:tc>
      </w:tr>
      <w:tr w:rsidR="001A61A2" w:rsidRPr="00442F3B" w:rsidTr="001A61A2">
        <w:trPr>
          <w:cantSplit/>
          <w:trHeight w:val="198"/>
        </w:trPr>
        <w:tc>
          <w:tcPr>
            <w:tcW w:w="4032"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right="-84" w:firstLine="0"/>
              <w:contextualSpacing/>
              <w:jc w:val="left"/>
              <w:rPr>
                <w:rFonts w:ascii="Arial" w:hAnsi="Arial" w:cs="Arial"/>
                <w:bCs/>
                <w:sz w:val="18"/>
                <w:szCs w:val="18"/>
                <w:lang w:val="es-ES" w:eastAsia="es-ES"/>
              </w:rPr>
            </w:pPr>
            <w:r w:rsidRPr="00442F3B">
              <w:rPr>
                <w:rFonts w:ascii="Arial" w:hAnsi="Arial" w:cs="Arial"/>
                <w:bCs/>
                <w:sz w:val="18"/>
                <w:szCs w:val="18"/>
                <w:lang w:val="es-ES" w:eastAsia="es-ES"/>
              </w:rPr>
              <w:t>Total costes (€)</w:t>
            </w:r>
          </w:p>
        </w:tc>
        <w:tc>
          <w:tcPr>
            <w:tcW w:w="1786"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573.909</w:t>
            </w:r>
          </w:p>
        </w:tc>
        <w:tc>
          <w:tcPr>
            <w:tcW w:w="1651"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585.711</w:t>
            </w:r>
          </w:p>
        </w:tc>
        <w:tc>
          <w:tcPr>
            <w:tcW w:w="1881"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545.138</w:t>
            </w:r>
          </w:p>
        </w:tc>
        <w:tc>
          <w:tcPr>
            <w:tcW w:w="1651"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531.089</w:t>
            </w:r>
          </w:p>
        </w:tc>
        <w:tc>
          <w:tcPr>
            <w:tcW w:w="1881"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683.565</w:t>
            </w:r>
          </w:p>
        </w:tc>
        <w:tc>
          <w:tcPr>
            <w:tcW w:w="2497"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761.622</w:t>
            </w:r>
          </w:p>
        </w:tc>
      </w:tr>
      <w:tr w:rsidR="00E171FA" w:rsidRPr="00442F3B" w:rsidTr="001A61A2">
        <w:trPr>
          <w:cantSplit/>
          <w:trHeight w:val="198"/>
        </w:trPr>
        <w:tc>
          <w:tcPr>
            <w:tcW w:w="4032"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right="-84" w:firstLine="0"/>
              <w:contextualSpacing/>
              <w:jc w:val="left"/>
              <w:rPr>
                <w:rFonts w:ascii="Arial" w:hAnsi="Arial" w:cs="Arial"/>
                <w:bCs/>
                <w:sz w:val="18"/>
                <w:szCs w:val="18"/>
                <w:lang w:val="es-ES" w:eastAsia="es-ES"/>
              </w:rPr>
            </w:pPr>
            <w:r w:rsidRPr="00442F3B">
              <w:rPr>
                <w:rFonts w:ascii="Arial" w:hAnsi="Arial" w:cs="Arial"/>
                <w:bCs/>
                <w:sz w:val="18"/>
                <w:szCs w:val="18"/>
                <w:lang w:val="es-ES" w:eastAsia="es-ES"/>
              </w:rPr>
              <w:t xml:space="preserve">Total producción </w:t>
            </w:r>
            <w:r w:rsidR="0052055D" w:rsidRPr="00442F3B">
              <w:rPr>
                <w:rFonts w:ascii="Arial Narrow" w:hAnsi="Arial Narrow" w:cs="Arial"/>
                <w:lang w:val="es-ES" w:eastAsia="es-ES"/>
              </w:rPr>
              <w:t>(</w:t>
            </w:r>
            <w:r w:rsidR="0052055D" w:rsidRPr="00A02272">
              <w:rPr>
                <w:rFonts w:ascii="Arial Narrow" w:hAnsi="Arial Narrow" w:cs="Arial"/>
                <w:sz w:val="18"/>
                <w:szCs w:val="18"/>
                <w:lang w:val="es-ES" w:eastAsia="es-ES"/>
              </w:rPr>
              <w:t>m</w:t>
            </w:r>
            <w:r w:rsidR="0052055D" w:rsidRPr="00A02272">
              <w:rPr>
                <w:rFonts w:ascii="Arial Narrow" w:hAnsi="Arial Narrow" w:cs="Arial"/>
                <w:sz w:val="18"/>
                <w:szCs w:val="18"/>
                <w:vertAlign w:val="superscript"/>
                <w:lang w:val="es-ES" w:eastAsia="es-ES"/>
              </w:rPr>
              <w:t>3</w:t>
            </w:r>
            <w:r w:rsidR="0052055D" w:rsidRPr="001B6644">
              <w:rPr>
                <w:rFonts w:ascii="Arial Narrow" w:hAnsi="Arial Narrow" w:cs="Arial"/>
                <w:sz w:val="18"/>
                <w:szCs w:val="18"/>
                <w:lang w:val="es-ES" w:eastAsia="es-ES"/>
              </w:rPr>
              <w:t>)</w:t>
            </w:r>
          </w:p>
        </w:tc>
        <w:tc>
          <w:tcPr>
            <w:tcW w:w="1786"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sz w:val="18"/>
                <w:szCs w:val="18"/>
                <w:lang w:val="es-ES" w:eastAsia="es-ES"/>
              </w:rPr>
            </w:pPr>
            <w:r w:rsidRPr="00442F3B">
              <w:rPr>
                <w:rFonts w:ascii="Arial" w:hAnsi="Arial" w:cs="Arial"/>
                <w:bCs/>
                <w:sz w:val="18"/>
                <w:szCs w:val="18"/>
                <w:lang w:val="es-ES" w:eastAsia="es-ES"/>
              </w:rPr>
              <w:t>1.959.000</w:t>
            </w:r>
          </w:p>
        </w:tc>
        <w:tc>
          <w:tcPr>
            <w:tcW w:w="1651"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sz w:val="18"/>
                <w:szCs w:val="18"/>
                <w:lang w:val="es-ES" w:eastAsia="es-ES"/>
              </w:rPr>
            </w:pPr>
            <w:r w:rsidRPr="00442F3B">
              <w:rPr>
                <w:rFonts w:ascii="Arial" w:hAnsi="Arial" w:cs="Arial"/>
                <w:bCs/>
                <w:sz w:val="18"/>
                <w:szCs w:val="18"/>
                <w:lang w:val="es-ES" w:eastAsia="es-ES"/>
              </w:rPr>
              <w:t>1.959.000</w:t>
            </w:r>
          </w:p>
        </w:tc>
        <w:tc>
          <w:tcPr>
            <w:tcW w:w="1881"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1.959.000</w:t>
            </w:r>
          </w:p>
        </w:tc>
        <w:tc>
          <w:tcPr>
            <w:tcW w:w="1651"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sz w:val="18"/>
                <w:szCs w:val="18"/>
                <w:lang w:val="es-ES" w:eastAsia="es-ES"/>
              </w:rPr>
            </w:pPr>
            <w:r w:rsidRPr="00442F3B">
              <w:rPr>
                <w:rFonts w:ascii="Arial" w:hAnsi="Arial" w:cs="Arial"/>
                <w:bCs/>
                <w:sz w:val="18"/>
                <w:szCs w:val="18"/>
                <w:lang w:val="es-ES" w:eastAsia="es-ES"/>
              </w:rPr>
              <w:t>1.959.000</w:t>
            </w:r>
          </w:p>
        </w:tc>
        <w:tc>
          <w:tcPr>
            <w:tcW w:w="1881"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1.959.000</w:t>
            </w:r>
          </w:p>
        </w:tc>
        <w:tc>
          <w:tcPr>
            <w:tcW w:w="2497"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color w:val="000000"/>
                <w:sz w:val="18"/>
                <w:szCs w:val="18"/>
                <w:lang w:val="es-ES" w:eastAsia="es-ES"/>
              </w:rPr>
            </w:pPr>
            <w:r w:rsidRPr="00442F3B">
              <w:rPr>
                <w:rFonts w:ascii="Arial" w:hAnsi="Arial" w:cs="Arial"/>
                <w:bCs/>
                <w:color w:val="000000"/>
                <w:sz w:val="18"/>
                <w:szCs w:val="18"/>
                <w:lang w:val="es-ES" w:eastAsia="es-ES"/>
              </w:rPr>
              <w:t>1.959.000</w:t>
            </w:r>
          </w:p>
        </w:tc>
      </w:tr>
      <w:tr w:rsidR="00E171FA" w:rsidRPr="00442F3B" w:rsidTr="001A61A2">
        <w:trPr>
          <w:cantSplit/>
          <w:trHeight w:val="198"/>
        </w:trPr>
        <w:tc>
          <w:tcPr>
            <w:tcW w:w="4032"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right="-84" w:firstLine="0"/>
              <w:contextualSpacing/>
              <w:jc w:val="left"/>
              <w:rPr>
                <w:rFonts w:ascii="Arial" w:hAnsi="Arial" w:cs="Arial"/>
                <w:bCs/>
                <w:sz w:val="18"/>
                <w:szCs w:val="18"/>
                <w:lang w:val="es-ES" w:eastAsia="es-ES"/>
              </w:rPr>
            </w:pPr>
            <w:r w:rsidRPr="00442F3B">
              <w:rPr>
                <w:rFonts w:ascii="Arial" w:hAnsi="Arial" w:cs="Arial"/>
                <w:bCs/>
                <w:sz w:val="18"/>
                <w:szCs w:val="18"/>
                <w:lang w:val="es-ES" w:eastAsia="es-ES"/>
              </w:rPr>
              <w:t xml:space="preserve">Coste unitario por </w:t>
            </w:r>
            <w:r w:rsidR="008D484A" w:rsidRPr="00A02272">
              <w:rPr>
                <w:rFonts w:ascii="Arial Narrow" w:hAnsi="Arial Narrow" w:cs="Arial"/>
                <w:sz w:val="18"/>
                <w:szCs w:val="18"/>
                <w:lang w:val="es-ES" w:eastAsia="es-ES"/>
              </w:rPr>
              <w:t xml:space="preserve"> m</w:t>
            </w:r>
            <w:r w:rsidR="008D484A" w:rsidRPr="00A02272">
              <w:rPr>
                <w:rFonts w:ascii="Arial Narrow" w:hAnsi="Arial Narrow" w:cs="Arial"/>
                <w:sz w:val="18"/>
                <w:szCs w:val="18"/>
                <w:vertAlign w:val="superscript"/>
                <w:lang w:val="es-ES" w:eastAsia="es-ES"/>
              </w:rPr>
              <w:t>3</w:t>
            </w:r>
          </w:p>
        </w:tc>
        <w:tc>
          <w:tcPr>
            <w:tcW w:w="1786"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sz w:val="18"/>
                <w:szCs w:val="18"/>
                <w:lang w:val="es-ES" w:eastAsia="es-ES"/>
              </w:rPr>
            </w:pPr>
            <w:r w:rsidRPr="00442F3B">
              <w:rPr>
                <w:rFonts w:ascii="Arial" w:hAnsi="Arial" w:cs="Arial"/>
                <w:bCs/>
                <w:sz w:val="18"/>
                <w:szCs w:val="18"/>
                <w:lang w:val="es-ES" w:eastAsia="es-ES"/>
              </w:rPr>
              <w:t>0,29</w:t>
            </w:r>
          </w:p>
        </w:tc>
        <w:tc>
          <w:tcPr>
            <w:tcW w:w="165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sz w:val="18"/>
                <w:szCs w:val="18"/>
                <w:lang w:val="es-ES" w:eastAsia="es-ES"/>
              </w:rPr>
            </w:pPr>
            <w:r w:rsidRPr="00442F3B">
              <w:rPr>
                <w:rFonts w:ascii="Arial" w:hAnsi="Arial" w:cs="Arial"/>
                <w:bCs/>
                <w:sz w:val="18"/>
                <w:szCs w:val="18"/>
                <w:lang w:val="es-ES" w:eastAsia="es-ES"/>
              </w:rPr>
              <w:t>0,30</w:t>
            </w:r>
          </w:p>
        </w:tc>
        <w:tc>
          <w:tcPr>
            <w:tcW w:w="188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0,28</w:t>
            </w:r>
          </w:p>
        </w:tc>
        <w:tc>
          <w:tcPr>
            <w:tcW w:w="165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sz w:val="18"/>
                <w:szCs w:val="18"/>
                <w:lang w:val="es-ES" w:eastAsia="es-ES"/>
              </w:rPr>
            </w:pPr>
            <w:r w:rsidRPr="00442F3B">
              <w:rPr>
                <w:rFonts w:ascii="Arial" w:hAnsi="Arial" w:cs="Arial"/>
                <w:bCs/>
                <w:sz w:val="18"/>
                <w:szCs w:val="18"/>
                <w:lang w:val="es-ES" w:eastAsia="es-ES"/>
              </w:rPr>
              <w:t>0,27</w:t>
            </w:r>
          </w:p>
        </w:tc>
        <w:tc>
          <w:tcPr>
            <w:tcW w:w="188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lang w:val="es-ES" w:eastAsia="es-ES"/>
              </w:rPr>
            </w:pPr>
            <w:r w:rsidRPr="00442F3B">
              <w:rPr>
                <w:rFonts w:ascii="Arial" w:hAnsi="Arial" w:cs="Arial"/>
                <w:color w:val="000000"/>
                <w:sz w:val="18"/>
                <w:szCs w:val="18"/>
                <w:lang w:val="es-ES" w:eastAsia="es-ES"/>
              </w:rPr>
              <w:t>0,35</w:t>
            </w:r>
          </w:p>
        </w:tc>
        <w:tc>
          <w:tcPr>
            <w:tcW w:w="2497"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color w:val="000000"/>
                <w:sz w:val="18"/>
                <w:szCs w:val="18"/>
                <w:lang w:val="es-ES" w:eastAsia="es-ES"/>
              </w:rPr>
            </w:pPr>
            <w:r w:rsidRPr="00442F3B">
              <w:rPr>
                <w:rFonts w:ascii="Arial" w:hAnsi="Arial" w:cs="Arial"/>
                <w:bCs/>
                <w:color w:val="000000"/>
                <w:sz w:val="18"/>
                <w:szCs w:val="18"/>
                <w:lang w:val="es-ES" w:eastAsia="es-ES"/>
              </w:rPr>
              <w:t>0,39</w:t>
            </w:r>
          </w:p>
        </w:tc>
      </w:tr>
    </w:tbl>
    <w:p w:rsidR="009C52A8" w:rsidRDefault="009C52A8" w:rsidP="00EA3A93">
      <w:pPr>
        <w:pStyle w:val="texto"/>
        <w:tabs>
          <w:tab w:val="clear" w:pos="2835"/>
          <w:tab w:val="clear" w:pos="3969"/>
          <w:tab w:val="clear" w:pos="5103"/>
          <w:tab w:val="clear" w:pos="6237"/>
          <w:tab w:val="clear" w:pos="7371"/>
        </w:tabs>
        <w:spacing w:after="100"/>
        <w:rPr>
          <w:i/>
          <w:sz w:val="22"/>
          <w:szCs w:val="22"/>
        </w:rPr>
        <w:sectPr w:rsidR="009C52A8" w:rsidSect="000028A2">
          <w:headerReference w:type="default" r:id="rId23"/>
          <w:footerReference w:type="default" r:id="rId24"/>
          <w:pgSz w:w="16840" w:h="11907" w:orient="landscape" w:code="9"/>
          <w:pgMar w:top="1559" w:right="2109" w:bottom="1559" w:left="1644" w:header="369" w:footer="136" w:gutter="0"/>
          <w:cols w:space="720"/>
          <w:docGrid w:linePitch="360"/>
        </w:sectPr>
      </w:pPr>
    </w:p>
    <w:p w:rsidR="00E171FA" w:rsidRPr="00723975" w:rsidRDefault="00E171FA" w:rsidP="00E171FA">
      <w:pPr>
        <w:pStyle w:val="atitulo2"/>
        <w:spacing w:before="240" w:after="120"/>
      </w:pPr>
      <w:bookmarkStart w:id="31" w:name="_Toc430848038"/>
      <w:bookmarkStart w:id="32" w:name="_Toc431210965"/>
      <w:bookmarkStart w:id="33" w:name="_Toc431540919"/>
      <w:bookmarkStart w:id="34" w:name="_Toc431557230"/>
      <w:bookmarkStart w:id="35" w:name="_Toc431557268"/>
      <w:bookmarkStart w:id="36" w:name="_Toc432757084"/>
      <w:bookmarkStart w:id="37" w:name="_Toc446862153"/>
      <w:bookmarkStart w:id="38" w:name="_Toc447017463"/>
      <w:bookmarkStart w:id="39" w:name="_Toc447023129"/>
      <w:bookmarkStart w:id="40" w:name="_Toc447195026"/>
      <w:bookmarkStart w:id="41" w:name="_Toc499802370"/>
      <w:bookmarkStart w:id="42" w:name="_Toc505686774"/>
      <w:r>
        <w:lastRenderedPageBreak/>
        <w:t>I</w:t>
      </w:r>
      <w:r w:rsidRPr="00723975">
        <w:t>V.</w:t>
      </w:r>
      <w:r w:rsidR="00D45978">
        <w:t>3</w:t>
      </w:r>
      <w:r w:rsidRPr="00723975">
        <w:t xml:space="preserve">. </w:t>
      </w:r>
      <w:bookmarkEnd w:id="31"/>
      <w:bookmarkEnd w:id="32"/>
      <w:bookmarkEnd w:id="33"/>
      <w:bookmarkEnd w:id="34"/>
      <w:bookmarkEnd w:id="35"/>
      <w:bookmarkEnd w:id="36"/>
      <w:bookmarkEnd w:id="37"/>
      <w:bookmarkEnd w:id="38"/>
      <w:bookmarkEnd w:id="39"/>
      <w:bookmarkEnd w:id="40"/>
      <w:r w:rsidR="002673A6">
        <w:t>Análisis</w:t>
      </w:r>
      <w:r>
        <w:t xml:space="preserve"> de la decisión tomada por la Asamblea General</w:t>
      </w:r>
      <w:bookmarkEnd w:id="41"/>
      <w:bookmarkEnd w:id="42"/>
    </w:p>
    <w:p w:rsidR="00E171FA" w:rsidRPr="00E171FA" w:rsidRDefault="00E171FA" w:rsidP="00E171FA">
      <w:pPr>
        <w:pStyle w:val="texto"/>
      </w:pPr>
      <w:r w:rsidRPr="00E171FA">
        <w:t>La decisión que adoptó la Asamblea General de la mancomunidad implicó seguir con las mismas fuentes de abastecimiento que se estaban utilizando hasta el momento (embalse de Mairaga con la ETAP de Olóriz y los pozos y mana</w:t>
      </w:r>
      <w:r w:rsidRPr="00E171FA">
        <w:t>n</w:t>
      </w:r>
      <w:r w:rsidRPr="00E171FA">
        <w:t xml:space="preserve">tiales del Escal y del Carrascal) con la posibilidad de acudir, si fuera necesario, a la reserva de caudal del Canal de Navarra asignada a la mancomunidad y a la ETAP de La Pedrera para su tratamiento. </w:t>
      </w:r>
    </w:p>
    <w:p w:rsidR="00E171FA" w:rsidRPr="00E171FA" w:rsidRDefault="00E171FA" w:rsidP="00E171FA">
      <w:pPr>
        <w:pStyle w:val="texto"/>
      </w:pPr>
      <w:r w:rsidRPr="00E171FA">
        <w:t xml:space="preserve"> La zona sur de la mancomunidad no estaba contemplada en este acuerdo y debería seguir captando el agua desde sus suministros tradicionales hasta que se completaran las conducciones necesarias que posibilitaran el abastecimiento desde la ETAP de La Pedrera.</w:t>
      </w:r>
    </w:p>
    <w:p w:rsidR="00E171FA" w:rsidRPr="00E171FA" w:rsidRDefault="00E171FA" w:rsidP="00E171FA">
      <w:pPr>
        <w:pStyle w:val="texto"/>
      </w:pPr>
      <w:r w:rsidRPr="00E171FA">
        <w:t>La solución técnica prevista en el PD</w:t>
      </w:r>
      <w:r w:rsidR="002673A6">
        <w:t>,</w:t>
      </w:r>
      <w:r w:rsidRPr="00E171FA">
        <w:t xml:space="preserve"> </w:t>
      </w:r>
      <w:r w:rsidR="002673A6">
        <w:t xml:space="preserve">que era diferente a la elegida, </w:t>
      </w:r>
      <w:r w:rsidRPr="00E171FA">
        <w:t>establ</w:t>
      </w:r>
      <w:r w:rsidRPr="00E171FA">
        <w:t>e</w:t>
      </w:r>
      <w:r w:rsidRPr="00E171FA">
        <w:t>cía un horizonte temporal hasta el año 2021 y su implantación estaba condici</w:t>
      </w:r>
      <w:r w:rsidRPr="00E171FA">
        <w:t>o</w:t>
      </w:r>
      <w:r w:rsidRPr="00E171FA">
        <w:t>nada por la realización de cuantiosas inversiones. Por este motivo, la decisión adoptada es compatible con lo establecido en el PD ya que aún se está en plazo de ejecutar la propuesta especificada en el mismo.</w:t>
      </w:r>
    </w:p>
    <w:p w:rsidR="00E171FA" w:rsidRPr="00E171FA" w:rsidRDefault="00E171FA" w:rsidP="00E171FA">
      <w:pPr>
        <w:pStyle w:val="texto"/>
      </w:pPr>
      <w:r w:rsidRPr="00E171FA">
        <w:t xml:space="preserve">Ahora bien, hay que tener en cuenta dos aspectos relevantes: </w:t>
      </w:r>
    </w:p>
    <w:p w:rsidR="00E171FA" w:rsidRPr="00E171FA" w:rsidRDefault="00E171FA" w:rsidP="00E171FA">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E171FA">
        <w:rPr>
          <w:rFonts w:cs="Arial"/>
        </w:rPr>
        <w:t>El Anexo 5 de los pliegos de licitación que rigieron la ejecución de la i</w:t>
      </w:r>
      <w:r w:rsidRPr="00E171FA">
        <w:rPr>
          <w:rFonts w:cs="Arial"/>
        </w:rPr>
        <w:t>n</w:t>
      </w:r>
      <w:r w:rsidRPr="00E171FA">
        <w:rPr>
          <w:rFonts w:cs="Arial"/>
        </w:rPr>
        <w:t xml:space="preserve">versión de la ETAP de La Pedrera, recogía una descripción del abastecimiento actual y la prevista para el futuro. </w:t>
      </w:r>
    </w:p>
    <w:p w:rsidR="00E171FA" w:rsidRPr="00E171FA" w:rsidRDefault="00E171FA" w:rsidP="00E171FA">
      <w:pPr>
        <w:pStyle w:val="texto"/>
      </w:pPr>
      <w:r w:rsidRPr="00E171FA">
        <w:t xml:space="preserve">En concreto, se establecían tres fases de ejecución: en la primera, en la que se obtenía una capacidad </w:t>
      </w:r>
      <w:r w:rsidR="00A02272">
        <w:t xml:space="preserve">de bombeo </w:t>
      </w:r>
      <w:r w:rsidRPr="00E171FA">
        <w:t>de 100 litros por segundo, se pretendía continuar con el embalse de Mairaga y la ETAP de Olóriz para determinadas localidades (Olóriz, Oricin, Unzué, Solchaga, Orísoain, Mendívil, Barásoain, Garínoain,Sansomain, Pueyo, San Martín de Unx y Ujué), y abastecer con agua del Canal de Navarra a las localidades situadas al sur (Tafalla, Olite, Beire, P</w:t>
      </w:r>
      <w:r w:rsidRPr="00E171FA">
        <w:t>i</w:t>
      </w:r>
      <w:r w:rsidRPr="00E171FA">
        <w:t>tillas, Murillo el Cuende, Traibuenas y el polígono industrial de Caparroso).</w:t>
      </w:r>
    </w:p>
    <w:p w:rsidR="00E171FA" w:rsidRPr="00E171FA" w:rsidRDefault="00E171FA" w:rsidP="00E171FA">
      <w:pPr>
        <w:pStyle w:val="texto"/>
      </w:pPr>
      <w:r w:rsidRPr="00E171FA">
        <w:t>Una vez finalizada esta primera fase, la mancomunidad dispone de</w:t>
      </w:r>
      <w:r w:rsidR="002673A6">
        <w:t>sde se</w:t>
      </w:r>
      <w:r w:rsidR="002673A6">
        <w:t>p</w:t>
      </w:r>
      <w:r w:rsidR="002673A6">
        <w:t>tiembre de 2015 de</w:t>
      </w:r>
      <w:r w:rsidRPr="00E171FA">
        <w:t xml:space="preserve"> una ETAP dotada de infraestructuras automatizadas</w:t>
      </w:r>
      <w:r w:rsidR="002673A6">
        <w:t>,</w:t>
      </w:r>
      <w:r w:rsidRPr="00E171FA">
        <w:t xml:space="preserve"> que han supuesto una inversión cercana a los dos millones de euros</w:t>
      </w:r>
      <w:r w:rsidR="0002273D">
        <w:t>.</w:t>
      </w:r>
      <w:r w:rsidRPr="00E171FA">
        <w:t xml:space="preserve"> </w:t>
      </w:r>
      <w:r w:rsidR="0002273D">
        <w:t>Dicha instal</w:t>
      </w:r>
      <w:r w:rsidR="0002273D">
        <w:t>a</w:t>
      </w:r>
      <w:r w:rsidR="0002273D">
        <w:t>ción</w:t>
      </w:r>
      <w:r w:rsidRPr="00E171FA">
        <w:t xml:space="preserve"> no está siendo utilizada en los términos previstos a pesar de lo establecido en el PD y en los propios pliegos de licitación.</w:t>
      </w:r>
    </w:p>
    <w:p w:rsidR="00E171FA" w:rsidRPr="00E171FA" w:rsidRDefault="00E171FA" w:rsidP="00E171FA">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rsidRPr="00E171FA">
        <w:rPr>
          <w:rFonts w:cs="Arial"/>
        </w:rPr>
        <w:t>Los informes tanto del área técnica como del interventor aconsejaban d</w:t>
      </w:r>
      <w:r w:rsidRPr="00E171FA">
        <w:rPr>
          <w:rFonts w:cs="Arial"/>
        </w:rPr>
        <w:t>e</w:t>
      </w:r>
      <w:r w:rsidRPr="00E171FA">
        <w:rPr>
          <w:rFonts w:cs="Arial"/>
        </w:rPr>
        <w:t>cantarse por la opción prevista en el PD por motivos técnicos, económicos y de calidad del agua.</w:t>
      </w:r>
    </w:p>
    <w:p w:rsidR="00E171FA" w:rsidRPr="00E171FA" w:rsidRDefault="00E171FA" w:rsidP="00E171FA">
      <w:pPr>
        <w:pStyle w:val="texto"/>
      </w:pPr>
      <w:r w:rsidRPr="00E171FA">
        <w:t>Por todo lo anterior, esta Cámara opina que si bien la decisión no incumplió lo previsto en el PD por encontra</w:t>
      </w:r>
      <w:r w:rsidR="0002273D">
        <w:t>r</w:t>
      </w:r>
      <w:r w:rsidRPr="00E171FA">
        <w:t>se aún en plazo para poder ejecutar lo est</w:t>
      </w:r>
      <w:r w:rsidRPr="00E171FA">
        <w:t>a</w:t>
      </w:r>
      <w:r w:rsidRPr="00E171FA">
        <w:t xml:space="preserve">blecido, la opción elegida por la Asamblea General de la mancomunidad </w:t>
      </w:r>
      <w:r w:rsidR="002673A6">
        <w:t xml:space="preserve">se </w:t>
      </w:r>
      <w:r w:rsidR="002673A6">
        <w:lastRenderedPageBreak/>
        <w:t xml:space="preserve">apartó de los informes técnicos y económicos de su personal, sin que conste una motivación suficiente de la decisión adoptada. </w:t>
      </w:r>
    </w:p>
    <w:p w:rsidR="00E171FA" w:rsidRPr="00E171FA" w:rsidRDefault="00E171FA" w:rsidP="00E171FA">
      <w:pPr>
        <w:pStyle w:val="texto"/>
      </w:pPr>
      <w:r w:rsidRPr="00E171FA">
        <w:t xml:space="preserve">En cuanto a lo previsto en </w:t>
      </w:r>
      <w:r w:rsidR="0019720E">
        <w:t>la actualización del</w:t>
      </w:r>
      <w:r w:rsidRPr="00E171FA">
        <w:t xml:space="preserve"> PD, </w:t>
      </w:r>
      <w:r w:rsidR="008B00B5">
        <w:t>hay que tener</w:t>
      </w:r>
      <w:r w:rsidRPr="00E171FA">
        <w:t xml:space="preserve"> en cuenta que aún está en fase de elaboración y participación ciudadana</w:t>
      </w:r>
      <w:r w:rsidR="008B00B5">
        <w:t>.</w:t>
      </w:r>
      <w:r w:rsidRPr="00E171FA">
        <w:t xml:space="preserve"> Al respecto, el área técnica de la mancomunidad nos ha proporcionado un estudio en el que se valoran las alternativas propuestas por esta actualización del PD; el resultado es que es más rentable funcionar exclusivamente con una planta frente a un sist</w:t>
      </w:r>
      <w:r w:rsidRPr="00E171FA">
        <w:t>e</w:t>
      </w:r>
      <w:r w:rsidRPr="00E171FA">
        <w:t xml:space="preserve">ma mixto. </w:t>
      </w:r>
    </w:p>
    <w:p w:rsidR="00E171FA" w:rsidRPr="00E171FA" w:rsidRDefault="00E171FA" w:rsidP="00E171FA">
      <w:pPr>
        <w:pStyle w:val="atitulo2"/>
        <w:spacing w:before="240"/>
        <w:rPr>
          <w:bCs w:val="0"/>
          <w:iCs w:val="0"/>
        </w:rPr>
      </w:pPr>
      <w:bookmarkStart w:id="43" w:name="_Toc499802371"/>
      <w:bookmarkStart w:id="44" w:name="_Toc446862154"/>
      <w:bookmarkStart w:id="45" w:name="_Toc447017464"/>
      <w:bookmarkStart w:id="46" w:name="_Toc447023130"/>
      <w:bookmarkStart w:id="47" w:name="_Toc447195027"/>
      <w:bookmarkStart w:id="48" w:name="_Toc505686775"/>
      <w:r w:rsidRPr="00E171FA">
        <w:rPr>
          <w:bCs w:val="0"/>
          <w:iCs w:val="0"/>
        </w:rPr>
        <w:t>IV.</w:t>
      </w:r>
      <w:r w:rsidR="00D45978">
        <w:rPr>
          <w:bCs w:val="0"/>
          <w:iCs w:val="0"/>
        </w:rPr>
        <w:t>4</w:t>
      </w:r>
      <w:r w:rsidRPr="00E171FA">
        <w:rPr>
          <w:bCs w:val="0"/>
          <w:iCs w:val="0"/>
        </w:rPr>
        <w:t>. Repercusión de la decisión tomada en las tarifas de los usuarios</w:t>
      </w:r>
      <w:bookmarkEnd w:id="43"/>
      <w:bookmarkEnd w:id="48"/>
    </w:p>
    <w:p w:rsidR="00E171FA" w:rsidRPr="00E171FA" w:rsidRDefault="00E171FA" w:rsidP="00E171FA">
      <w:pPr>
        <w:pStyle w:val="texto"/>
      </w:pPr>
      <w:r w:rsidRPr="00E171FA">
        <w:t>Hemos revisado los estudios que realiza el interventor para calcular las tar</w:t>
      </w:r>
      <w:r w:rsidRPr="00E171FA">
        <w:t>i</w:t>
      </w:r>
      <w:r w:rsidRPr="00E171FA">
        <w:t xml:space="preserve">fas que deberían abonar los usuarios de la mancomunidad para cubrir los costes de tratamiento y abastecimiento de agua. </w:t>
      </w:r>
    </w:p>
    <w:p w:rsidR="00E171FA" w:rsidRPr="00E171FA" w:rsidRDefault="00E171FA" w:rsidP="00E171FA">
      <w:pPr>
        <w:pStyle w:val="texto"/>
      </w:pPr>
      <w:r w:rsidRPr="00E171FA">
        <w:t xml:space="preserve">Estos análisis se llevan a cabo en el mes de octubre anterior al ejercicio en el que se van a aplicar y en ellos se comparan los gastos e ingresos previstos de </w:t>
      </w:r>
      <w:r w:rsidR="002673A6">
        <w:t>este servicio</w:t>
      </w:r>
      <w:r w:rsidRPr="00E171FA">
        <w:t xml:space="preserve"> en cuestión.</w:t>
      </w:r>
    </w:p>
    <w:p w:rsidR="00E171FA" w:rsidRPr="00E171FA" w:rsidRDefault="002673A6" w:rsidP="00E171FA">
      <w:pPr>
        <w:pStyle w:val="texto"/>
      </w:pPr>
      <w:r>
        <w:t>Según los informes del interventor, la decisión tomada por la asamblea s</w:t>
      </w:r>
      <w:r>
        <w:t>u</w:t>
      </w:r>
      <w:r>
        <w:t>ponía aumentar las tarifas para 2017 y 2018 en un 2</w:t>
      </w:r>
      <w:r w:rsidR="00E171FA" w:rsidRPr="00E171FA">
        <w:t>,98</w:t>
      </w:r>
      <w:r>
        <w:t xml:space="preserve"> y 5,39 por ciento re</w:t>
      </w:r>
      <w:r>
        <w:t>s</w:t>
      </w:r>
      <w:r>
        <w:t>pectivamente</w:t>
      </w:r>
      <w:r w:rsidR="00E171FA" w:rsidRPr="00E171FA">
        <w:t>.</w:t>
      </w:r>
    </w:p>
    <w:p w:rsidR="00E171FA" w:rsidRPr="00E171FA" w:rsidRDefault="00E171FA" w:rsidP="00E171FA">
      <w:pPr>
        <w:pStyle w:val="texto"/>
      </w:pPr>
      <w:r w:rsidRPr="00E171FA">
        <w:t>De la revisión realizada sobre los cálculos de estos estudios hemos detectado algunos errores no significativos que suponen que los porcentajes de aumento que deberían haberse estimado para 2017 y 2018 serían del 2,65 y 5,24 por ciento respectivamente.</w:t>
      </w:r>
    </w:p>
    <w:p w:rsidR="00E171FA" w:rsidRPr="00E171FA" w:rsidRDefault="00E171FA" w:rsidP="00E171FA">
      <w:pPr>
        <w:pStyle w:val="texto"/>
      </w:pPr>
      <w:r w:rsidRPr="00E171FA">
        <w:t>No hemos realizado las estimaciones correspondientes a qué porcentaje de incremento supondría el haber adoptado la alternativa</w:t>
      </w:r>
      <w:r w:rsidR="002673A6">
        <w:t xml:space="preserve"> de captar agua del Canal de Navarra y utilizar las instalaciones de La Pedrera,</w:t>
      </w:r>
      <w:r w:rsidRPr="00E171FA">
        <w:t xml:space="preserve"> ya que la Asamblea Gen</w:t>
      </w:r>
      <w:r w:rsidRPr="00E171FA">
        <w:t>e</w:t>
      </w:r>
      <w:r w:rsidRPr="00E171FA">
        <w:t>ral de la mancomunidad decidió no incrementar las tarifas para 2017; asimi</w:t>
      </w:r>
      <w:r w:rsidRPr="00E171FA">
        <w:t>s</w:t>
      </w:r>
      <w:r w:rsidRPr="00E171FA">
        <w:t xml:space="preserve">mo, en sesión celebrada a principios de noviembre de 2017, la asamblea optó por seguir manteniendo las tarifas para 2018 sin aplicarles ningún aumento. En todo caso, el porcentaje de incremento sería algo menor, si bien la variación no sería significativa dado que las diferencias anuales en </w:t>
      </w:r>
      <w:r w:rsidR="00320CCF">
        <w:t xml:space="preserve">las estimaciones de </w:t>
      </w:r>
      <w:r w:rsidRPr="00E171FA">
        <w:t>ga</w:t>
      </w:r>
      <w:r w:rsidRPr="00E171FA">
        <w:t>s</w:t>
      </w:r>
      <w:r w:rsidRPr="00E171FA">
        <w:t xml:space="preserve">tos no lo son en el conjunto total.  </w:t>
      </w:r>
    </w:p>
    <w:p w:rsidR="00E171FA" w:rsidRPr="00E171FA" w:rsidRDefault="00774AA7" w:rsidP="00E171FA">
      <w:pPr>
        <w:pStyle w:val="atitulo2"/>
        <w:spacing w:before="240"/>
        <w:rPr>
          <w:bCs w:val="0"/>
          <w:iCs w:val="0"/>
        </w:rPr>
      </w:pPr>
      <w:bookmarkStart w:id="49" w:name="_Toc499802372"/>
      <w:bookmarkStart w:id="50" w:name="_Toc505686776"/>
      <w:bookmarkEnd w:id="44"/>
      <w:bookmarkEnd w:id="45"/>
      <w:bookmarkEnd w:id="46"/>
      <w:bookmarkEnd w:id="47"/>
      <w:r>
        <w:rPr>
          <w:bCs w:val="0"/>
          <w:iCs w:val="0"/>
        </w:rPr>
        <w:t>IV.5</w:t>
      </w:r>
      <w:r w:rsidR="00E171FA" w:rsidRPr="00E171FA">
        <w:rPr>
          <w:bCs w:val="0"/>
          <w:iCs w:val="0"/>
        </w:rPr>
        <w:t>. Conclusión final y recomendaciones</w:t>
      </w:r>
      <w:bookmarkEnd w:id="49"/>
      <w:bookmarkEnd w:id="50"/>
    </w:p>
    <w:p w:rsidR="00E171FA" w:rsidRDefault="00E171FA" w:rsidP="00E171FA">
      <w:pPr>
        <w:pStyle w:val="texto"/>
      </w:pPr>
      <w:r w:rsidRPr="00E171FA">
        <w:t xml:space="preserve">En </w:t>
      </w:r>
      <w:r w:rsidRPr="00E171FA">
        <w:rPr>
          <w:b/>
        </w:rPr>
        <w:t>definitiva</w:t>
      </w:r>
      <w:r w:rsidRPr="00E171FA">
        <w:t xml:space="preserve">, esta Cámara opina que </w:t>
      </w:r>
      <w:r w:rsidR="007C3B12">
        <w:t xml:space="preserve">el acuerdo adoptado por la Asamblea General de la mancomunidad es compatible con lo previsto en el Plan Director al existir aún plazo hasta 2021 para cumplir con </w:t>
      </w:r>
      <w:r w:rsidR="00627D18">
        <w:t>lo establecido en este instr</w:t>
      </w:r>
      <w:r w:rsidR="00627D18">
        <w:t>u</w:t>
      </w:r>
      <w:r w:rsidR="00627D18">
        <w:t xml:space="preserve">mento, si bien se apartó sin motivación suficiente de los informes técnicos y económicos elaborados por su personal. </w:t>
      </w:r>
    </w:p>
    <w:p w:rsidR="00E171FA" w:rsidRPr="00E171FA" w:rsidRDefault="00E171FA" w:rsidP="00E171FA">
      <w:pPr>
        <w:pStyle w:val="texto"/>
      </w:pPr>
      <w:r w:rsidRPr="00E171FA">
        <w:lastRenderedPageBreak/>
        <w:t>La opción propuesta por el P</w:t>
      </w:r>
      <w:r w:rsidR="007C3B12">
        <w:t xml:space="preserve">lan </w:t>
      </w:r>
      <w:r w:rsidRPr="00E171FA">
        <w:t>D</w:t>
      </w:r>
      <w:r w:rsidR="007C3B12">
        <w:t>irector</w:t>
      </w:r>
      <w:r w:rsidRPr="00E171FA">
        <w:t xml:space="preserve"> suponía abandonar progresivame</w:t>
      </w:r>
      <w:r w:rsidRPr="00E171FA">
        <w:t>n</w:t>
      </w:r>
      <w:r w:rsidRPr="00E171FA">
        <w:t>te la reserva hídrica del embalse de Mairaga para el abastecimiento; entend</w:t>
      </w:r>
      <w:r w:rsidRPr="00E171FA">
        <w:t>e</w:t>
      </w:r>
      <w:r w:rsidRPr="00E171FA">
        <w:t>mos que debería haberse estudiado la posibilidad de mantenerla para otros usos, analizando si éstos eran o no competencia de la mancomunidad y</w:t>
      </w:r>
      <w:r w:rsidR="0002273D">
        <w:t>,</w:t>
      </w:r>
      <w:r w:rsidRPr="00E171FA">
        <w:t xml:space="preserve"> en co</w:t>
      </w:r>
      <w:r w:rsidRPr="00E171FA">
        <w:t>n</w:t>
      </w:r>
      <w:r w:rsidRPr="00E171FA">
        <w:t>secuencia, determinando quién debía asumir el gasto derivado del canon de la CHE.</w:t>
      </w:r>
    </w:p>
    <w:p w:rsidR="00E171FA" w:rsidRPr="00E171FA" w:rsidRDefault="00E171FA" w:rsidP="00E171FA">
      <w:pPr>
        <w:pStyle w:val="texto"/>
      </w:pPr>
      <w:r w:rsidRPr="00E171FA">
        <w:t xml:space="preserve">Asimismo, </w:t>
      </w:r>
      <w:r w:rsidR="00627D18">
        <w:t xml:space="preserve">esta Cámara entiende que el empleo de los recursos disponibles por la mancomunidad no ha sido muy eficiente ya </w:t>
      </w:r>
      <w:r w:rsidRPr="00E171FA">
        <w:t>que una inversión que el D</w:t>
      </w:r>
      <w:r w:rsidRPr="00E171FA">
        <w:t>e</w:t>
      </w:r>
      <w:r w:rsidRPr="00E171FA">
        <w:t>partamento de Administración Local entendió que era prioritaria para soluci</w:t>
      </w:r>
      <w:r w:rsidRPr="00E171FA">
        <w:t>o</w:t>
      </w:r>
      <w:r w:rsidRPr="00E171FA">
        <w:t xml:space="preserve">nar el abastecimiento de agua en unas determinadas zonas de Navarra, y que fue financiada a través del PIL, </w:t>
      </w:r>
      <w:r w:rsidR="00627D18">
        <w:t xml:space="preserve">se decidió </w:t>
      </w:r>
      <w:r w:rsidRPr="00E171FA">
        <w:t xml:space="preserve">utilizar de forma unilateral por la mancomunidad esporádicamente ante determinadas condiciones, teniendo que incurrir además para ello en inversiones adicionales en las infraestructuras ya existentes, e infrautilizando las que pueden resultar más </w:t>
      </w:r>
      <w:r w:rsidR="007C3B12">
        <w:t>rentables</w:t>
      </w:r>
      <w:r w:rsidRPr="00E171FA">
        <w:t xml:space="preserve">. </w:t>
      </w:r>
    </w:p>
    <w:p w:rsidR="00E171FA" w:rsidRPr="00E171FA" w:rsidRDefault="00E171FA" w:rsidP="00E171FA">
      <w:pPr>
        <w:pStyle w:val="texto"/>
      </w:pPr>
      <w:r w:rsidRPr="00E171FA">
        <w:t xml:space="preserve">En todo caso, dadas las previsiones de inversiones, las propuestas </w:t>
      </w:r>
      <w:r w:rsidR="0019720E">
        <w:t>de la a</w:t>
      </w:r>
      <w:r w:rsidR="0019720E">
        <w:t>c</w:t>
      </w:r>
      <w:r w:rsidR="0019720E">
        <w:t>tualización del</w:t>
      </w:r>
      <w:r w:rsidRPr="00E171FA">
        <w:t xml:space="preserve"> PD y la sequía que se está produciendo en la zona</w:t>
      </w:r>
      <w:r w:rsidR="0019720E">
        <w:t>,</w:t>
      </w:r>
      <w:r w:rsidRPr="00E171FA">
        <w:t xml:space="preserve"> la ETAP de La Pedrera tendrá que utilizarse en breve; esto </w:t>
      </w:r>
      <w:r w:rsidR="008B00B5">
        <w:t>ha supuesto la</w:t>
      </w:r>
      <w:r w:rsidRPr="00E171FA">
        <w:t xml:space="preserve"> puesta a punto de las instalaciones que no se han utilizado desde </w:t>
      </w:r>
      <w:r w:rsidR="007C3B12">
        <w:t>finales de 2015</w:t>
      </w:r>
      <w:r w:rsidRPr="00E171FA">
        <w:t>.</w:t>
      </w:r>
    </w:p>
    <w:p w:rsidR="00E171FA" w:rsidRPr="00E171FA" w:rsidRDefault="00E171FA" w:rsidP="00E171FA">
      <w:pPr>
        <w:pStyle w:val="texto"/>
      </w:pPr>
      <w:r w:rsidRPr="00E171FA">
        <w:t>Finalmente, como ya hemos mencionado, ante la falta de lluvia en la zona, la mancomunidad está negociando con Canasa la toma de agua del Canal de N</w:t>
      </w:r>
      <w:r w:rsidRPr="00E171FA">
        <w:t>a</w:t>
      </w:r>
      <w:r w:rsidRPr="00E171FA">
        <w:t>varra, proceso que conlleva</w:t>
      </w:r>
      <w:r w:rsidR="007C3B12">
        <w:t xml:space="preserve"> </w:t>
      </w:r>
      <w:r w:rsidRPr="00E171FA">
        <w:t xml:space="preserve">incertidumbre económica </w:t>
      </w:r>
      <w:r w:rsidR="007C3B12">
        <w:t>sobre e</w:t>
      </w:r>
      <w:r w:rsidRPr="00E171FA">
        <w:t xml:space="preserve">l precio al que se negociará el agua ante un abastecimiento puntual y no continuo. </w:t>
      </w:r>
    </w:p>
    <w:p w:rsidR="00E171FA" w:rsidRPr="005E26EA" w:rsidRDefault="00E171FA" w:rsidP="00E171FA">
      <w:pPr>
        <w:pStyle w:val="texto"/>
      </w:pPr>
      <w:r w:rsidRPr="00E171FA">
        <w:t xml:space="preserve">Expuestas las principales conclusiones del trabajo realizado </w:t>
      </w:r>
      <w:r w:rsidRPr="005E26EA">
        <w:t>recomendamos:</w:t>
      </w:r>
    </w:p>
    <w:p w:rsidR="00E171FA" w:rsidRPr="00E171FA" w:rsidRDefault="007C3B12" w:rsidP="00E171FA">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i/>
        </w:rPr>
      </w:pPr>
      <w:r>
        <w:rPr>
          <w:rFonts w:cs="Arial"/>
          <w:i/>
        </w:rPr>
        <w:t>Considerar</w:t>
      </w:r>
      <w:r w:rsidR="00E171FA" w:rsidRPr="00E171FA">
        <w:rPr>
          <w:rFonts w:cs="Arial"/>
          <w:i/>
        </w:rPr>
        <w:t xml:space="preserve"> los informes técnicos </w:t>
      </w:r>
      <w:r>
        <w:rPr>
          <w:rFonts w:cs="Arial"/>
          <w:i/>
        </w:rPr>
        <w:t xml:space="preserve">y económicos para la toma de decisiones, motivando suficientemente la adopción de acuerdos que se separen del criterio establecido en los mismos. </w:t>
      </w:r>
    </w:p>
    <w:p w:rsidR="00E171FA" w:rsidRPr="00E171FA" w:rsidRDefault="00E171FA" w:rsidP="00E171FA">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i/>
        </w:rPr>
      </w:pPr>
      <w:r w:rsidRPr="00E171FA">
        <w:rPr>
          <w:rFonts w:cs="Arial"/>
          <w:i/>
        </w:rPr>
        <w:t xml:space="preserve">Coordinar las actuaciones entre la mancomunidad y </w:t>
      </w:r>
      <w:r w:rsidR="007C3B12">
        <w:rPr>
          <w:rFonts w:cs="Arial"/>
          <w:i/>
        </w:rPr>
        <w:t>el resto de admini</w:t>
      </w:r>
      <w:r w:rsidR="007C3B12">
        <w:rPr>
          <w:rFonts w:cs="Arial"/>
          <w:i/>
        </w:rPr>
        <w:t>s</w:t>
      </w:r>
      <w:r w:rsidR="007C3B12">
        <w:rPr>
          <w:rFonts w:cs="Arial"/>
          <w:i/>
        </w:rPr>
        <w:t>traciones y entidades públicas</w:t>
      </w:r>
      <w:r w:rsidRPr="00E171FA">
        <w:rPr>
          <w:rFonts w:cs="Arial"/>
          <w:i/>
        </w:rPr>
        <w:t xml:space="preserve"> para </w:t>
      </w:r>
      <w:r w:rsidR="007C3B12">
        <w:rPr>
          <w:rFonts w:cs="Arial"/>
          <w:i/>
        </w:rPr>
        <w:t xml:space="preserve">mejorar la gestión y utilización de </w:t>
      </w:r>
      <w:r w:rsidRPr="00E171FA">
        <w:rPr>
          <w:rFonts w:cs="Arial"/>
          <w:i/>
        </w:rPr>
        <w:t>los r</w:t>
      </w:r>
      <w:r w:rsidRPr="00E171FA">
        <w:rPr>
          <w:rFonts w:cs="Arial"/>
          <w:i/>
        </w:rPr>
        <w:t>e</w:t>
      </w:r>
      <w:r w:rsidRPr="00E171FA">
        <w:rPr>
          <w:rFonts w:cs="Arial"/>
          <w:i/>
        </w:rPr>
        <w:t>cursos públicos.</w:t>
      </w:r>
    </w:p>
    <w:p w:rsidR="00C86DDB" w:rsidRPr="00FA784F" w:rsidRDefault="00C86DDB" w:rsidP="00C86DDB">
      <w:pPr>
        <w:pStyle w:val="texto"/>
        <w:spacing w:before="240"/>
      </w:pPr>
      <w:r w:rsidRPr="00FA784F">
        <w:t>Informe que se emite a propuesta de</w:t>
      </w:r>
      <w:r>
        <w:t xml:space="preserve"> </w:t>
      </w:r>
      <w:r w:rsidRPr="00FA784F">
        <w:t>l</w:t>
      </w:r>
      <w:r>
        <w:t>a</w:t>
      </w:r>
      <w:r w:rsidRPr="00FA784F">
        <w:t xml:space="preserve"> </w:t>
      </w:r>
      <w:r>
        <w:t>auditora Karen Moreno Orduña</w:t>
      </w:r>
      <w:r w:rsidRPr="00FA784F">
        <w:t>, re</w:t>
      </w:r>
      <w:r w:rsidRPr="00FA784F">
        <w:t>s</w:t>
      </w:r>
      <w:r w:rsidRPr="00FA784F">
        <w:t>ponsable de la realización de este trabajo, una vez cumplimentados los trámites previstos por la normativa vigente.</w:t>
      </w:r>
    </w:p>
    <w:p w:rsidR="00E171FA" w:rsidRPr="00E171FA" w:rsidRDefault="00E171FA" w:rsidP="00E171FA">
      <w:pPr>
        <w:pStyle w:val="texto"/>
        <w:ind w:firstLine="0"/>
        <w:jc w:val="center"/>
      </w:pPr>
      <w:r w:rsidRPr="00E171FA">
        <w:t xml:space="preserve">Pamplona, a </w:t>
      </w:r>
      <w:r w:rsidR="00E277B6">
        <w:t>11 de enero</w:t>
      </w:r>
      <w:r w:rsidRPr="00E171FA">
        <w:t xml:space="preserve"> de 201</w:t>
      </w:r>
      <w:r w:rsidR="00E277B6">
        <w:t>8</w:t>
      </w:r>
    </w:p>
    <w:p w:rsidR="00E171FA" w:rsidRPr="00E171FA" w:rsidRDefault="00E171FA" w:rsidP="00E171FA">
      <w:pPr>
        <w:pStyle w:val="texto"/>
        <w:ind w:firstLine="0"/>
        <w:jc w:val="center"/>
      </w:pPr>
      <w:r w:rsidRPr="00E171FA">
        <w:t xml:space="preserve">La </w:t>
      </w:r>
      <w:r w:rsidR="00C86DDB">
        <w:t>president</w:t>
      </w:r>
      <w:r w:rsidRPr="00E171FA">
        <w:t xml:space="preserve">a, </w:t>
      </w:r>
      <w:r w:rsidR="00C86DDB">
        <w:t>Asunción Olaechea Estanga</w:t>
      </w:r>
    </w:p>
    <w:p w:rsidR="00EC43D9" w:rsidRDefault="00EC43D9" w:rsidP="00E171FA">
      <w:pPr>
        <w:pStyle w:val="texto"/>
        <w:ind w:firstLine="0"/>
        <w:sectPr w:rsidR="00EC43D9" w:rsidSect="00AD01DA">
          <w:headerReference w:type="default" r:id="rId25"/>
          <w:footerReference w:type="default" r:id="rId26"/>
          <w:pgSz w:w="11907" w:h="16840" w:code="9"/>
          <w:pgMar w:top="2109" w:right="1559" w:bottom="1644" w:left="1559" w:header="369" w:footer="136" w:gutter="0"/>
          <w:cols w:space="720"/>
          <w:docGrid w:linePitch="360"/>
        </w:sect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atitulo1"/>
        <w:jc w:val="right"/>
        <w:rPr>
          <w:bCs/>
          <w:color w:val="auto"/>
          <w:sz w:val="32"/>
        </w:rPr>
      </w:pPr>
      <w:bookmarkStart w:id="51" w:name="_Toc296595498"/>
      <w:bookmarkStart w:id="52" w:name="_Toc315086300"/>
      <w:bookmarkStart w:id="53" w:name="_Toc317584124"/>
      <w:bookmarkStart w:id="54" w:name="_Toc434579203"/>
      <w:bookmarkStart w:id="55" w:name="_Toc466449028"/>
      <w:bookmarkStart w:id="56" w:name="_Toc475449750"/>
      <w:bookmarkStart w:id="57" w:name="_Toc479322236"/>
      <w:bookmarkStart w:id="58" w:name="_Toc481570548"/>
      <w:bookmarkStart w:id="59" w:name="_Toc485978844"/>
      <w:bookmarkStart w:id="60" w:name="_Toc505686777"/>
      <w:r w:rsidRPr="00F555B0">
        <w:rPr>
          <w:bCs/>
          <w:color w:val="auto"/>
          <w:sz w:val="32"/>
        </w:rPr>
        <w:t>Alegaciones formuladas al informe provisional</w:t>
      </w:r>
      <w:bookmarkEnd w:id="51"/>
      <w:bookmarkEnd w:id="52"/>
      <w:bookmarkEnd w:id="53"/>
      <w:bookmarkEnd w:id="54"/>
      <w:bookmarkEnd w:id="55"/>
      <w:bookmarkEnd w:id="56"/>
      <w:bookmarkEnd w:id="57"/>
      <w:bookmarkEnd w:id="58"/>
      <w:bookmarkEnd w:id="59"/>
      <w:bookmarkEnd w:id="60"/>
    </w:p>
    <w:p w:rsidR="004C31E8" w:rsidRPr="00A9139A" w:rsidRDefault="004C31E8" w:rsidP="004C31E8">
      <w:pPr>
        <w:rPr>
          <w:rFonts w:ascii="Helvetica LT Std" w:hAnsi="Helvetica LT Std"/>
        </w:rPr>
      </w:pPr>
      <w:r w:rsidRPr="00A9139A">
        <w:rPr>
          <w:rFonts w:ascii="Helvetica LT Std" w:hAnsi="Helvetica LT Std"/>
        </w:rPr>
        <w:t xml:space="preserve">Alegaciones de presidencia y vicepresidencias de la Mancomunidad de </w:t>
      </w:r>
      <w:proofErr w:type="spellStart"/>
      <w:r w:rsidRPr="00A9139A">
        <w:rPr>
          <w:rFonts w:ascii="Helvetica LT Std" w:hAnsi="Helvetica LT Std"/>
        </w:rPr>
        <w:t>Mairaga</w:t>
      </w:r>
      <w:proofErr w:type="spellEnd"/>
      <w:r w:rsidRPr="00A9139A">
        <w:rPr>
          <w:rFonts w:ascii="Helvetica LT Std" w:hAnsi="Helvetica LT Std"/>
        </w:rPr>
        <w:t xml:space="preserve"> al Informe provisional Elección del sistem</w:t>
      </w:r>
      <w:r>
        <w:rPr>
          <w:rFonts w:ascii="Helvetica LT Std" w:hAnsi="Helvetica LT Std"/>
        </w:rPr>
        <w:t xml:space="preserve">a </w:t>
      </w:r>
      <w:r w:rsidRPr="00A9139A">
        <w:rPr>
          <w:rFonts w:ascii="Helvetica LT Std" w:hAnsi="Helvetica LT Std"/>
        </w:rPr>
        <w:t xml:space="preserve">de abastecimiento de agua en alta de la Mancomunidad de </w:t>
      </w:r>
      <w:proofErr w:type="spellStart"/>
      <w:r w:rsidRPr="00A9139A">
        <w:rPr>
          <w:rFonts w:ascii="Helvetica LT Std" w:hAnsi="Helvetica LT Std"/>
        </w:rPr>
        <w:t>Ma</w:t>
      </w:r>
      <w:r w:rsidRPr="00A9139A">
        <w:rPr>
          <w:rFonts w:ascii="Helvetica LT Std" w:hAnsi="Helvetica LT Std"/>
        </w:rPr>
        <w:t>i</w:t>
      </w:r>
      <w:r w:rsidRPr="00A9139A">
        <w:rPr>
          <w:rFonts w:ascii="Helvetica LT Std" w:hAnsi="Helvetica LT Std"/>
        </w:rPr>
        <w:t>raga</w:t>
      </w:r>
      <w:proofErr w:type="spellEnd"/>
      <w:r>
        <w:rPr>
          <w:rFonts w:ascii="Helvetica LT Std" w:hAnsi="Helvetica LT Std"/>
        </w:rPr>
        <w:t>,</w:t>
      </w:r>
      <w:r w:rsidRPr="00A9139A">
        <w:rPr>
          <w:rFonts w:ascii="Helvetica LT Std" w:hAnsi="Helvetica LT Std"/>
        </w:rPr>
        <w:t xml:space="preserve"> realizado por la Cámara de Comptos de Navarra </w:t>
      </w:r>
      <w:r>
        <w:rPr>
          <w:rFonts w:ascii="Helvetica LT Std" w:hAnsi="Helvetica LT Std"/>
        </w:rPr>
        <w:t xml:space="preserve">y </w:t>
      </w:r>
      <w:r w:rsidRPr="00A9139A">
        <w:rPr>
          <w:rFonts w:ascii="Helvetica LT Std" w:hAnsi="Helvetica LT Std"/>
        </w:rPr>
        <w:t xml:space="preserve">recibido el viernes 15 de diciembre. </w:t>
      </w:r>
    </w:p>
    <w:p w:rsidR="004C31E8" w:rsidRPr="00A9139A" w:rsidRDefault="004C31E8" w:rsidP="004C31E8">
      <w:pPr>
        <w:rPr>
          <w:rFonts w:ascii="Helvetica LT Std" w:hAnsi="Helvetica LT Std"/>
        </w:rPr>
      </w:pPr>
      <w:r>
        <w:rPr>
          <w:rFonts w:ascii="Helvetica LT Std" w:hAnsi="Helvetica LT Std"/>
        </w:rPr>
        <w:t xml:space="preserve">– </w:t>
      </w:r>
      <w:r w:rsidRPr="00A9139A">
        <w:rPr>
          <w:rFonts w:ascii="Helvetica LT Std" w:hAnsi="Helvetica LT Std"/>
        </w:rPr>
        <w:t xml:space="preserve">En la página 5 entre las captaciones enumeradas faltan los manantiales del Carrascal y los Pozos del </w:t>
      </w:r>
      <w:proofErr w:type="spellStart"/>
      <w:r w:rsidRPr="00A9139A">
        <w:rPr>
          <w:rFonts w:ascii="Helvetica LT Std" w:hAnsi="Helvetica LT Std"/>
        </w:rPr>
        <w:t>Eskal</w:t>
      </w:r>
      <w:proofErr w:type="spellEnd"/>
      <w:r w:rsidRPr="00A9139A">
        <w:rPr>
          <w:rFonts w:ascii="Helvetica LT Std" w:hAnsi="Helvetica LT Std"/>
        </w:rPr>
        <w:t xml:space="preserve">. </w:t>
      </w:r>
    </w:p>
    <w:p w:rsidR="004C31E8" w:rsidRPr="00A9139A" w:rsidRDefault="004C31E8" w:rsidP="004C31E8">
      <w:pPr>
        <w:rPr>
          <w:rFonts w:ascii="Helvetica LT Std" w:hAnsi="Helvetica LT Std"/>
        </w:rPr>
      </w:pPr>
      <w:r>
        <w:rPr>
          <w:rFonts w:ascii="Helvetica LT Std" w:hAnsi="Helvetica LT Std"/>
        </w:rPr>
        <w:t xml:space="preserve">– </w:t>
      </w:r>
      <w:r w:rsidRPr="00A9139A">
        <w:rPr>
          <w:rFonts w:ascii="Helvetica LT Std" w:hAnsi="Helvetica LT Std"/>
        </w:rPr>
        <w:t>En</w:t>
      </w:r>
      <w:r>
        <w:rPr>
          <w:rFonts w:ascii="Helvetica LT Std" w:hAnsi="Helvetica LT Std"/>
        </w:rPr>
        <w:t xml:space="preserve"> la página 6 entre</w:t>
      </w:r>
      <w:r w:rsidRPr="00A9139A">
        <w:rPr>
          <w:rFonts w:ascii="Helvetica LT Std" w:hAnsi="Helvetica LT Std"/>
        </w:rPr>
        <w:t xml:space="preserve"> las estaciones de depuración faltan las de </w:t>
      </w:r>
      <w:proofErr w:type="spellStart"/>
      <w:r w:rsidRPr="00A9139A">
        <w:rPr>
          <w:rFonts w:ascii="Helvetica LT Std" w:hAnsi="Helvetica LT Std"/>
        </w:rPr>
        <w:t>Figarol</w:t>
      </w:r>
      <w:proofErr w:type="spellEnd"/>
      <w:r w:rsidRPr="00A9139A">
        <w:rPr>
          <w:rFonts w:ascii="Helvetica LT Std" w:hAnsi="Helvetica LT Std"/>
        </w:rPr>
        <w:t xml:space="preserve"> y </w:t>
      </w:r>
      <w:proofErr w:type="spellStart"/>
      <w:r w:rsidRPr="00A9139A">
        <w:rPr>
          <w:rFonts w:ascii="Helvetica LT Std" w:hAnsi="Helvetica LT Std"/>
        </w:rPr>
        <w:t>Pueyo</w:t>
      </w:r>
      <w:proofErr w:type="spellEnd"/>
      <w:r w:rsidRPr="00A9139A">
        <w:rPr>
          <w:rFonts w:ascii="Helvetica LT Std" w:hAnsi="Helvetica LT Std"/>
        </w:rPr>
        <w:t xml:space="preserve">. </w:t>
      </w:r>
    </w:p>
    <w:p w:rsidR="004C31E8" w:rsidRPr="00A9139A" w:rsidRDefault="004C31E8" w:rsidP="004C31E8">
      <w:pPr>
        <w:rPr>
          <w:rFonts w:ascii="Helvetica LT Std" w:hAnsi="Helvetica LT Std"/>
        </w:rPr>
      </w:pPr>
      <w:r>
        <w:rPr>
          <w:rFonts w:ascii="Helvetica LT Std" w:hAnsi="Helvetica LT Std"/>
        </w:rPr>
        <w:t xml:space="preserve">– </w:t>
      </w:r>
      <w:r w:rsidRPr="00A9139A">
        <w:rPr>
          <w:rFonts w:ascii="Helvetica LT Std" w:hAnsi="Helvetica LT Std"/>
        </w:rPr>
        <w:t xml:space="preserve">En la página 12 se dice que en el informe </w:t>
      </w:r>
      <w:r>
        <w:rPr>
          <w:rFonts w:ascii="Helvetica LT Std" w:hAnsi="Helvetica LT Std"/>
        </w:rPr>
        <w:t>“</w:t>
      </w:r>
      <w:r w:rsidRPr="00A9139A">
        <w:rPr>
          <w:rFonts w:ascii="Helvetica LT Std" w:hAnsi="Helvetica LT Std"/>
        </w:rPr>
        <w:t>Estudio de Alternativas Abastecimiento zona 14-15</w:t>
      </w:r>
      <w:r>
        <w:rPr>
          <w:rFonts w:ascii="Helvetica LT Std" w:hAnsi="Helvetica LT Std"/>
        </w:rPr>
        <w:t>”</w:t>
      </w:r>
      <w:r w:rsidRPr="00A9139A">
        <w:rPr>
          <w:rFonts w:ascii="Helvetica LT Std" w:hAnsi="Helvetica LT Std"/>
        </w:rPr>
        <w:t xml:space="preserve"> realizado por el dpto. Técnico del Gobierno de Navarra, entre las alternativas de utilizar La Pedrera junto con el embalse de </w:t>
      </w:r>
      <w:proofErr w:type="spellStart"/>
      <w:r w:rsidRPr="00A9139A">
        <w:rPr>
          <w:rFonts w:ascii="Helvetica LT Std" w:hAnsi="Helvetica LT Std"/>
        </w:rPr>
        <w:t>Mairaga</w:t>
      </w:r>
      <w:proofErr w:type="spellEnd"/>
      <w:r w:rsidRPr="00A9139A">
        <w:rPr>
          <w:rFonts w:ascii="Helvetica LT Std" w:hAnsi="Helvetica LT Std"/>
        </w:rPr>
        <w:t xml:space="preserve"> o solo </w:t>
      </w:r>
      <w:r>
        <w:rPr>
          <w:rFonts w:ascii="Helvetica LT Std" w:hAnsi="Helvetica LT Std"/>
        </w:rPr>
        <w:t xml:space="preserve">La Pedrera </w:t>
      </w:r>
      <w:r w:rsidRPr="00A9139A">
        <w:rPr>
          <w:rFonts w:ascii="Helvetica LT Std" w:hAnsi="Helvetica LT Std"/>
        </w:rPr>
        <w:t>los resultados son muy similares para ambas alternativas</w:t>
      </w:r>
      <w:r>
        <w:rPr>
          <w:rFonts w:ascii="Helvetica LT Std" w:hAnsi="Helvetica LT Std"/>
        </w:rPr>
        <w:t>”</w:t>
      </w:r>
      <w:r w:rsidRPr="00A9139A">
        <w:rPr>
          <w:rFonts w:ascii="Helvetica LT Std" w:hAnsi="Helvetica LT Std"/>
        </w:rPr>
        <w:t>, cuando es favorable claramente para la alternativa 1 con una diferencia de 0,14 €/m</w:t>
      </w:r>
      <w:r w:rsidRPr="00182DA5">
        <w:rPr>
          <w:rFonts w:ascii="Helvetica LT Std" w:hAnsi="Helvetica LT Std"/>
          <w:vertAlign w:val="superscript"/>
        </w:rPr>
        <w:t>3</w:t>
      </w:r>
      <w:r w:rsidRPr="00A9139A">
        <w:rPr>
          <w:rFonts w:ascii="Helvetica LT Std" w:hAnsi="Helvetica LT Std"/>
        </w:rPr>
        <w:t xml:space="preserve"> la primera y 0,15 €/m</w:t>
      </w:r>
      <w:r w:rsidRPr="00182DA5">
        <w:rPr>
          <w:rFonts w:ascii="Helvetica LT Std" w:hAnsi="Helvetica LT Std"/>
          <w:vertAlign w:val="superscript"/>
        </w:rPr>
        <w:t>3</w:t>
      </w:r>
      <w:r w:rsidRPr="00A9139A">
        <w:rPr>
          <w:rFonts w:ascii="Helvetica LT Std" w:hAnsi="Helvetica LT Std"/>
        </w:rPr>
        <w:t xml:space="preserve"> la segunda, que sobre un total de 1.959.000 m</w:t>
      </w:r>
      <w:r w:rsidRPr="00182DA5">
        <w:rPr>
          <w:rFonts w:ascii="Helvetica LT Std" w:hAnsi="Helvetica LT Std"/>
          <w:vertAlign w:val="superscript"/>
        </w:rPr>
        <w:t>3</w:t>
      </w:r>
      <w:r>
        <w:rPr>
          <w:rFonts w:ascii="Helvetica LT Std" w:hAnsi="Helvetica LT Std"/>
          <w:vertAlign w:val="superscript"/>
        </w:rPr>
        <w:t xml:space="preserve"> </w:t>
      </w:r>
      <w:r w:rsidRPr="00A9139A">
        <w:rPr>
          <w:rFonts w:ascii="Helvetica LT Std" w:hAnsi="Helvetica LT Std"/>
        </w:rPr>
        <w:t xml:space="preserve">significan 19.590 €. </w:t>
      </w:r>
    </w:p>
    <w:p w:rsidR="004C31E8" w:rsidRPr="00A9139A" w:rsidRDefault="004C31E8" w:rsidP="004C31E8">
      <w:pPr>
        <w:rPr>
          <w:rFonts w:ascii="Helvetica LT Std" w:hAnsi="Helvetica LT Std"/>
        </w:rPr>
      </w:pPr>
      <w:r w:rsidRPr="00A9139A">
        <w:rPr>
          <w:rFonts w:ascii="Helvetica LT Std" w:hAnsi="Helvetica LT Std"/>
        </w:rPr>
        <w:t xml:space="preserve">En cambio, al analizar el estudio de alternativas realizado por el departamento técnico de </w:t>
      </w:r>
      <w:proofErr w:type="spellStart"/>
      <w:r w:rsidRPr="00A9139A">
        <w:rPr>
          <w:rFonts w:ascii="Helvetica LT Std" w:hAnsi="Helvetica LT Std"/>
        </w:rPr>
        <w:t>Mairaga</w:t>
      </w:r>
      <w:proofErr w:type="spellEnd"/>
      <w:r w:rsidRPr="00A9139A">
        <w:rPr>
          <w:rFonts w:ascii="Helvetica LT Std" w:hAnsi="Helvetica LT Std"/>
        </w:rPr>
        <w:t xml:space="preserve"> y que sale a favor de la utilización única de La Pedre</w:t>
      </w:r>
      <w:r>
        <w:rPr>
          <w:rFonts w:ascii="Helvetica LT Std" w:hAnsi="Helvetica LT Std"/>
        </w:rPr>
        <w:t>r</w:t>
      </w:r>
      <w:r w:rsidRPr="00A9139A">
        <w:rPr>
          <w:rFonts w:ascii="Helvetica LT Std" w:hAnsi="Helvetica LT Std"/>
        </w:rPr>
        <w:t xml:space="preserve">a con una diferencia de 28.771 €, no se aprecia similitud de precios sino que la 2 </w:t>
      </w:r>
      <w:r>
        <w:rPr>
          <w:rFonts w:ascii="Helvetica LT Std" w:hAnsi="Helvetica LT Std"/>
        </w:rPr>
        <w:t>“</w:t>
      </w:r>
      <w:r w:rsidRPr="00A9139A">
        <w:rPr>
          <w:rFonts w:ascii="Helvetica LT Std" w:hAnsi="Helvetica LT Std"/>
        </w:rPr>
        <w:t>es la más barata</w:t>
      </w:r>
      <w:r>
        <w:rPr>
          <w:rFonts w:ascii="Helvetica LT Std" w:hAnsi="Helvetica LT Std"/>
        </w:rPr>
        <w:t>”</w:t>
      </w:r>
      <w:r w:rsidRPr="00A9139A">
        <w:rPr>
          <w:rFonts w:ascii="Helvetica LT Std" w:hAnsi="Helvetica LT Std"/>
        </w:rPr>
        <w:t xml:space="preserve">. </w:t>
      </w:r>
    </w:p>
    <w:p w:rsidR="004C31E8" w:rsidRPr="00A9139A" w:rsidRDefault="004C31E8" w:rsidP="004C31E8">
      <w:pPr>
        <w:rPr>
          <w:rFonts w:ascii="Helvetica LT Std" w:hAnsi="Helvetica LT Std"/>
        </w:rPr>
      </w:pPr>
      <w:r w:rsidRPr="00A9139A">
        <w:rPr>
          <w:rFonts w:ascii="Helvetica LT Std" w:hAnsi="Helvetica LT Std"/>
        </w:rPr>
        <w:t xml:space="preserve">Y viendo estos datos nos preguntamos; ¿la frontera entre </w:t>
      </w:r>
      <w:r>
        <w:rPr>
          <w:rFonts w:ascii="Helvetica LT Std" w:hAnsi="Helvetica LT Std"/>
        </w:rPr>
        <w:t>“</w:t>
      </w:r>
      <w:r w:rsidRPr="00A9139A">
        <w:rPr>
          <w:rFonts w:ascii="Helvetica LT Std" w:hAnsi="Helvetica LT Std"/>
        </w:rPr>
        <w:t>precios similares</w:t>
      </w:r>
      <w:r>
        <w:rPr>
          <w:rFonts w:ascii="Helvetica LT Std" w:hAnsi="Helvetica LT Std"/>
        </w:rPr>
        <w:t>”</w:t>
      </w:r>
      <w:r w:rsidRPr="00A9139A">
        <w:rPr>
          <w:rFonts w:ascii="Helvetica LT Std" w:hAnsi="Helvetica LT Std"/>
        </w:rPr>
        <w:t xml:space="preserve"> y </w:t>
      </w:r>
      <w:r>
        <w:rPr>
          <w:rFonts w:ascii="Helvetica LT Std" w:hAnsi="Helvetica LT Std"/>
        </w:rPr>
        <w:t>“</w:t>
      </w:r>
      <w:r w:rsidRPr="00A9139A">
        <w:rPr>
          <w:rFonts w:ascii="Helvetica LT Std" w:hAnsi="Helvetica LT Std"/>
        </w:rPr>
        <w:t>más barata</w:t>
      </w:r>
      <w:r>
        <w:rPr>
          <w:rFonts w:ascii="Helvetica LT Std" w:hAnsi="Helvetica LT Std"/>
        </w:rPr>
        <w:t>”</w:t>
      </w:r>
      <w:r w:rsidRPr="00A9139A">
        <w:rPr>
          <w:rFonts w:ascii="Helvetica LT Std" w:hAnsi="Helvetica LT Std"/>
        </w:rPr>
        <w:t>,</w:t>
      </w:r>
      <w:r>
        <w:rPr>
          <w:rFonts w:ascii="Helvetica LT Std" w:hAnsi="Helvetica LT Std"/>
        </w:rPr>
        <w:t xml:space="preserve"> a partir de que importe está?</w:t>
      </w:r>
    </w:p>
    <w:p w:rsidR="004C31E8" w:rsidRPr="00A9139A" w:rsidRDefault="004C31E8" w:rsidP="004C31E8">
      <w:pPr>
        <w:rPr>
          <w:rFonts w:ascii="Helvetica LT Std" w:hAnsi="Helvetica LT Std"/>
        </w:rPr>
      </w:pPr>
      <w:r>
        <w:rPr>
          <w:rFonts w:ascii="Helvetica LT Std" w:hAnsi="Helvetica LT Std"/>
        </w:rPr>
        <w:t xml:space="preserve">– </w:t>
      </w:r>
      <w:r w:rsidRPr="00A9139A">
        <w:rPr>
          <w:rFonts w:ascii="Helvetica LT Std" w:hAnsi="Helvetica LT Std"/>
        </w:rPr>
        <w:t>En la página 14 se adjunta el informe de la Dirección del Servicio Técnico de la Manc</w:t>
      </w:r>
      <w:r w:rsidRPr="00A9139A">
        <w:rPr>
          <w:rFonts w:ascii="Helvetica LT Std" w:hAnsi="Helvetica LT Std"/>
        </w:rPr>
        <w:t>o</w:t>
      </w:r>
      <w:r w:rsidRPr="00A9139A">
        <w:rPr>
          <w:rFonts w:ascii="Helvetica LT Std" w:hAnsi="Helvetica LT Std"/>
        </w:rPr>
        <w:t xml:space="preserve">munidad de </w:t>
      </w:r>
      <w:proofErr w:type="spellStart"/>
      <w:r w:rsidRPr="00A9139A">
        <w:rPr>
          <w:rFonts w:ascii="Helvetica LT Std" w:hAnsi="Helvetica LT Std"/>
        </w:rPr>
        <w:t>Mairaga</w:t>
      </w:r>
      <w:proofErr w:type="spellEnd"/>
      <w:r w:rsidRPr="00A9139A">
        <w:rPr>
          <w:rFonts w:ascii="Helvetica LT Std" w:hAnsi="Helvetica LT Std"/>
        </w:rPr>
        <w:t xml:space="preserve"> donde se detallan las diferencias de precio entre las tres diferentes alternat</w:t>
      </w:r>
      <w:r w:rsidRPr="00A9139A">
        <w:rPr>
          <w:rFonts w:ascii="Helvetica LT Std" w:hAnsi="Helvetica LT Std"/>
        </w:rPr>
        <w:t>i</w:t>
      </w:r>
      <w:r w:rsidRPr="00A9139A">
        <w:rPr>
          <w:rFonts w:ascii="Helvetica LT Std" w:hAnsi="Helvetica LT Std"/>
        </w:rPr>
        <w:t xml:space="preserve">vas sobre el que tenemos que hacer algunas puntualizaciones: </w:t>
      </w:r>
    </w:p>
    <w:p w:rsidR="004C31E8" w:rsidRPr="00A9139A" w:rsidRDefault="004C31E8" w:rsidP="004C31E8">
      <w:pPr>
        <w:rPr>
          <w:rFonts w:ascii="Helvetica LT Std" w:hAnsi="Helvetica LT Std"/>
        </w:rPr>
      </w:pPr>
      <w:r w:rsidRPr="00A9139A">
        <w:rPr>
          <w:rFonts w:ascii="Helvetica LT Std" w:hAnsi="Helvetica LT Std"/>
        </w:rPr>
        <w:t>Ese análisis se hace teniendo en cuenta que se recomienda que la Mancomunidad contrate con CANASA una reserva de 100 1/s, pero no para usarse, sino como reserva para posibles casos de sequía, que es la que aprueba la asamblea. Sin embargo teniendo en cuenta que desde finales de 2015, que es cuando se inauguró la planta de La Pedrera, hasta cuando se toma la decisión de no utilizarla más que en casos de emergencia, la planta estuvo parada y sin generar prácticamente ningún coste, nos hizo pensar que no tenía sentido pagar a CANASA 86.000 € anuales, m</w:t>
      </w:r>
      <w:r>
        <w:rPr>
          <w:rFonts w:ascii="Helvetica LT Std" w:hAnsi="Helvetica LT Std"/>
        </w:rPr>
        <w:t>á</w:t>
      </w:r>
      <w:r w:rsidRPr="00A9139A">
        <w:rPr>
          <w:rFonts w:ascii="Helvetica LT Std" w:hAnsi="Helvetica LT Std"/>
        </w:rPr>
        <w:t>s pe</w:t>
      </w:r>
      <w:r w:rsidRPr="00A9139A">
        <w:rPr>
          <w:rFonts w:ascii="Helvetica LT Std" w:hAnsi="Helvetica LT Std"/>
        </w:rPr>
        <w:t>r</w:t>
      </w:r>
      <w:r w:rsidRPr="00A9139A">
        <w:rPr>
          <w:rFonts w:ascii="Helvetica LT Std" w:hAnsi="Helvetica LT Std"/>
        </w:rPr>
        <w:t>sonal electromecánico todo el año, más un t</w:t>
      </w:r>
      <w:r>
        <w:rPr>
          <w:rFonts w:ascii="Helvetica LT Std" w:hAnsi="Helvetica LT Std"/>
        </w:rPr>
        <w:t>é</w:t>
      </w:r>
      <w:r w:rsidRPr="00A9139A">
        <w:rPr>
          <w:rFonts w:ascii="Helvetica LT Std" w:hAnsi="Helvetica LT Std"/>
        </w:rPr>
        <w:t xml:space="preserve">rmino de potencia incrementado si con el embalse de </w:t>
      </w:r>
      <w:proofErr w:type="spellStart"/>
      <w:r w:rsidRPr="00A9139A">
        <w:rPr>
          <w:rFonts w:ascii="Helvetica LT Std" w:hAnsi="Helvetica LT Std"/>
        </w:rPr>
        <w:t>Mairaga</w:t>
      </w:r>
      <w:proofErr w:type="spellEnd"/>
      <w:r w:rsidRPr="00A9139A">
        <w:rPr>
          <w:rFonts w:ascii="Helvetica LT Std" w:hAnsi="Helvetica LT Std"/>
        </w:rPr>
        <w:t xml:space="preserve"> podíamos abastecer de </w:t>
      </w:r>
      <w:proofErr w:type="spellStart"/>
      <w:r w:rsidRPr="00A9139A">
        <w:rPr>
          <w:rFonts w:ascii="Helvetica LT Std" w:hAnsi="Helvetica LT Std"/>
        </w:rPr>
        <w:t>Unzué</w:t>
      </w:r>
      <w:proofErr w:type="spellEnd"/>
      <w:r w:rsidRPr="00A9139A">
        <w:rPr>
          <w:rFonts w:ascii="Helvetica LT Std" w:hAnsi="Helvetica LT Std"/>
        </w:rPr>
        <w:t xml:space="preserve"> a </w:t>
      </w:r>
      <w:proofErr w:type="spellStart"/>
      <w:r w:rsidRPr="00A9139A">
        <w:rPr>
          <w:rFonts w:ascii="Helvetica LT Std" w:hAnsi="Helvetica LT Std"/>
        </w:rPr>
        <w:t>Traibuenas</w:t>
      </w:r>
      <w:proofErr w:type="spellEnd"/>
      <w:r w:rsidRPr="00A9139A">
        <w:rPr>
          <w:rFonts w:ascii="Helvetica LT Std" w:hAnsi="Helvetica LT Std"/>
        </w:rPr>
        <w:t xml:space="preserve">. </w:t>
      </w:r>
    </w:p>
    <w:p w:rsidR="004C31E8" w:rsidRPr="00A9139A" w:rsidRDefault="004C31E8" w:rsidP="004C31E8">
      <w:pPr>
        <w:rPr>
          <w:rFonts w:ascii="Helvetica LT Std" w:hAnsi="Helvetica LT Std"/>
        </w:rPr>
      </w:pPr>
      <w:r w:rsidRPr="00A9139A">
        <w:rPr>
          <w:rFonts w:ascii="Helvetica LT Std" w:hAnsi="Helvetica LT Std"/>
        </w:rPr>
        <w:t>Por tanto, se consignó en presupuestos una partida mucho menor, 24.000 €, que no ha ll</w:t>
      </w:r>
      <w:r w:rsidRPr="00A9139A">
        <w:rPr>
          <w:rFonts w:ascii="Helvetica LT Std" w:hAnsi="Helvetica LT Std"/>
        </w:rPr>
        <w:t>e</w:t>
      </w:r>
      <w:r w:rsidRPr="00A9139A">
        <w:rPr>
          <w:rFonts w:ascii="Helvetica LT Std" w:hAnsi="Helvetica LT Std"/>
        </w:rPr>
        <w:t xml:space="preserve">gado a utilizarse ni en 2016 ni hasta diciembre de 2017. </w:t>
      </w:r>
    </w:p>
    <w:p w:rsidR="004C31E8" w:rsidRPr="00A9139A" w:rsidRDefault="004C31E8" w:rsidP="004C31E8">
      <w:pPr>
        <w:rPr>
          <w:rFonts w:ascii="Helvetica LT Std" w:hAnsi="Helvetica LT Std"/>
        </w:rPr>
      </w:pPr>
      <w:r w:rsidRPr="00A9139A">
        <w:rPr>
          <w:rFonts w:ascii="Helvetica LT Std" w:hAnsi="Helvetica LT Std"/>
        </w:rPr>
        <w:t xml:space="preserve">En resumen; gracias a esa decisión de la Asamblea la imputación de costes de la alternativa 1 es menor en: </w:t>
      </w:r>
    </w:p>
    <w:p w:rsidR="004C31E8" w:rsidRPr="00A9139A" w:rsidRDefault="004C31E8" w:rsidP="004C31E8">
      <w:pPr>
        <w:tabs>
          <w:tab w:val="right" w:pos="6521"/>
        </w:tabs>
        <w:rPr>
          <w:rFonts w:ascii="Helvetica LT Std" w:hAnsi="Helvetica LT Std"/>
        </w:rPr>
      </w:pPr>
      <w:r w:rsidRPr="00A9139A">
        <w:rPr>
          <w:rFonts w:ascii="Helvetica LT Std" w:hAnsi="Helvetica LT Std"/>
        </w:rPr>
        <w:t>No contrata</w:t>
      </w:r>
      <w:r>
        <w:rPr>
          <w:rFonts w:ascii="Helvetica LT Std" w:hAnsi="Helvetica LT Std"/>
        </w:rPr>
        <w:t xml:space="preserve">r la reserva de agua a </w:t>
      </w:r>
      <w:proofErr w:type="spellStart"/>
      <w:r>
        <w:rPr>
          <w:rFonts w:ascii="Helvetica LT Std" w:hAnsi="Helvetica LT Std"/>
        </w:rPr>
        <w:t>Canasa</w:t>
      </w:r>
      <w:proofErr w:type="spellEnd"/>
      <w:r>
        <w:rPr>
          <w:rFonts w:ascii="Helvetica LT Std" w:hAnsi="Helvetica LT Std"/>
        </w:rPr>
        <w:t xml:space="preserve">: </w:t>
      </w:r>
      <w:r>
        <w:rPr>
          <w:rFonts w:ascii="Helvetica LT Std" w:hAnsi="Helvetica LT Std"/>
        </w:rPr>
        <w:tab/>
      </w:r>
      <w:r w:rsidRPr="00A9139A">
        <w:rPr>
          <w:rFonts w:ascii="Helvetica LT Std" w:hAnsi="Helvetica LT Std"/>
        </w:rPr>
        <w:t xml:space="preserve">86.220 € </w:t>
      </w:r>
    </w:p>
    <w:p w:rsidR="004C31E8" w:rsidRPr="00A9139A" w:rsidRDefault="004C31E8" w:rsidP="004C31E8">
      <w:pPr>
        <w:tabs>
          <w:tab w:val="right" w:pos="6521"/>
        </w:tabs>
        <w:rPr>
          <w:rFonts w:ascii="Helvetica LT Std" w:hAnsi="Helvetica LT Std"/>
        </w:rPr>
      </w:pPr>
      <w:r w:rsidRPr="00A9139A">
        <w:rPr>
          <w:rFonts w:ascii="Helvetica LT Std" w:hAnsi="Helvetica LT Std"/>
        </w:rPr>
        <w:t>N</w:t>
      </w:r>
      <w:r>
        <w:rPr>
          <w:rFonts w:ascii="Helvetica LT Std" w:hAnsi="Helvetica LT Std"/>
        </w:rPr>
        <w:t xml:space="preserve">o contratar a electromecánico: </w:t>
      </w:r>
      <w:r>
        <w:rPr>
          <w:rFonts w:ascii="Helvetica LT Std" w:hAnsi="Helvetica LT Std"/>
        </w:rPr>
        <w:tab/>
      </w:r>
      <w:r w:rsidRPr="00A9139A">
        <w:rPr>
          <w:rFonts w:ascii="Helvetica LT Std" w:hAnsi="Helvetica LT Std"/>
        </w:rPr>
        <w:t xml:space="preserve">18.663 € </w:t>
      </w:r>
    </w:p>
    <w:p w:rsidR="004C31E8" w:rsidRPr="00A9139A" w:rsidRDefault="004C31E8" w:rsidP="004C31E8">
      <w:pPr>
        <w:tabs>
          <w:tab w:val="right" w:pos="6521"/>
        </w:tabs>
        <w:rPr>
          <w:rFonts w:ascii="Helvetica LT Std" w:hAnsi="Helvetica LT Std"/>
        </w:rPr>
      </w:pPr>
      <w:r w:rsidRPr="00A9139A">
        <w:rPr>
          <w:rFonts w:ascii="Helvetica LT Std" w:hAnsi="Helvetica LT Std"/>
        </w:rPr>
        <w:t>No contratar el t</w:t>
      </w:r>
      <w:r>
        <w:rPr>
          <w:rFonts w:ascii="Helvetica LT Std" w:hAnsi="Helvetica LT Std"/>
        </w:rPr>
        <w:t>é</w:t>
      </w:r>
      <w:r w:rsidRPr="00A9139A">
        <w:rPr>
          <w:rFonts w:ascii="Helvetica LT Std" w:hAnsi="Helvetica LT Std"/>
        </w:rPr>
        <w:t xml:space="preserve">rmino de potencia estimado: </w:t>
      </w:r>
      <w:r>
        <w:rPr>
          <w:rFonts w:ascii="Helvetica LT Std" w:hAnsi="Helvetica LT Std"/>
        </w:rPr>
        <w:tab/>
      </w:r>
      <w:r w:rsidRPr="00A9139A">
        <w:rPr>
          <w:rFonts w:ascii="Helvetica LT Std" w:hAnsi="Helvetica LT Std"/>
        </w:rPr>
        <w:t xml:space="preserve">15.015 € (1) </w:t>
      </w:r>
    </w:p>
    <w:p w:rsidR="004C31E8" w:rsidRPr="00A9139A" w:rsidRDefault="004C31E8" w:rsidP="004C31E8">
      <w:pPr>
        <w:tabs>
          <w:tab w:val="right" w:pos="6521"/>
        </w:tabs>
        <w:rPr>
          <w:rFonts w:ascii="Helvetica LT Std" w:hAnsi="Helvetica LT Std"/>
        </w:rPr>
      </w:pPr>
      <w:r>
        <w:rPr>
          <w:rFonts w:ascii="Helvetica LT Std" w:hAnsi="Helvetica LT Std"/>
        </w:rPr>
        <w:t xml:space="preserve">Diferencia </w:t>
      </w:r>
      <w:r>
        <w:rPr>
          <w:rFonts w:ascii="Helvetica LT Std" w:hAnsi="Helvetica LT Std"/>
        </w:rPr>
        <w:tab/>
      </w:r>
      <w:r w:rsidRPr="00A9139A">
        <w:rPr>
          <w:rFonts w:ascii="Helvetica LT Std" w:hAnsi="Helvetica LT Std"/>
        </w:rPr>
        <w:t xml:space="preserve">119.898 €. </w:t>
      </w:r>
    </w:p>
    <w:p w:rsidR="004C31E8" w:rsidRPr="00A9139A" w:rsidRDefault="004C31E8" w:rsidP="004C31E8">
      <w:pPr>
        <w:rPr>
          <w:rFonts w:ascii="Helvetica LT Std" w:hAnsi="Helvetica LT Std"/>
        </w:rPr>
      </w:pPr>
      <w:r w:rsidRPr="00A9139A">
        <w:rPr>
          <w:rFonts w:ascii="Helvetica LT Std" w:hAnsi="Helvetica LT Std"/>
        </w:rPr>
        <w:lastRenderedPageBreak/>
        <w:t>(1) en los informes se computa como coste del termino de potencia 19.095€ cuando rea</w:t>
      </w:r>
      <w:r w:rsidRPr="00A9139A">
        <w:rPr>
          <w:rFonts w:ascii="Helvetica LT Std" w:hAnsi="Helvetica LT Std"/>
        </w:rPr>
        <w:t>l</w:t>
      </w:r>
      <w:r w:rsidRPr="00A9139A">
        <w:rPr>
          <w:rFonts w:ascii="Helvetica LT Std" w:hAnsi="Helvetica LT Std"/>
        </w:rPr>
        <w:t xml:space="preserve">mente solo se está pagando 4.080 €/año. </w:t>
      </w:r>
    </w:p>
    <w:p w:rsidR="004C31E8" w:rsidRPr="00A9139A" w:rsidRDefault="004C31E8" w:rsidP="004C31E8">
      <w:pPr>
        <w:jc w:val="left"/>
        <w:rPr>
          <w:rFonts w:ascii="Helvetica LT Std" w:hAnsi="Helvetica LT Std"/>
        </w:rPr>
      </w:pPr>
      <w:r>
        <w:rPr>
          <w:rFonts w:ascii="Helvetica LT Std" w:hAnsi="Helvetica LT Std"/>
        </w:rPr>
        <w:t>Teniendo en cuenta que la a</w:t>
      </w:r>
      <w:r w:rsidRPr="00A9139A">
        <w:rPr>
          <w:rFonts w:ascii="Helvetica LT Std" w:hAnsi="Helvetica LT Std"/>
        </w:rPr>
        <w:t xml:space="preserve">lternativa 2, es decir la utilización únicamente de La </w:t>
      </w:r>
      <w:r>
        <w:rPr>
          <w:rFonts w:ascii="Helvetica LT Std" w:hAnsi="Helvetica LT Std"/>
        </w:rPr>
        <w:t>Pedrera</w:t>
      </w:r>
      <w:r w:rsidRPr="00A9139A">
        <w:rPr>
          <w:rFonts w:ascii="Helvetica LT Std" w:hAnsi="Helvetica LT Std"/>
        </w:rPr>
        <w:t>, según el análisis técnico sería más barata que la alternativa 1, sistema tradicional con reserva de La Pedrera, en 28.771 €, se confirma que la alternativa 1 ha sido económicamente m</w:t>
      </w:r>
      <w:r>
        <w:rPr>
          <w:rFonts w:ascii="Helvetica LT Std" w:hAnsi="Helvetica LT Std"/>
        </w:rPr>
        <w:t>á</w:t>
      </w:r>
      <w:r w:rsidRPr="00A9139A">
        <w:rPr>
          <w:rFonts w:ascii="Helvetica LT Std" w:hAnsi="Helvetica LT Std"/>
        </w:rPr>
        <w:t>s favorable en 91.127€ durante 2016 y aproximadamente 15.500 € menos de ahorro, es decir unos 72.720€ en 2017 porque en diciembre hemos contratado la pedrera desde el 1 de diciembre, con un coste de 13.000 €/mes de canon fijo y un variab</w:t>
      </w:r>
      <w:r>
        <w:rPr>
          <w:rFonts w:ascii="Helvetica LT Std" w:hAnsi="Helvetica LT Std"/>
        </w:rPr>
        <w:t>le estimado de 2.000 € por 10 dí</w:t>
      </w:r>
      <w:r w:rsidRPr="00A9139A">
        <w:rPr>
          <w:rFonts w:ascii="Helvetica LT Std" w:hAnsi="Helvetica LT Std"/>
        </w:rPr>
        <w:t xml:space="preserve">as de suministro (desde el 21 al 31 de diciembre) lo que hace un total de 163.847 € favorables a la </w:t>
      </w:r>
      <w:r>
        <w:rPr>
          <w:rFonts w:ascii="Helvetica LT Std" w:hAnsi="Helvetica LT Std"/>
        </w:rPr>
        <w:t>a</w:t>
      </w:r>
      <w:r w:rsidRPr="00A9139A">
        <w:rPr>
          <w:rFonts w:ascii="Helvetica LT Std" w:hAnsi="Helvetica LT Std"/>
        </w:rPr>
        <w:t>lternativa</w:t>
      </w:r>
      <w:r>
        <w:rPr>
          <w:rFonts w:ascii="Helvetica LT Std" w:hAnsi="Helvetica LT Std"/>
        </w:rPr>
        <w:t xml:space="preserve"> 1.</w:t>
      </w:r>
    </w:p>
    <w:p w:rsidR="004C31E8" w:rsidRPr="00A9139A" w:rsidRDefault="004C31E8" w:rsidP="004C31E8">
      <w:pPr>
        <w:rPr>
          <w:rFonts w:ascii="Helvetica LT Std" w:hAnsi="Helvetica LT Std"/>
        </w:rPr>
      </w:pPr>
      <w:r w:rsidRPr="00A9139A">
        <w:rPr>
          <w:rFonts w:ascii="Helvetica LT Std" w:hAnsi="Helvetica LT Std"/>
        </w:rPr>
        <w:t>Eso en cuanto a imputación de costes, en cuanto a ahorro REAL, hemos ahorrado a las a</w:t>
      </w:r>
      <w:r w:rsidRPr="00A9139A">
        <w:rPr>
          <w:rFonts w:ascii="Helvetica LT Std" w:hAnsi="Helvetica LT Std"/>
        </w:rPr>
        <w:t>r</w:t>
      </w:r>
      <w:r w:rsidRPr="00A9139A">
        <w:rPr>
          <w:rFonts w:ascii="Helvetica LT Std" w:hAnsi="Helvetica LT Std"/>
        </w:rPr>
        <w:t>cas de la Mancomunidad el canon de CANASA de 86.000 € en 2016 y de 87.720 € (con el incr</w:t>
      </w:r>
      <w:r w:rsidRPr="00A9139A">
        <w:rPr>
          <w:rFonts w:ascii="Helvetica LT Std" w:hAnsi="Helvetica LT Std"/>
        </w:rPr>
        <w:t>e</w:t>
      </w:r>
      <w:r w:rsidRPr="00A9139A">
        <w:rPr>
          <w:rFonts w:ascii="Helvetica LT Std" w:hAnsi="Helvetica LT Std"/>
        </w:rPr>
        <w:t xml:space="preserve">mento del 2%) menos 15.500 € (de diciembre 2017) igual a 72.720 € en 2017, lo que hace un total de 160.440 € de ahorro neto. </w:t>
      </w:r>
    </w:p>
    <w:p w:rsidR="004C31E8" w:rsidRPr="00A9139A" w:rsidRDefault="004C31E8" w:rsidP="004C31E8">
      <w:pPr>
        <w:rPr>
          <w:rFonts w:ascii="Helvetica LT Std" w:hAnsi="Helvetica LT Std"/>
        </w:rPr>
      </w:pPr>
      <w:r w:rsidRPr="00A9139A">
        <w:rPr>
          <w:rFonts w:ascii="Helvetica LT Std" w:hAnsi="Helvetica LT Std"/>
        </w:rPr>
        <w:t xml:space="preserve">-En la página 15 se dice que </w:t>
      </w:r>
      <w:r>
        <w:rPr>
          <w:rFonts w:ascii="Helvetica LT Std" w:hAnsi="Helvetica LT Std"/>
        </w:rPr>
        <w:t>“</w:t>
      </w:r>
      <w:r w:rsidRPr="00A9139A">
        <w:rPr>
          <w:rFonts w:ascii="Helvetica LT Std" w:hAnsi="Helvetica LT Std"/>
        </w:rPr>
        <w:t>el PD del Gobierno de Navarra priorizó, para solucionar los posibles problemas de abastecimiento de la Mancomunidad, la ejecución de la inversión de la ETAP de La Pedrera</w:t>
      </w:r>
      <w:r>
        <w:rPr>
          <w:rFonts w:ascii="Helvetica LT Std" w:hAnsi="Helvetica LT Std"/>
        </w:rPr>
        <w:t>”</w:t>
      </w:r>
      <w:r w:rsidRPr="00A9139A">
        <w:rPr>
          <w:rFonts w:ascii="Helvetica LT Std" w:hAnsi="Helvetica LT Std"/>
        </w:rPr>
        <w:t xml:space="preserve">. Eso es justamente lo que la Asamblea de </w:t>
      </w:r>
      <w:proofErr w:type="spellStart"/>
      <w:r w:rsidRPr="00A9139A">
        <w:rPr>
          <w:rFonts w:ascii="Helvetica LT Std" w:hAnsi="Helvetica LT Std"/>
        </w:rPr>
        <w:t>Mairaga</w:t>
      </w:r>
      <w:proofErr w:type="spellEnd"/>
      <w:r w:rsidRPr="00A9139A">
        <w:rPr>
          <w:rFonts w:ascii="Helvetica LT Std" w:hAnsi="Helvetica LT Std"/>
        </w:rPr>
        <w:t xml:space="preserve"> decidió, utilizar PROV</w:t>
      </w:r>
      <w:r w:rsidRPr="00A9139A">
        <w:rPr>
          <w:rFonts w:ascii="Helvetica LT Std" w:hAnsi="Helvetica LT Std"/>
        </w:rPr>
        <w:t>I</w:t>
      </w:r>
      <w:r w:rsidRPr="00A9139A">
        <w:rPr>
          <w:rFonts w:ascii="Helvetica LT Std" w:hAnsi="Helvetica LT Std"/>
        </w:rPr>
        <w:t xml:space="preserve">SIONALMENTE la ETAP de </w:t>
      </w:r>
      <w:r>
        <w:rPr>
          <w:rFonts w:ascii="Helvetica LT Std" w:hAnsi="Helvetica LT Std"/>
        </w:rPr>
        <w:t xml:space="preserve">La Pedrera </w:t>
      </w:r>
      <w:r w:rsidRPr="00A9139A">
        <w:rPr>
          <w:rFonts w:ascii="Helvetica LT Std" w:hAnsi="Helvetica LT Std"/>
        </w:rPr>
        <w:t xml:space="preserve">para los posibles problemas de abastecimiento, hasta que se realicen las obras de abastecimiento para sur de la Mancomunidad (Bajo Aragón y Ribera Alta), obras que en principio se finalizarán a finales de 2018-principios de 2019 cuando </w:t>
      </w:r>
      <w:r>
        <w:rPr>
          <w:rFonts w:ascii="Helvetica LT Std" w:hAnsi="Helvetica LT Std"/>
        </w:rPr>
        <w:t xml:space="preserve">La Pedrera </w:t>
      </w:r>
      <w:r w:rsidRPr="00A9139A">
        <w:rPr>
          <w:rFonts w:ascii="Helvetica LT Std" w:hAnsi="Helvetica LT Std"/>
        </w:rPr>
        <w:t xml:space="preserve">se utilizará inexorablemente de forma continua. </w:t>
      </w:r>
    </w:p>
    <w:p w:rsidR="004C31E8" w:rsidRPr="00A9139A" w:rsidRDefault="004C31E8" w:rsidP="004C31E8">
      <w:pPr>
        <w:rPr>
          <w:rFonts w:ascii="Helvetica LT Std" w:hAnsi="Helvetica LT Std"/>
        </w:rPr>
      </w:pPr>
      <w:r w:rsidRPr="00A9139A">
        <w:rPr>
          <w:rFonts w:ascii="Helvetica LT Std" w:hAnsi="Helvetica LT Std"/>
        </w:rPr>
        <w:t xml:space="preserve">En la misma página, se comenta que </w:t>
      </w:r>
      <w:r>
        <w:rPr>
          <w:rFonts w:ascii="Helvetica LT Std" w:hAnsi="Helvetica LT Std"/>
        </w:rPr>
        <w:t>“</w:t>
      </w:r>
      <w:r w:rsidRPr="00A9139A">
        <w:rPr>
          <w:rFonts w:ascii="Helvetica LT Std" w:hAnsi="Helvetica LT Std"/>
        </w:rPr>
        <w:t xml:space="preserve">según opinión del interventor de </w:t>
      </w:r>
      <w:proofErr w:type="spellStart"/>
      <w:r w:rsidRPr="00A9139A">
        <w:rPr>
          <w:rFonts w:ascii="Helvetica LT Std" w:hAnsi="Helvetica LT Std"/>
        </w:rPr>
        <w:t>Mairaga</w:t>
      </w:r>
      <w:proofErr w:type="spellEnd"/>
      <w:r w:rsidRPr="00A9139A">
        <w:rPr>
          <w:rFonts w:ascii="Helvetica LT Std" w:hAnsi="Helvetica LT Std"/>
        </w:rPr>
        <w:t>, el Plan D</w:t>
      </w:r>
      <w:r w:rsidRPr="00A9139A">
        <w:rPr>
          <w:rFonts w:ascii="Helvetica LT Std" w:hAnsi="Helvetica LT Std"/>
        </w:rPr>
        <w:t>i</w:t>
      </w:r>
      <w:r w:rsidRPr="00A9139A">
        <w:rPr>
          <w:rFonts w:ascii="Helvetica LT Std" w:hAnsi="Helvetica LT Std"/>
        </w:rPr>
        <w:t>rector es imperativo</w:t>
      </w:r>
      <w:r>
        <w:rPr>
          <w:rFonts w:ascii="Helvetica LT Std" w:hAnsi="Helvetica LT Std"/>
        </w:rPr>
        <w:t>”</w:t>
      </w:r>
      <w:r w:rsidRPr="00A9139A">
        <w:rPr>
          <w:rFonts w:ascii="Helvetica LT Std" w:hAnsi="Helvetica LT Std"/>
        </w:rPr>
        <w:t xml:space="preserve">, entendemos que está bien detallado lo de </w:t>
      </w:r>
      <w:r>
        <w:rPr>
          <w:rFonts w:ascii="Helvetica LT Std" w:hAnsi="Helvetica LT Std"/>
        </w:rPr>
        <w:t>“</w:t>
      </w:r>
      <w:r w:rsidRPr="00A9139A">
        <w:rPr>
          <w:rFonts w:ascii="Helvetica LT Std" w:hAnsi="Helvetica LT Std"/>
        </w:rPr>
        <w:t>según su opinión</w:t>
      </w:r>
      <w:r>
        <w:rPr>
          <w:rFonts w:ascii="Helvetica LT Std" w:hAnsi="Helvetica LT Std"/>
        </w:rPr>
        <w:t>”</w:t>
      </w:r>
      <w:r w:rsidRPr="00A9139A">
        <w:rPr>
          <w:rFonts w:ascii="Helvetica LT Std" w:hAnsi="Helvetica LT Std"/>
        </w:rPr>
        <w:t xml:space="preserve"> porque el D</w:t>
      </w:r>
      <w:r w:rsidRPr="00A9139A">
        <w:rPr>
          <w:rFonts w:ascii="Helvetica LT Std" w:hAnsi="Helvetica LT Std"/>
        </w:rPr>
        <w:t>i</w:t>
      </w:r>
      <w:r w:rsidRPr="00A9139A">
        <w:rPr>
          <w:rFonts w:ascii="Helvetica LT Std" w:hAnsi="Helvetica LT Std"/>
        </w:rPr>
        <w:t>rector del Servicio de Infraestru</w:t>
      </w:r>
      <w:r>
        <w:rPr>
          <w:rFonts w:ascii="Helvetica LT Std" w:hAnsi="Helvetica LT Std"/>
        </w:rPr>
        <w:t xml:space="preserve">cturas locales del Departamento de Administración </w:t>
      </w:r>
      <w:r w:rsidRPr="00A9139A">
        <w:rPr>
          <w:rFonts w:ascii="Helvetica LT Std" w:hAnsi="Helvetica LT Std"/>
        </w:rPr>
        <w:t>Local del G</w:t>
      </w:r>
      <w:r w:rsidRPr="00A9139A">
        <w:rPr>
          <w:rFonts w:ascii="Helvetica LT Std" w:hAnsi="Helvetica LT Std"/>
        </w:rPr>
        <w:t>o</w:t>
      </w:r>
      <w:r w:rsidRPr="00A9139A">
        <w:rPr>
          <w:rFonts w:ascii="Helvetica LT Std" w:hAnsi="Helvetica LT Std"/>
        </w:rPr>
        <w:t xml:space="preserve">bierno de Navarra, Sr. Pino, en la reunión que tuvimos en Tafalla para tratar el tema, dijo que el Plan Director es una </w:t>
      </w:r>
      <w:r>
        <w:rPr>
          <w:rFonts w:ascii="Helvetica LT Std" w:hAnsi="Helvetica LT Std"/>
        </w:rPr>
        <w:t>“</w:t>
      </w:r>
      <w:r w:rsidRPr="00A9139A">
        <w:rPr>
          <w:rFonts w:ascii="Helvetica LT Std" w:hAnsi="Helvetica LT Std"/>
        </w:rPr>
        <w:t>declaración de intenciones</w:t>
      </w:r>
      <w:r>
        <w:rPr>
          <w:rFonts w:ascii="Helvetica LT Std" w:hAnsi="Helvetica LT Std"/>
        </w:rPr>
        <w:t>”</w:t>
      </w:r>
      <w:r w:rsidRPr="00A9139A">
        <w:rPr>
          <w:rFonts w:ascii="Helvetica LT Std" w:hAnsi="Helvetica LT Std"/>
        </w:rPr>
        <w:t>, como se ha comprobado fehacientemente pues se ha modificado más de una vez y el Plan Director del Ciclo Integral de Agua de Uso Urbano de Navarra, en su estudios de alternativas de Abastecimiento de la Zona 14-15, ahora mismo en p</w:t>
      </w:r>
      <w:r w:rsidRPr="00A9139A">
        <w:rPr>
          <w:rFonts w:ascii="Helvetica LT Std" w:hAnsi="Helvetica LT Std"/>
        </w:rPr>
        <w:t>e</w:t>
      </w:r>
      <w:r w:rsidRPr="00A9139A">
        <w:rPr>
          <w:rFonts w:ascii="Helvetica LT Std" w:hAnsi="Helvetica LT Std"/>
        </w:rPr>
        <w:t>riodo de participación incluye, y además como alternativa económicamente más favorable, la pos</w:t>
      </w:r>
      <w:r w:rsidRPr="00A9139A">
        <w:rPr>
          <w:rFonts w:ascii="Helvetica LT Std" w:hAnsi="Helvetica LT Std"/>
        </w:rPr>
        <w:t>i</w:t>
      </w:r>
      <w:r w:rsidRPr="00A9139A">
        <w:rPr>
          <w:rFonts w:ascii="Helvetica LT Std" w:hAnsi="Helvetica LT Std"/>
        </w:rPr>
        <w:t xml:space="preserve">bilidad de utilizar el sistema mixto de </w:t>
      </w:r>
      <w:r>
        <w:rPr>
          <w:rFonts w:ascii="Helvetica LT Std" w:hAnsi="Helvetica LT Std"/>
        </w:rPr>
        <w:t xml:space="preserve">La Pedrera </w:t>
      </w:r>
      <w:r w:rsidRPr="00A9139A">
        <w:rPr>
          <w:rFonts w:ascii="Helvetica LT Std" w:hAnsi="Helvetica LT Std"/>
        </w:rPr>
        <w:t xml:space="preserve">y el embalse de </w:t>
      </w:r>
      <w:proofErr w:type="spellStart"/>
      <w:r w:rsidRPr="00A9139A">
        <w:rPr>
          <w:rFonts w:ascii="Helvetica LT Std" w:hAnsi="Helvetica LT Std"/>
        </w:rPr>
        <w:t>Mairaga</w:t>
      </w:r>
      <w:proofErr w:type="spellEnd"/>
      <w:r w:rsidRPr="00A9139A">
        <w:rPr>
          <w:rFonts w:ascii="Helvetica LT Std" w:hAnsi="Helvetica LT Std"/>
        </w:rPr>
        <w:t xml:space="preserve">. </w:t>
      </w:r>
    </w:p>
    <w:p w:rsidR="004C31E8" w:rsidRPr="00A9139A" w:rsidRDefault="004C31E8" w:rsidP="004C31E8">
      <w:pPr>
        <w:rPr>
          <w:rFonts w:ascii="Helvetica LT Std" w:hAnsi="Helvetica LT Std"/>
        </w:rPr>
      </w:pPr>
      <w:r>
        <w:rPr>
          <w:rFonts w:ascii="Helvetica LT Std" w:hAnsi="Helvetica LT Std"/>
        </w:rPr>
        <w:t xml:space="preserve">– </w:t>
      </w:r>
      <w:r w:rsidRPr="00A9139A">
        <w:rPr>
          <w:rFonts w:ascii="Helvetica LT Std" w:hAnsi="Helvetica LT Std"/>
        </w:rPr>
        <w:t xml:space="preserve">En página 17, el informe del interventor dice que las inversiones en el embalse </w:t>
      </w:r>
      <w:r>
        <w:rPr>
          <w:rFonts w:ascii="Helvetica LT Std" w:hAnsi="Helvetica LT Std"/>
        </w:rPr>
        <w:t xml:space="preserve">“se sabe que </w:t>
      </w:r>
      <w:r w:rsidRPr="00A9139A">
        <w:rPr>
          <w:rFonts w:ascii="Helvetica LT Std" w:hAnsi="Helvetica LT Std"/>
        </w:rPr>
        <w:t>podrán ser significativas y que elevarán sobremanera a futuro el coste de la prestación del servicio</w:t>
      </w:r>
      <w:r>
        <w:rPr>
          <w:rFonts w:ascii="Helvetica LT Std" w:hAnsi="Helvetica LT Std"/>
        </w:rPr>
        <w:t>”</w:t>
      </w:r>
      <w:r w:rsidRPr="00A9139A">
        <w:rPr>
          <w:rFonts w:ascii="Helvetica LT Std" w:hAnsi="Helvetica LT Std"/>
        </w:rPr>
        <w:t>. El hecho es que nunca hemos tenido el detalle de dichas inversiones significativas, pues la CHE nunca nos ha dado por escrito tal detalle sino que verbalmente nos ha dado unas cantid</w:t>
      </w:r>
      <w:r w:rsidRPr="00A9139A">
        <w:rPr>
          <w:rFonts w:ascii="Helvetica LT Std" w:hAnsi="Helvetica LT Std"/>
        </w:rPr>
        <w:t>a</w:t>
      </w:r>
      <w:r w:rsidRPr="00A9139A">
        <w:rPr>
          <w:rFonts w:ascii="Helvetica LT Std" w:hAnsi="Helvetica LT Std"/>
        </w:rPr>
        <w:t xml:space="preserve">des que </w:t>
      </w:r>
      <w:r>
        <w:rPr>
          <w:rFonts w:ascii="Helvetica LT Std" w:hAnsi="Helvetica LT Std"/>
        </w:rPr>
        <w:t>“</w:t>
      </w:r>
      <w:r w:rsidRPr="00A9139A">
        <w:rPr>
          <w:rFonts w:ascii="Helvetica LT Std" w:hAnsi="Helvetica LT Std"/>
        </w:rPr>
        <w:t>según lo que hubiera que hacer en la presa se iría vendo a cuanto ascenderían</w:t>
      </w:r>
      <w:r>
        <w:rPr>
          <w:rFonts w:ascii="Helvetica LT Std" w:hAnsi="Helvetica LT Std"/>
        </w:rPr>
        <w:t xml:space="preserve">” y un día nos decían </w:t>
      </w:r>
      <w:r w:rsidRPr="00A9139A">
        <w:rPr>
          <w:rFonts w:ascii="Helvetica LT Std" w:hAnsi="Helvetica LT Std"/>
        </w:rPr>
        <w:t xml:space="preserve">que podrían rondar </w:t>
      </w:r>
      <w:r>
        <w:rPr>
          <w:rFonts w:ascii="Helvetica LT Std" w:hAnsi="Helvetica LT Std"/>
        </w:rPr>
        <w:t>el</w:t>
      </w:r>
      <w:r w:rsidRPr="00A9139A">
        <w:rPr>
          <w:rFonts w:ascii="Helvetica LT Std" w:hAnsi="Helvetica LT Std"/>
        </w:rPr>
        <w:t xml:space="preserve"> millón de € y otro día nos decían que podrían rondar los 200.000 €. Y últimamente nos han dicho que quitando unos álamos, que ya se han quitado, es posible que no haya que hacer ningún trabajo de importancia en el núcleo de la presa. Por tanto, entendemos (y entendimos) que dicha no se podía aseverar la importancia de dichas inversiones al carecerse de una base documentada sólida y además con el canon a abonar a la CHE se incluían dichas inversiones. </w:t>
      </w:r>
    </w:p>
    <w:p w:rsidR="004C31E8" w:rsidRPr="00A9139A" w:rsidRDefault="004C31E8" w:rsidP="004C31E8">
      <w:pPr>
        <w:rPr>
          <w:rFonts w:ascii="Helvetica LT Std" w:hAnsi="Helvetica LT Std"/>
        </w:rPr>
      </w:pPr>
      <w:r w:rsidRPr="00A9139A">
        <w:rPr>
          <w:rFonts w:ascii="Helvetica LT Std" w:hAnsi="Helvetica LT Std"/>
        </w:rPr>
        <w:t xml:space="preserve">Aparte de esto, en las conversaciones con la CHE nos dejaron claro que ese importe de 113.000 € de costes de explotación de la presa, a medio plazo, unos tres años, una vez que se hayan acometido las inversiones y reparaciones que la infraestructura necesitaba, bajaría a unos 60.000 € - 70.000 € al año. </w:t>
      </w:r>
    </w:p>
    <w:p w:rsidR="004C31E8" w:rsidRPr="00A9139A" w:rsidRDefault="004C31E8" w:rsidP="004C31E8">
      <w:pPr>
        <w:rPr>
          <w:rFonts w:ascii="Helvetica LT Std" w:hAnsi="Helvetica LT Std"/>
        </w:rPr>
      </w:pPr>
      <w:r>
        <w:rPr>
          <w:rFonts w:ascii="Helvetica LT Std" w:hAnsi="Helvetica LT Std"/>
        </w:rPr>
        <w:t xml:space="preserve">– </w:t>
      </w:r>
      <w:r w:rsidRPr="00A9139A">
        <w:rPr>
          <w:rFonts w:ascii="Helvetica LT Std" w:hAnsi="Helvetica LT Std"/>
        </w:rPr>
        <w:t xml:space="preserve">En página 20 se dice que la Cámara de Comptos entiende que </w:t>
      </w:r>
      <w:r>
        <w:rPr>
          <w:rFonts w:ascii="Helvetica LT Std" w:hAnsi="Helvetica LT Std"/>
        </w:rPr>
        <w:t>“</w:t>
      </w:r>
      <w:r w:rsidRPr="00A9139A">
        <w:rPr>
          <w:rFonts w:ascii="Helvetica LT Std" w:hAnsi="Helvetica LT Std"/>
        </w:rPr>
        <w:t>si el embalse se hubiera destinado a algún uso diferente al abastecimiento, el G. Navarra tendría que asumir dicho canon reduciendo significativamente el coste de la alternativa 2</w:t>
      </w:r>
      <w:r>
        <w:rPr>
          <w:rFonts w:ascii="Helvetica LT Std" w:hAnsi="Helvetica LT Std"/>
        </w:rPr>
        <w:t>”</w:t>
      </w:r>
      <w:r w:rsidRPr="00A9139A">
        <w:rPr>
          <w:rFonts w:ascii="Helvetica LT Std" w:hAnsi="Helvetica LT Std"/>
        </w:rPr>
        <w:t>, cuando en la alternativa 2 no hay ni</w:t>
      </w:r>
      <w:r w:rsidRPr="00A9139A">
        <w:rPr>
          <w:rFonts w:ascii="Helvetica LT Std" w:hAnsi="Helvetica LT Std"/>
        </w:rPr>
        <w:t>n</w:t>
      </w:r>
      <w:r w:rsidRPr="00A9139A">
        <w:rPr>
          <w:rFonts w:ascii="Helvetica LT Std" w:hAnsi="Helvetica LT Std"/>
        </w:rPr>
        <w:t xml:space="preserve">gún coste por el embalse pues se trata de </w:t>
      </w:r>
      <w:r>
        <w:rPr>
          <w:rFonts w:ascii="Helvetica LT Std" w:hAnsi="Helvetica LT Std"/>
        </w:rPr>
        <w:t>“</w:t>
      </w:r>
      <w:r w:rsidRPr="00A9139A">
        <w:rPr>
          <w:rFonts w:ascii="Helvetica LT Std" w:hAnsi="Helvetica LT Std"/>
        </w:rPr>
        <w:t>Sistema único de la Pedrera</w:t>
      </w:r>
      <w:r>
        <w:rPr>
          <w:rFonts w:ascii="Helvetica LT Std" w:hAnsi="Helvetica LT Std"/>
        </w:rPr>
        <w:t>”</w:t>
      </w:r>
      <w:r w:rsidRPr="00A9139A">
        <w:rPr>
          <w:rFonts w:ascii="Helvetica LT Std" w:hAnsi="Helvetica LT Std"/>
        </w:rPr>
        <w:t xml:space="preserve">. </w:t>
      </w:r>
    </w:p>
    <w:p w:rsidR="004C31E8" w:rsidRPr="00A9139A" w:rsidRDefault="004C31E8" w:rsidP="004C31E8">
      <w:pPr>
        <w:rPr>
          <w:rFonts w:ascii="Helvetica LT Std" w:hAnsi="Helvetica LT Std"/>
        </w:rPr>
      </w:pPr>
      <w:r w:rsidRPr="00A9139A">
        <w:rPr>
          <w:rFonts w:ascii="Helvetica LT Std" w:hAnsi="Helvetica LT Std"/>
        </w:rPr>
        <w:t xml:space="preserve">En la misma página se habla de las necesidades de personal de </w:t>
      </w:r>
      <w:r>
        <w:rPr>
          <w:rFonts w:ascii="Helvetica LT Std" w:hAnsi="Helvetica LT Std"/>
        </w:rPr>
        <w:t xml:space="preserve">La Pedrera </w:t>
      </w:r>
      <w:r w:rsidRPr="00A9139A">
        <w:rPr>
          <w:rFonts w:ascii="Helvetica LT Std" w:hAnsi="Helvetica LT Std"/>
        </w:rPr>
        <w:t xml:space="preserve">y de </w:t>
      </w:r>
      <w:proofErr w:type="spellStart"/>
      <w:r w:rsidRPr="00A9139A">
        <w:rPr>
          <w:rFonts w:ascii="Helvetica LT Std" w:hAnsi="Helvetica LT Std"/>
        </w:rPr>
        <w:t>Olóriz</w:t>
      </w:r>
      <w:proofErr w:type="spellEnd"/>
      <w:r w:rsidRPr="00A9139A">
        <w:rPr>
          <w:rFonts w:ascii="Helvetica LT Std" w:hAnsi="Helvetica LT Std"/>
        </w:rPr>
        <w:t>, d</w:t>
      </w:r>
      <w:r w:rsidRPr="00A9139A">
        <w:rPr>
          <w:rFonts w:ascii="Helvetica LT Std" w:hAnsi="Helvetica LT Std"/>
        </w:rPr>
        <w:t>i</w:t>
      </w:r>
      <w:r w:rsidRPr="00A9139A">
        <w:rPr>
          <w:rFonts w:ascii="Helvetica LT Std" w:hAnsi="Helvetica LT Std"/>
        </w:rPr>
        <w:t xml:space="preserve">ciendo que </w:t>
      </w:r>
      <w:r>
        <w:rPr>
          <w:rFonts w:ascii="Helvetica LT Std" w:hAnsi="Helvetica LT Std"/>
        </w:rPr>
        <w:t xml:space="preserve">La Pedrera </w:t>
      </w:r>
      <w:r w:rsidRPr="00A9139A">
        <w:rPr>
          <w:rFonts w:ascii="Helvetica LT Std" w:hAnsi="Helvetica LT Std"/>
        </w:rPr>
        <w:t xml:space="preserve">está automatizada y que se debería haber imputado el coste de personal de 31.247 € en las tres alternativas. Correcto desde nuestro punto de vista. Con lo que no estamos </w:t>
      </w:r>
      <w:r w:rsidRPr="00A9139A">
        <w:rPr>
          <w:rFonts w:ascii="Helvetica LT Std" w:hAnsi="Helvetica LT Std"/>
        </w:rPr>
        <w:lastRenderedPageBreak/>
        <w:t xml:space="preserve">de acuerdo es que se haya tenido en cuenta el coste de la inversión de la automatización de la Planta de </w:t>
      </w:r>
      <w:proofErr w:type="spellStart"/>
      <w:r>
        <w:rPr>
          <w:rFonts w:ascii="Helvetica LT Std" w:hAnsi="Helvetica LT Std"/>
        </w:rPr>
        <w:t>Olóriz</w:t>
      </w:r>
      <w:proofErr w:type="spellEnd"/>
      <w:r w:rsidRPr="00A9139A">
        <w:rPr>
          <w:rFonts w:ascii="Helvetica LT Std" w:hAnsi="Helvetica LT Std"/>
        </w:rPr>
        <w:t xml:space="preserve">, que como su nombre indica permitiría automatizar la planta, y se siga imputando el coste de tres turnos de empleados, 24 horas 365 días al año, es decir 5 empleados. Por tanto, también en la alternativa 1 y 3, el coste de personal de operadores de la planta de </w:t>
      </w:r>
      <w:proofErr w:type="spellStart"/>
      <w:r>
        <w:rPr>
          <w:rFonts w:ascii="Helvetica LT Std" w:hAnsi="Helvetica LT Std"/>
        </w:rPr>
        <w:t>Olóriz</w:t>
      </w:r>
      <w:proofErr w:type="spellEnd"/>
      <w:r w:rsidRPr="00A9139A">
        <w:rPr>
          <w:rFonts w:ascii="Helvetica LT Std" w:hAnsi="Helvetica LT Std"/>
        </w:rPr>
        <w:t xml:space="preserve"> no deb</w:t>
      </w:r>
      <w:r w:rsidRPr="00A9139A">
        <w:rPr>
          <w:rFonts w:ascii="Helvetica LT Std" w:hAnsi="Helvetica LT Std"/>
        </w:rPr>
        <w:t>e</w:t>
      </w:r>
      <w:r w:rsidRPr="00A9139A">
        <w:rPr>
          <w:rFonts w:ascii="Helvetica LT Std" w:hAnsi="Helvetica LT Std"/>
        </w:rPr>
        <w:t xml:space="preserve">ría ser de 164.164 €, sino de 31.247 €. </w:t>
      </w:r>
    </w:p>
    <w:p w:rsidR="004C31E8" w:rsidRPr="00A9139A" w:rsidRDefault="004C31E8" w:rsidP="004C31E8">
      <w:pPr>
        <w:rPr>
          <w:rFonts w:ascii="Helvetica LT Std" w:hAnsi="Helvetica LT Std"/>
        </w:rPr>
      </w:pPr>
      <w:r w:rsidRPr="00A9139A">
        <w:rPr>
          <w:rFonts w:ascii="Helvetica LT Std" w:hAnsi="Helvetica LT Std"/>
        </w:rPr>
        <w:t xml:space="preserve">Aparte de esto, y es un dato a tener en cuenta muy importante, es que el contrato firmado con </w:t>
      </w:r>
      <w:proofErr w:type="spellStart"/>
      <w:r w:rsidRPr="00A9139A">
        <w:rPr>
          <w:rFonts w:ascii="Helvetica LT Std" w:hAnsi="Helvetica LT Std"/>
        </w:rPr>
        <w:t>Acualia</w:t>
      </w:r>
      <w:proofErr w:type="spellEnd"/>
      <w:r w:rsidRPr="00A9139A">
        <w:rPr>
          <w:rFonts w:ascii="Helvetica LT Std" w:hAnsi="Helvetica LT Std"/>
        </w:rPr>
        <w:t xml:space="preserve"> tiene una parte fija, donde está todo el mantenimiento, averías, personal, etc</w:t>
      </w:r>
      <w:r>
        <w:rPr>
          <w:rFonts w:ascii="Helvetica LT Std" w:hAnsi="Helvetica LT Std"/>
        </w:rPr>
        <w:t>.</w:t>
      </w:r>
      <w:r w:rsidRPr="00A9139A">
        <w:rPr>
          <w:rFonts w:ascii="Helvetica LT Std" w:hAnsi="Helvetica LT Std"/>
        </w:rPr>
        <w:t xml:space="preserve"> y otra variable en función del caudal consumido. Por tanto, independientemente de que en la planta de </w:t>
      </w:r>
      <w:proofErr w:type="spellStart"/>
      <w:r w:rsidRPr="00A9139A">
        <w:rPr>
          <w:rFonts w:ascii="Helvetica LT Std" w:hAnsi="Helvetica LT Std"/>
        </w:rPr>
        <w:t>Ol</w:t>
      </w:r>
      <w:r>
        <w:rPr>
          <w:rFonts w:ascii="Helvetica LT Std" w:hAnsi="Helvetica LT Std"/>
        </w:rPr>
        <w:t>ó</w:t>
      </w:r>
      <w:r w:rsidRPr="00A9139A">
        <w:rPr>
          <w:rFonts w:ascii="Helvetica LT Std" w:hAnsi="Helvetica LT Std"/>
        </w:rPr>
        <w:t>riz</w:t>
      </w:r>
      <w:proofErr w:type="spellEnd"/>
      <w:r w:rsidRPr="00A9139A">
        <w:rPr>
          <w:rFonts w:ascii="Helvetica LT Std" w:hAnsi="Helvetica LT Std"/>
        </w:rPr>
        <w:t xml:space="preserve"> haya 5 personas o solo 1, el importe a pagar a </w:t>
      </w:r>
      <w:proofErr w:type="spellStart"/>
      <w:r w:rsidRPr="00A9139A">
        <w:rPr>
          <w:rFonts w:ascii="Helvetica LT Std" w:hAnsi="Helvetica LT Std"/>
        </w:rPr>
        <w:t>Acualia</w:t>
      </w:r>
      <w:proofErr w:type="spellEnd"/>
      <w:r w:rsidRPr="00A9139A">
        <w:rPr>
          <w:rFonts w:ascii="Helvetica LT Std" w:hAnsi="Helvetica LT Std"/>
        </w:rPr>
        <w:t xml:space="preserve"> es el mismo, por lo que el tema de personal no debería tenerse como una variable de costes porque no varía en ninguno de los esc</w:t>
      </w:r>
      <w:r w:rsidRPr="00A9139A">
        <w:rPr>
          <w:rFonts w:ascii="Helvetica LT Std" w:hAnsi="Helvetica LT Std"/>
        </w:rPr>
        <w:t>e</w:t>
      </w:r>
      <w:r w:rsidRPr="00A9139A">
        <w:rPr>
          <w:rFonts w:ascii="Helvetica LT Std" w:hAnsi="Helvetica LT Std"/>
        </w:rPr>
        <w:t xml:space="preserve">narios. </w:t>
      </w:r>
    </w:p>
    <w:p w:rsidR="004C31E8" w:rsidRPr="00A9139A" w:rsidRDefault="004C31E8" w:rsidP="004C31E8">
      <w:pPr>
        <w:rPr>
          <w:rFonts w:ascii="Helvetica LT Std" w:hAnsi="Helvetica LT Std"/>
        </w:rPr>
      </w:pPr>
      <w:r>
        <w:rPr>
          <w:rFonts w:ascii="Helvetica LT Std" w:hAnsi="Helvetica LT Std"/>
        </w:rPr>
        <w:t xml:space="preserve">– </w:t>
      </w:r>
      <w:r w:rsidRPr="00A9139A">
        <w:rPr>
          <w:rFonts w:ascii="Helvetica LT Std" w:hAnsi="Helvetica LT Std"/>
        </w:rPr>
        <w:t xml:space="preserve">En la página 20 y 21 se añaden consideraciones de un nuevo estudio hecho por la cámara de Comptos. No estamos de acuerdo con la imputación en la alternativa 2 de Canon de 113.827 € a abonar a la CHE por el mantenimiento del embalse de </w:t>
      </w:r>
      <w:proofErr w:type="spellStart"/>
      <w:r w:rsidRPr="00A9139A">
        <w:rPr>
          <w:rFonts w:ascii="Helvetica LT Std" w:hAnsi="Helvetica LT Std"/>
        </w:rPr>
        <w:t>Mairaga</w:t>
      </w:r>
      <w:proofErr w:type="spellEnd"/>
      <w:r w:rsidRPr="00A9139A">
        <w:rPr>
          <w:rFonts w:ascii="Helvetica LT Std" w:hAnsi="Helvetica LT Std"/>
        </w:rPr>
        <w:t xml:space="preserve"> porque si hubiéramos tomado la decisión de obviar ese recurso, la CHE habría asumido todos y cada uno de los costes que gen</w:t>
      </w:r>
      <w:r w:rsidRPr="00A9139A">
        <w:rPr>
          <w:rFonts w:ascii="Helvetica LT Std" w:hAnsi="Helvetica LT Std"/>
        </w:rPr>
        <w:t>e</w:t>
      </w:r>
      <w:r w:rsidRPr="00A9139A">
        <w:rPr>
          <w:rFonts w:ascii="Helvetica LT Std" w:hAnsi="Helvetica LT Std"/>
        </w:rPr>
        <w:t xml:space="preserve">rara el embalse hasta su vaciado. Tampoco estamos de acuerdo, como ya hemos comentado en imputar costes de personal, por la razón que hemos dado del contrato con </w:t>
      </w:r>
      <w:proofErr w:type="spellStart"/>
      <w:r w:rsidRPr="00A9139A">
        <w:rPr>
          <w:rFonts w:ascii="Helvetica LT Std" w:hAnsi="Helvetica LT Std"/>
        </w:rPr>
        <w:t>Acualia</w:t>
      </w:r>
      <w:proofErr w:type="spellEnd"/>
      <w:r w:rsidRPr="00A9139A">
        <w:rPr>
          <w:rFonts w:ascii="Helvetica LT Std" w:hAnsi="Helvetica LT Std"/>
        </w:rPr>
        <w:t xml:space="preserve">, y en todo caso, dada la automatización de la planta de </w:t>
      </w:r>
      <w:proofErr w:type="spellStart"/>
      <w:r w:rsidRPr="00A9139A">
        <w:rPr>
          <w:rFonts w:ascii="Helvetica LT Std" w:hAnsi="Helvetica LT Std"/>
        </w:rPr>
        <w:t>Ol</w:t>
      </w:r>
      <w:r>
        <w:rPr>
          <w:rFonts w:ascii="Helvetica LT Std" w:hAnsi="Helvetica LT Std"/>
        </w:rPr>
        <w:t>ó</w:t>
      </w:r>
      <w:r w:rsidRPr="00A9139A">
        <w:rPr>
          <w:rFonts w:ascii="Helvetica LT Std" w:hAnsi="Helvetica LT Std"/>
        </w:rPr>
        <w:t>riz</w:t>
      </w:r>
      <w:proofErr w:type="spellEnd"/>
      <w:r w:rsidRPr="00A9139A">
        <w:rPr>
          <w:rFonts w:ascii="Helvetica LT Std" w:hAnsi="Helvetica LT Std"/>
        </w:rPr>
        <w:t>, solo veríamos justo el imputar el coste de un e</w:t>
      </w:r>
      <w:r w:rsidRPr="00A9139A">
        <w:rPr>
          <w:rFonts w:ascii="Helvetica LT Std" w:hAnsi="Helvetica LT Std"/>
        </w:rPr>
        <w:t>m</w:t>
      </w:r>
      <w:r w:rsidRPr="00A9139A">
        <w:rPr>
          <w:rFonts w:ascii="Helvetica LT Std" w:hAnsi="Helvetica LT Std"/>
        </w:rPr>
        <w:t>pleado en todos los escenarios. Eso haría que los informes fueran diferentes. De todas formas, como no tenemos el detalle de costes del informe de la Cámara de Comptos, no podemos anal</w:t>
      </w:r>
      <w:r w:rsidRPr="00A9139A">
        <w:rPr>
          <w:rFonts w:ascii="Helvetica LT Std" w:hAnsi="Helvetica LT Std"/>
        </w:rPr>
        <w:t>i</w:t>
      </w:r>
      <w:r w:rsidRPr="00A9139A">
        <w:rPr>
          <w:rFonts w:ascii="Helvetica LT Std" w:hAnsi="Helvetica LT Std"/>
        </w:rPr>
        <w:t xml:space="preserve">zarlo como se debería. </w:t>
      </w:r>
    </w:p>
    <w:p w:rsidR="004C31E8" w:rsidRPr="00A9139A" w:rsidRDefault="004C31E8" w:rsidP="004C31E8">
      <w:pPr>
        <w:rPr>
          <w:rFonts w:ascii="Helvetica LT Std" w:hAnsi="Helvetica LT Std"/>
        </w:rPr>
      </w:pPr>
      <w:r>
        <w:rPr>
          <w:rFonts w:ascii="Helvetica LT Std" w:hAnsi="Helvetica LT Std"/>
        </w:rPr>
        <w:t>Lo que sí</w:t>
      </w:r>
      <w:r w:rsidRPr="00A9139A">
        <w:rPr>
          <w:rFonts w:ascii="Helvetica LT Std" w:hAnsi="Helvetica LT Std"/>
        </w:rPr>
        <w:t xml:space="preserve"> que se está demostrando</w:t>
      </w:r>
      <w:r>
        <w:rPr>
          <w:rFonts w:ascii="Helvetica LT Std" w:hAnsi="Helvetica LT Std"/>
        </w:rPr>
        <w:t>,</w:t>
      </w:r>
      <w:r w:rsidRPr="00A9139A">
        <w:rPr>
          <w:rFonts w:ascii="Helvetica LT Std" w:hAnsi="Helvetica LT Std"/>
        </w:rPr>
        <w:t xml:space="preserve"> según vamos analizando el informe, es la evidencia de que hay cuatro informes técnicos diferentes </w:t>
      </w:r>
      <w:r>
        <w:rPr>
          <w:rFonts w:ascii="Helvetica LT Std" w:hAnsi="Helvetica LT Std"/>
        </w:rPr>
        <w:t>–Gobierno de</w:t>
      </w:r>
      <w:r w:rsidRPr="00A9139A">
        <w:rPr>
          <w:rFonts w:ascii="Helvetica LT Std" w:hAnsi="Helvetica LT Std"/>
        </w:rPr>
        <w:t xml:space="preserve"> Navarra, </w:t>
      </w:r>
      <w:proofErr w:type="spellStart"/>
      <w:r>
        <w:rPr>
          <w:rFonts w:ascii="Helvetica LT Std" w:hAnsi="Helvetica LT Std"/>
        </w:rPr>
        <w:t>Mairaga</w:t>
      </w:r>
      <w:proofErr w:type="spellEnd"/>
      <w:r>
        <w:rPr>
          <w:rFonts w:ascii="Helvetica LT Std" w:hAnsi="Helvetica LT Std"/>
        </w:rPr>
        <w:t xml:space="preserve"> (2) y Cámara de Comptos–</w:t>
      </w:r>
      <w:r w:rsidRPr="00A9139A">
        <w:rPr>
          <w:rFonts w:ascii="Helvetica LT Std" w:hAnsi="Helvetica LT Std"/>
        </w:rPr>
        <w:t xml:space="preserve"> donde se dan costes y resultados diferentes e incluso contradictorios. </w:t>
      </w:r>
    </w:p>
    <w:p w:rsidR="004C31E8" w:rsidRPr="00A9139A" w:rsidRDefault="004C31E8" w:rsidP="004C31E8">
      <w:pPr>
        <w:rPr>
          <w:rFonts w:ascii="Helvetica LT Std" w:hAnsi="Helvetica LT Std"/>
        </w:rPr>
      </w:pPr>
      <w:r>
        <w:rPr>
          <w:rFonts w:ascii="Helvetica LT Std" w:hAnsi="Helvetica LT Std"/>
        </w:rPr>
        <w:t xml:space="preserve">– </w:t>
      </w:r>
      <w:r w:rsidRPr="00A9139A">
        <w:rPr>
          <w:rFonts w:ascii="Helvetica LT Std" w:hAnsi="Helvetica LT Std"/>
        </w:rPr>
        <w:t>En las página</w:t>
      </w:r>
      <w:r>
        <w:rPr>
          <w:rFonts w:ascii="Helvetica LT Std" w:hAnsi="Helvetica LT Std"/>
        </w:rPr>
        <w:t>s</w:t>
      </w:r>
      <w:r w:rsidRPr="00A9139A">
        <w:rPr>
          <w:rFonts w:ascii="Helvetica LT Std" w:hAnsi="Helvetica LT Std"/>
        </w:rPr>
        <w:t xml:space="preserve"> 23-24, así como en las conclusiones, se indica que la Asamblea se apartó de los informes técnicos y económicos de su personal sin que conste motivación suficiente de la decisión adoptada: </w:t>
      </w:r>
    </w:p>
    <w:p w:rsidR="004C31E8" w:rsidRPr="00A9139A" w:rsidRDefault="004C31E8" w:rsidP="004C31E8">
      <w:pPr>
        <w:rPr>
          <w:rFonts w:ascii="Helvetica LT Std" w:hAnsi="Helvetica LT Std"/>
        </w:rPr>
      </w:pPr>
      <w:r w:rsidRPr="00A9139A">
        <w:rPr>
          <w:rFonts w:ascii="Helvetica LT Std" w:hAnsi="Helvetica LT Std"/>
        </w:rPr>
        <w:t>Debemos decir que las personas que por razones políticas estamos en la Asamblea de la Mancomunidad no emitimos informes, sino que damos nuestra opinión que se recoge con cuent</w:t>
      </w:r>
      <w:r w:rsidRPr="00A9139A">
        <w:rPr>
          <w:rFonts w:ascii="Helvetica LT Std" w:hAnsi="Helvetica LT Std"/>
        </w:rPr>
        <w:t>a</w:t>
      </w:r>
      <w:r w:rsidRPr="00A9139A">
        <w:rPr>
          <w:rFonts w:ascii="Helvetica LT Std" w:hAnsi="Helvetica LT Std"/>
        </w:rPr>
        <w:t>gotas (lógicamente) en las actas de las asambleas, pero eso no quiere decir que no razonemos, analicemos y argumentemos los temas; de hecho sobre este tema se ha hablado, discutido, raz</w:t>
      </w:r>
      <w:r w:rsidRPr="00A9139A">
        <w:rPr>
          <w:rFonts w:ascii="Helvetica LT Std" w:hAnsi="Helvetica LT Std"/>
        </w:rPr>
        <w:t>o</w:t>
      </w:r>
      <w:r w:rsidRPr="00A9139A">
        <w:rPr>
          <w:rFonts w:ascii="Helvetica LT Std" w:hAnsi="Helvetica LT Std"/>
        </w:rPr>
        <w:t>nado y argumentado durante muchísimas horas en el año 2016. Se han hecho asambleas con pa</w:t>
      </w:r>
      <w:r w:rsidRPr="00A9139A">
        <w:rPr>
          <w:rFonts w:ascii="Helvetica LT Std" w:hAnsi="Helvetica LT Std"/>
        </w:rPr>
        <w:t>r</w:t>
      </w:r>
      <w:r w:rsidRPr="00A9139A">
        <w:rPr>
          <w:rFonts w:ascii="Helvetica LT Std" w:hAnsi="Helvetica LT Std"/>
        </w:rPr>
        <w:t xml:space="preserve">ticipación del público en general, con participación del servicio técnico del Gobierno de Navarra, reuniones con la CHE, etc. </w:t>
      </w:r>
    </w:p>
    <w:p w:rsidR="004C31E8" w:rsidRPr="00A9139A" w:rsidRDefault="004C31E8" w:rsidP="004C31E8">
      <w:pPr>
        <w:rPr>
          <w:rFonts w:ascii="Helvetica LT Std" w:hAnsi="Helvetica LT Std"/>
        </w:rPr>
      </w:pPr>
      <w:r w:rsidRPr="00A9139A">
        <w:rPr>
          <w:rFonts w:ascii="Helvetica LT Std" w:hAnsi="Helvetica LT Std"/>
        </w:rPr>
        <w:t>Por tanto es normal que no conste m</w:t>
      </w:r>
      <w:r>
        <w:rPr>
          <w:rFonts w:ascii="Helvetica LT Std" w:hAnsi="Helvetica LT Std"/>
        </w:rPr>
        <w:t>á</w:t>
      </w:r>
      <w:r w:rsidRPr="00A9139A">
        <w:rPr>
          <w:rFonts w:ascii="Helvetica LT Std" w:hAnsi="Helvetica LT Std"/>
        </w:rPr>
        <w:t>s información escrita que las pinceladas que el secr</w:t>
      </w:r>
      <w:r w:rsidRPr="00A9139A">
        <w:rPr>
          <w:rFonts w:ascii="Helvetica LT Std" w:hAnsi="Helvetica LT Std"/>
        </w:rPr>
        <w:t>e</w:t>
      </w:r>
      <w:r w:rsidRPr="00A9139A">
        <w:rPr>
          <w:rFonts w:ascii="Helvetica LT Std" w:hAnsi="Helvetica LT Std"/>
        </w:rPr>
        <w:t xml:space="preserve">tario detalla en las actas. Sin embargo motivaciones para tomar la decisión que se tomó, las hay, y como se verá en conclusiones, de calado, por lo menos según nuestra opinión. </w:t>
      </w:r>
    </w:p>
    <w:p w:rsidR="004C31E8" w:rsidRPr="00A9139A" w:rsidRDefault="004C31E8" w:rsidP="004C31E8">
      <w:pPr>
        <w:rPr>
          <w:rFonts w:ascii="Helvetica LT Std" w:hAnsi="Helvetica LT Std"/>
        </w:rPr>
      </w:pPr>
      <w:r w:rsidRPr="00A9139A">
        <w:rPr>
          <w:rFonts w:ascii="Helvetica LT Std" w:hAnsi="Helvetica LT Std"/>
        </w:rPr>
        <w:t>En el segundo párrafo se dice que la Mancomunidad ha proporcionado a la Cámara un e</w:t>
      </w:r>
      <w:r w:rsidRPr="00A9139A">
        <w:rPr>
          <w:rFonts w:ascii="Helvetica LT Std" w:hAnsi="Helvetica LT Std"/>
        </w:rPr>
        <w:t>s</w:t>
      </w:r>
      <w:r w:rsidRPr="00A9139A">
        <w:rPr>
          <w:rFonts w:ascii="Helvetica LT Std" w:hAnsi="Helvetica LT Std"/>
        </w:rPr>
        <w:t>tudio en el que se valoran las alternativas propuestas por la actualización del PD diciendo que es más rentable funcionar exclusivamente con una planta frente a un sistema mixto. Ese análisis solo sería válido para 2018, y siempre que la sequía fuera persistente y nos obligara a tener que utilizar ambos recursos al 60% 40% porque a partir de que empecemos a suministrar al sur sería similar o algo más económico suministrar de ambos recursos como se detalla en el análisis que hemos ll</w:t>
      </w:r>
      <w:r w:rsidRPr="00A9139A">
        <w:rPr>
          <w:rFonts w:ascii="Helvetica LT Std" w:hAnsi="Helvetica LT Std"/>
        </w:rPr>
        <w:t>e</w:t>
      </w:r>
      <w:r w:rsidRPr="00A9139A">
        <w:rPr>
          <w:rFonts w:ascii="Helvetica LT Std" w:hAnsi="Helvetica LT Std"/>
        </w:rPr>
        <w:t>vado a cabo y que adjuntamos. No tenemos cualificación técnica pero entendemos que en ese momento ambas plantas deberán trabajar a tope de su capacidad para garantizar los 200 1/s que se necesitarán y hemos preparado los datos en base a ello dando un resultado similar o liger</w:t>
      </w:r>
      <w:r w:rsidRPr="00A9139A">
        <w:rPr>
          <w:rFonts w:ascii="Helvetica LT Std" w:hAnsi="Helvetica LT Std"/>
        </w:rPr>
        <w:t>a</w:t>
      </w:r>
      <w:r w:rsidRPr="00A9139A">
        <w:rPr>
          <w:rFonts w:ascii="Helvetica LT Std" w:hAnsi="Helvetica LT Std"/>
        </w:rPr>
        <w:t xml:space="preserve">mente favorable a la utilización mixta. (Se adjunta dicho análisis). </w:t>
      </w:r>
    </w:p>
    <w:p w:rsidR="004C31E8" w:rsidRPr="00A9139A" w:rsidRDefault="004C31E8" w:rsidP="004C31E8">
      <w:pPr>
        <w:rPr>
          <w:rFonts w:ascii="Helvetica LT Std" w:hAnsi="Helvetica LT Std"/>
        </w:rPr>
      </w:pPr>
      <w:r w:rsidRPr="00A9139A">
        <w:rPr>
          <w:rFonts w:ascii="Helvetica LT Std" w:hAnsi="Helvetica LT Std"/>
        </w:rPr>
        <w:t xml:space="preserve">En esa misma página se indica que en el análisis del interventor la decisión tomada por la asamblea suponía aumentar las tarifas en un 2,98% en 2017 y un 5,9% en 2018 y que Comptos encuentra errores en dichos datos dejando los incrementos en 2,65% y 5,24%. </w:t>
      </w:r>
    </w:p>
    <w:p w:rsidR="004C31E8" w:rsidRPr="00A9139A" w:rsidRDefault="004C31E8" w:rsidP="004C31E8">
      <w:pPr>
        <w:rPr>
          <w:rFonts w:ascii="Helvetica LT Std" w:hAnsi="Helvetica LT Std"/>
        </w:rPr>
      </w:pPr>
      <w:r w:rsidRPr="00A9139A">
        <w:rPr>
          <w:rFonts w:ascii="Helvetica LT Std" w:hAnsi="Helvetica LT Std"/>
        </w:rPr>
        <w:lastRenderedPageBreak/>
        <w:t>El hecho es que se han tenido en cuenta partidas que nada tienen que ver con la decisión de la asamblea tales como subida de sueldos del personal, gastos financier</w:t>
      </w:r>
      <w:r>
        <w:rPr>
          <w:rFonts w:ascii="Helvetica LT Std" w:hAnsi="Helvetica LT Std"/>
        </w:rPr>
        <w:t>os, amortización de inversiones</w:t>
      </w:r>
      <w:r w:rsidRPr="00A9139A">
        <w:rPr>
          <w:rFonts w:ascii="Helvetica LT Std" w:hAnsi="Helvetica LT Std"/>
        </w:rPr>
        <w:t xml:space="preserve">... </w:t>
      </w:r>
    </w:p>
    <w:p w:rsidR="004C31E8" w:rsidRPr="00A9139A" w:rsidRDefault="004C31E8" w:rsidP="004C31E8">
      <w:pPr>
        <w:rPr>
          <w:rFonts w:ascii="Helvetica LT Std" w:hAnsi="Helvetica LT Std"/>
        </w:rPr>
      </w:pPr>
      <w:r>
        <w:rPr>
          <w:rFonts w:ascii="Helvetica LT Std" w:hAnsi="Helvetica LT Std"/>
        </w:rPr>
        <w:t xml:space="preserve">– </w:t>
      </w:r>
      <w:r w:rsidRPr="00A9139A">
        <w:rPr>
          <w:rFonts w:ascii="Helvetica LT Std" w:hAnsi="Helvetica LT Std"/>
        </w:rPr>
        <w:t>En la página 25, se indica que debería de haberse analizado la posibilidad de mantener el embalse para otros usos. Bien, el hecho es que en las reuniones mantenidas con Gobierno de N</w:t>
      </w:r>
      <w:r w:rsidRPr="00A9139A">
        <w:rPr>
          <w:rFonts w:ascii="Helvetica LT Std" w:hAnsi="Helvetica LT Std"/>
        </w:rPr>
        <w:t>a</w:t>
      </w:r>
      <w:r w:rsidRPr="00A9139A">
        <w:rPr>
          <w:rFonts w:ascii="Helvetica LT Std" w:hAnsi="Helvetica LT Std"/>
        </w:rPr>
        <w:t>varra y la CHE cuando sugerimos esa posibilidad, la de mantener el recurso hídrico como reserva para abastecimiento pero utilizándolo mientras para usos deportivos, de ocio, etc</w:t>
      </w:r>
      <w:r>
        <w:rPr>
          <w:rFonts w:ascii="Helvetica LT Std" w:hAnsi="Helvetica LT Std"/>
        </w:rPr>
        <w:t>.</w:t>
      </w:r>
      <w:r w:rsidRPr="00A9139A">
        <w:rPr>
          <w:rFonts w:ascii="Helvetica LT Std" w:hAnsi="Helvetica LT Std"/>
        </w:rPr>
        <w:t>, que podría h</w:t>
      </w:r>
      <w:r w:rsidRPr="00A9139A">
        <w:rPr>
          <w:rFonts w:ascii="Helvetica LT Std" w:hAnsi="Helvetica LT Std"/>
        </w:rPr>
        <w:t>a</w:t>
      </w:r>
      <w:r w:rsidRPr="00A9139A">
        <w:rPr>
          <w:rFonts w:ascii="Helvetica LT Std" w:hAnsi="Helvetica LT Std"/>
        </w:rPr>
        <w:t>ber sido una de las posibilidades, NUNCA NADIE nos dio ninguna esperanza fehaciente de que esos otros usos se asumieran, y la única respuesta que tuvimos fue de la CHE diciendo que si no asumíamos el coste de mantenimiento del embalse, lo vaciarían. De hecho, desde el Gobierno de Navarra, el actual Director del Servicio de Economía Circular y Agua, D. C</w:t>
      </w:r>
      <w:r>
        <w:rPr>
          <w:rFonts w:ascii="Helvetica LT Std" w:hAnsi="Helvetica LT Std"/>
        </w:rPr>
        <w:t>é</w:t>
      </w:r>
      <w:r w:rsidRPr="00A9139A">
        <w:rPr>
          <w:rFonts w:ascii="Helvetica LT Std" w:hAnsi="Helvetica LT Std"/>
        </w:rPr>
        <w:t>sar Pérez, en su exp</w:t>
      </w:r>
      <w:r w:rsidRPr="00A9139A">
        <w:rPr>
          <w:rFonts w:ascii="Helvetica LT Std" w:hAnsi="Helvetica LT Std"/>
        </w:rPr>
        <w:t>o</w:t>
      </w:r>
      <w:r w:rsidRPr="00A9139A">
        <w:rPr>
          <w:rFonts w:ascii="Helvetica LT Std" w:hAnsi="Helvetica LT Std"/>
        </w:rPr>
        <w:t>sición en la asamblea ciudadana llevada a cabo en Tafalla en otoño de 2016, dijo que era conv</w:t>
      </w:r>
      <w:r w:rsidRPr="00A9139A">
        <w:rPr>
          <w:rFonts w:ascii="Helvetica LT Std" w:hAnsi="Helvetica LT Std"/>
        </w:rPr>
        <w:t>e</w:t>
      </w:r>
      <w:r w:rsidRPr="00A9139A">
        <w:rPr>
          <w:rFonts w:ascii="Helvetica LT Std" w:hAnsi="Helvetica LT Std"/>
        </w:rPr>
        <w:t xml:space="preserve">niente mantener el embalse de </w:t>
      </w:r>
      <w:proofErr w:type="spellStart"/>
      <w:r w:rsidRPr="00A9139A">
        <w:rPr>
          <w:rFonts w:ascii="Helvetica LT Std" w:hAnsi="Helvetica LT Std"/>
        </w:rPr>
        <w:t>Mairaga</w:t>
      </w:r>
      <w:proofErr w:type="spellEnd"/>
      <w:r w:rsidRPr="00A9139A">
        <w:rPr>
          <w:rFonts w:ascii="Helvetica LT Std" w:hAnsi="Helvetica LT Std"/>
        </w:rPr>
        <w:t xml:space="preserve"> como recurso hídrico estratégico. </w:t>
      </w:r>
    </w:p>
    <w:p w:rsidR="004C31E8" w:rsidRPr="0076761E" w:rsidRDefault="004C31E8" w:rsidP="004C31E8">
      <w:pPr>
        <w:rPr>
          <w:rFonts w:ascii="Helvetica LT Std" w:hAnsi="Helvetica LT Std"/>
          <w:i/>
        </w:rPr>
      </w:pPr>
      <w:r w:rsidRPr="0076761E">
        <w:rPr>
          <w:rFonts w:ascii="Helvetica LT Std" w:hAnsi="Helvetica LT Std"/>
          <w:i/>
        </w:rPr>
        <w:t>Conclusiones</w:t>
      </w:r>
    </w:p>
    <w:p w:rsidR="004C31E8" w:rsidRPr="0076761E" w:rsidRDefault="004C31E8" w:rsidP="004C31E8">
      <w:pPr>
        <w:rPr>
          <w:rFonts w:ascii="Helvetica LT Std" w:hAnsi="Helvetica LT Std"/>
          <w:i/>
        </w:rPr>
      </w:pPr>
      <w:r w:rsidRPr="0076761E">
        <w:rPr>
          <w:rFonts w:ascii="Helvetica LT Std" w:hAnsi="Helvetica LT Std"/>
          <w:i/>
        </w:rPr>
        <w:t xml:space="preserve">1. El mantenimiento del embalse de </w:t>
      </w:r>
      <w:proofErr w:type="spellStart"/>
      <w:r w:rsidRPr="0076761E">
        <w:rPr>
          <w:rFonts w:ascii="Helvetica LT Std" w:hAnsi="Helvetica LT Std"/>
          <w:i/>
        </w:rPr>
        <w:t>Mairaga</w:t>
      </w:r>
      <w:proofErr w:type="spellEnd"/>
      <w:r w:rsidRPr="0076761E">
        <w:rPr>
          <w:rFonts w:ascii="Helvetica LT Std" w:hAnsi="Helvetica LT Std"/>
          <w:i/>
        </w:rPr>
        <w:t xml:space="preserve"> supone una reserva estratégica de agua de calidad, más teniendo en cuenta que las garantías del Canal de Navarra en su desarrollo co</w:t>
      </w:r>
      <w:r w:rsidRPr="0076761E">
        <w:rPr>
          <w:rFonts w:ascii="Helvetica LT Std" w:hAnsi="Helvetica LT Std"/>
          <w:i/>
        </w:rPr>
        <w:t>m</w:t>
      </w:r>
      <w:r w:rsidRPr="0076761E">
        <w:rPr>
          <w:rFonts w:ascii="Helvetica LT Std" w:hAnsi="Helvetica LT Std"/>
          <w:i/>
        </w:rPr>
        <w:t xml:space="preserve">pleto serán probablemente muy justas. Además, el coste de demolición del embalse y la planta de </w:t>
      </w:r>
      <w:proofErr w:type="spellStart"/>
      <w:r>
        <w:rPr>
          <w:rFonts w:ascii="Helvetica LT Std" w:hAnsi="Helvetica LT Std"/>
          <w:i/>
        </w:rPr>
        <w:t>Olóriz</w:t>
      </w:r>
      <w:proofErr w:type="spellEnd"/>
      <w:r w:rsidRPr="0076761E">
        <w:rPr>
          <w:rFonts w:ascii="Helvetica LT Std" w:hAnsi="Helvetica LT Std"/>
          <w:i/>
        </w:rPr>
        <w:t xml:space="preserve"> serían importantes y deben tenerse en cuenta </w:t>
      </w:r>
    </w:p>
    <w:p w:rsidR="004C31E8" w:rsidRPr="00A9139A" w:rsidRDefault="004C31E8" w:rsidP="004C31E8">
      <w:pPr>
        <w:rPr>
          <w:rFonts w:ascii="Helvetica LT Std" w:hAnsi="Helvetica LT Std"/>
        </w:rPr>
      </w:pPr>
      <w:r w:rsidRPr="00A9139A">
        <w:rPr>
          <w:rFonts w:ascii="Helvetica LT Std" w:hAnsi="Helvetica LT Std"/>
        </w:rPr>
        <w:t>También es interesante resaltar que durante las deliberaciones se publicó en prensa que el Canal iba a subir un 60% sus tarifas lo que hacía que los estudios pudieran variar radica</w:t>
      </w:r>
      <w:r>
        <w:rPr>
          <w:rFonts w:ascii="Helvetica LT Std" w:hAnsi="Helvetica LT Std"/>
        </w:rPr>
        <w:t>lmente a corto plazo haciendo aú</w:t>
      </w:r>
      <w:r w:rsidRPr="00A9139A">
        <w:rPr>
          <w:rFonts w:ascii="Helvetica LT Std" w:hAnsi="Helvetica LT Std"/>
        </w:rPr>
        <w:t>n m</w:t>
      </w:r>
      <w:r>
        <w:rPr>
          <w:rFonts w:ascii="Helvetica LT Std" w:hAnsi="Helvetica LT Std"/>
        </w:rPr>
        <w:t>á</w:t>
      </w:r>
      <w:r w:rsidRPr="00A9139A">
        <w:rPr>
          <w:rFonts w:ascii="Helvetica LT Std" w:hAnsi="Helvetica LT Std"/>
        </w:rPr>
        <w:t xml:space="preserve">s favorable la alternativa elegida por la Asamblea. De la misma forma, hay que tener en consideración que una presa tiene una vida útil de 30 años, edad actual de la presa de </w:t>
      </w:r>
      <w:proofErr w:type="spellStart"/>
      <w:r w:rsidRPr="00A9139A">
        <w:rPr>
          <w:rFonts w:ascii="Helvetica LT Std" w:hAnsi="Helvetica LT Std"/>
        </w:rPr>
        <w:t>Mairaga</w:t>
      </w:r>
      <w:proofErr w:type="spellEnd"/>
      <w:r w:rsidRPr="00A9139A">
        <w:rPr>
          <w:rFonts w:ascii="Helvetica LT Std" w:hAnsi="Helvetica LT Std"/>
        </w:rPr>
        <w:t>, sino del doble o incluso el triple, por lo que resulta inadmisible vaciarla o de</w:t>
      </w:r>
      <w:r w:rsidRPr="00A9139A">
        <w:rPr>
          <w:rFonts w:ascii="Helvetica LT Std" w:hAnsi="Helvetica LT Std"/>
        </w:rPr>
        <w:t>s</w:t>
      </w:r>
      <w:r w:rsidRPr="00A9139A">
        <w:rPr>
          <w:rFonts w:ascii="Helvetica LT Std" w:hAnsi="Helvetica LT Std"/>
        </w:rPr>
        <w:t>montarla no habiendo cumplido ni la mitad de su vida útil y ya se han visto últimamente demasi</w:t>
      </w:r>
      <w:r w:rsidRPr="00A9139A">
        <w:rPr>
          <w:rFonts w:ascii="Helvetica LT Std" w:hAnsi="Helvetica LT Std"/>
        </w:rPr>
        <w:t>a</w:t>
      </w:r>
      <w:r w:rsidRPr="00A9139A">
        <w:rPr>
          <w:rFonts w:ascii="Helvetica LT Std" w:hAnsi="Helvetica LT Std"/>
        </w:rPr>
        <w:t xml:space="preserve">dos casos de despilfarro en infraestructuras en esta Comunidad Foral para llevar a cabo uno más. </w:t>
      </w:r>
    </w:p>
    <w:p w:rsidR="004C31E8" w:rsidRPr="00A9139A" w:rsidRDefault="004C31E8" w:rsidP="004C31E8">
      <w:pPr>
        <w:rPr>
          <w:rFonts w:ascii="Helvetica LT Std" w:hAnsi="Helvetica LT Std"/>
        </w:rPr>
      </w:pPr>
      <w:r>
        <w:rPr>
          <w:rFonts w:ascii="Helvetica LT Std" w:hAnsi="Helvetica LT Std"/>
        </w:rPr>
        <w:t xml:space="preserve">– </w:t>
      </w:r>
      <w:r w:rsidRPr="00A9139A">
        <w:rPr>
          <w:rFonts w:ascii="Helvetica LT Std" w:hAnsi="Helvetica LT Std"/>
        </w:rPr>
        <w:t xml:space="preserve">A tener en cuenta también es la situación </w:t>
      </w:r>
      <w:r>
        <w:rPr>
          <w:rFonts w:ascii="Helvetica LT Std" w:hAnsi="Helvetica LT Std"/>
        </w:rPr>
        <w:t>“</w:t>
      </w:r>
      <w:r w:rsidRPr="00A9139A">
        <w:rPr>
          <w:rFonts w:ascii="Helvetica LT Std" w:hAnsi="Helvetica LT Std"/>
        </w:rPr>
        <w:t>grave</w:t>
      </w:r>
      <w:r>
        <w:rPr>
          <w:rFonts w:ascii="Helvetica LT Std" w:hAnsi="Helvetica LT Std"/>
        </w:rPr>
        <w:t>”</w:t>
      </w:r>
      <w:r w:rsidRPr="00A9139A">
        <w:rPr>
          <w:rFonts w:ascii="Helvetica LT Std" w:hAnsi="Helvetica LT Std"/>
        </w:rPr>
        <w:t xml:space="preserve"> en la que se nos dijo que estaba el e</w:t>
      </w:r>
      <w:r w:rsidRPr="00A9139A">
        <w:rPr>
          <w:rFonts w:ascii="Helvetica LT Std" w:hAnsi="Helvetica LT Std"/>
        </w:rPr>
        <w:t>m</w:t>
      </w:r>
      <w:r w:rsidRPr="00A9139A">
        <w:rPr>
          <w:rFonts w:ascii="Helvetica LT Std" w:hAnsi="Helvetica LT Std"/>
        </w:rPr>
        <w:t>balse, hecho este que nunca ha sido demostrado y que finalmente no era cierto (a la vista de los hechos y de lo comentado por la CHE al respecto en reunión mantenida con ellos). Definitivame</w:t>
      </w:r>
      <w:r w:rsidRPr="00A9139A">
        <w:rPr>
          <w:rFonts w:ascii="Helvetica LT Std" w:hAnsi="Helvetica LT Std"/>
        </w:rPr>
        <w:t>n</w:t>
      </w:r>
      <w:r w:rsidRPr="00A9139A">
        <w:rPr>
          <w:rFonts w:ascii="Helvetica LT Std" w:hAnsi="Helvetica LT Std"/>
        </w:rPr>
        <w:t xml:space="preserve">te y a la vista de los trabajos realizados en el embalse de </w:t>
      </w:r>
      <w:proofErr w:type="spellStart"/>
      <w:r w:rsidRPr="00A9139A">
        <w:rPr>
          <w:rFonts w:ascii="Helvetica LT Std" w:hAnsi="Helvetica LT Std"/>
        </w:rPr>
        <w:t>Ol</w:t>
      </w:r>
      <w:r>
        <w:rPr>
          <w:rFonts w:ascii="Helvetica LT Std" w:hAnsi="Helvetica LT Std"/>
        </w:rPr>
        <w:t>ó</w:t>
      </w:r>
      <w:r w:rsidRPr="00A9139A">
        <w:rPr>
          <w:rFonts w:ascii="Helvetica LT Std" w:hAnsi="Helvetica LT Std"/>
        </w:rPr>
        <w:t>riz</w:t>
      </w:r>
      <w:proofErr w:type="spellEnd"/>
      <w:r w:rsidRPr="00A9139A">
        <w:rPr>
          <w:rFonts w:ascii="Helvetica LT Std" w:hAnsi="Helvetica LT Std"/>
        </w:rPr>
        <w:t xml:space="preserve"> para su adecentamiento y puesta a punto, este embalse no tenía ningún problema grave y sí, probablemente, una falta de atención y mantenimiento preocupante, ant</w:t>
      </w:r>
      <w:r>
        <w:rPr>
          <w:rFonts w:ascii="Helvetica LT Std" w:hAnsi="Helvetica LT Std"/>
        </w:rPr>
        <w:t>e lo que nos preguntamos...</w:t>
      </w:r>
    </w:p>
    <w:p w:rsidR="004C31E8" w:rsidRPr="006A7FE0" w:rsidRDefault="004C31E8" w:rsidP="004C31E8">
      <w:pPr>
        <w:pStyle w:val="Prrafodelista"/>
        <w:numPr>
          <w:ilvl w:val="0"/>
          <w:numId w:val="22"/>
        </w:numPr>
        <w:spacing w:after="200" w:line="276" w:lineRule="auto"/>
        <w:jc w:val="left"/>
        <w:rPr>
          <w:rFonts w:ascii="Helvetica LT Std" w:hAnsi="Helvetica LT Std"/>
        </w:rPr>
      </w:pPr>
      <w:proofErr w:type="gramStart"/>
      <w:r w:rsidRPr="006A7FE0">
        <w:rPr>
          <w:rFonts w:ascii="Helvetica LT Std" w:hAnsi="Helvetica LT Std"/>
        </w:rPr>
        <w:t>,¿</w:t>
      </w:r>
      <w:proofErr w:type="gramEnd"/>
      <w:r w:rsidRPr="006A7FE0">
        <w:rPr>
          <w:rFonts w:ascii="Helvetica LT Std" w:hAnsi="Helvetica LT Std"/>
        </w:rPr>
        <w:t xml:space="preserve">Quién debía haber mantenido en condiciones ese embalse? </w:t>
      </w:r>
    </w:p>
    <w:p w:rsidR="004C31E8" w:rsidRPr="006A7FE0" w:rsidRDefault="004C31E8" w:rsidP="004C31E8">
      <w:pPr>
        <w:pStyle w:val="Prrafodelista"/>
        <w:numPr>
          <w:ilvl w:val="0"/>
          <w:numId w:val="22"/>
        </w:numPr>
        <w:spacing w:after="200" w:line="276" w:lineRule="auto"/>
        <w:jc w:val="left"/>
        <w:rPr>
          <w:rFonts w:ascii="Helvetica LT Std" w:hAnsi="Helvetica LT Std"/>
        </w:rPr>
      </w:pPr>
      <w:proofErr w:type="gramStart"/>
      <w:r w:rsidRPr="006A7FE0">
        <w:rPr>
          <w:rFonts w:ascii="Helvetica LT Std" w:hAnsi="Helvetica LT Std"/>
        </w:rPr>
        <w:t>.¿</w:t>
      </w:r>
      <w:proofErr w:type="gramEnd"/>
      <w:r w:rsidRPr="006A7FE0">
        <w:rPr>
          <w:rFonts w:ascii="Helvetica LT Std" w:hAnsi="Helvetica LT Std"/>
        </w:rPr>
        <w:t xml:space="preserve">Qué responsabilidad hay en no haber mantenido el embalse de </w:t>
      </w:r>
      <w:proofErr w:type="spellStart"/>
      <w:r>
        <w:rPr>
          <w:rFonts w:ascii="Helvetica LT Std" w:hAnsi="Helvetica LT Std"/>
        </w:rPr>
        <w:t>Olóriz</w:t>
      </w:r>
      <w:proofErr w:type="spellEnd"/>
      <w:r w:rsidRPr="006A7FE0">
        <w:rPr>
          <w:rFonts w:ascii="Helvetica LT Std" w:hAnsi="Helvetica LT Std"/>
        </w:rPr>
        <w:t xml:space="preserve"> en condiciones? </w:t>
      </w:r>
    </w:p>
    <w:p w:rsidR="004C31E8" w:rsidRPr="00A9139A" w:rsidRDefault="004C31E8" w:rsidP="004C31E8">
      <w:pPr>
        <w:rPr>
          <w:rFonts w:ascii="Helvetica LT Std" w:hAnsi="Helvetica LT Std"/>
        </w:rPr>
      </w:pPr>
      <w:r w:rsidRPr="00A9139A">
        <w:rPr>
          <w:rFonts w:ascii="Helvetica LT Std" w:hAnsi="Helvetica LT Std"/>
        </w:rPr>
        <w:t>Y siguiendo con nuestra argumentación, debemos recalcar que hay aspectos fundamentales que, en nuestra opinión, algunos informes técnicos no han tenido en cuenta, como puede ser el valor, intangible pero cada vez más importante, de tener más de un recurso hídrico para así gara</w:t>
      </w:r>
      <w:r w:rsidRPr="00A9139A">
        <w:rPr>
          <w:rFonts w:ascii="Helvetica LT Std" w:hAnsi="Helvetica LT Std"/>
        </w:rPr>
        <w:t>n</w:t>
      </w:r>
      <w:r w:rsidRPr="00A9139A">
        <w:rPr>
          <w:rFonts w:ascii="Helvetica LT Std" w:hAnsi="Helvetica LT Std"/>
        </w:rPr>
        <w:t xml:space="preserve">tizar el suministro de agua potable en casos de problemas en alguno de ellos. </w:t>
      </w:r>
    </w:p>
    <w:p w:rsidR="004C31E8" w:rsidRPr="00A9139A" w:rsidRDefault="004C31E8" w:rsidP="004C31E8">
      <w:pPr>
        <w:rPr>
          <w:rFonts w:ascii="Helvetica LT Std" w:hAnsi="Helvetica LT Std"/>
        </w:rPr>
      </w:pPr>
      <w:r w:rsidRPr="00A9139A">
        <w:rPr>
          <w:rFonts w:ascii="Helvetica LT Std" w:hAnsi="Helvetica LT Std"/>
        </w:rPr>
        <w:t>Tampoco se han tenido en cuenta valores medioambientales, como es el hecho de vaciar un embalse; eso generaría un paisaje de miles de toneladas de barro y un enorme muro. Retirar el lodo y recuperar la zona significarían cientos de miles de euros y desmontar la presa cerca de 1.000.000 €, que no lo asumiría Mancomunidad pero sí las arcas públicas. También debemos r</w:t>
      </w:r>
      <w:r w:rsidRPr="00A9139A">
        <w:rPr>
          <w:rFonts w:ascii="Helvetica LT Std" w:hAnsi="Helvetica LT Std"/>
        </w:rPr>
        <w:t>e</w:t>
      </w:r>
      <w:r w:rsidRPr="00A9139A">
        <w:rPr>
          <w:rFonts w:ascii="Helvetica LT Std" w:hAnsi="Helvetica LT Std"/>
        </w:rPr>
        <w:t>marcar algo muy importante que no se ha tenido en cuenta en los informes; dentro de un año o año y medio habrá que empezar a abastecer a la región sur de la mancomunidad, lo que signifi</w:t>
      </w:r>
      <w:r>
        <w:rPr>
          <w:rFonts w:ascii="Helvetica LT Std" w:hAnsi="Helvetica LT Std"/>
        </w:rPr>
        <w:t>ca disponer de un caudal de 200 l</w:t>
      </w:r>
      <w:r w:rsidRPr="00A9139A">
        <w:rPr>
          <w:rFonts w:ascii="Helvetica LT Std" w:hAnsi="Helvetica LT Std"/>
        </w:rPr>
        <w:t>/s y para ello, si no se cuenta con el embalse, es necesario con</w:t>
      </w:r>
      <w:r w:rsidRPr="00A9139A">
        <w:rPr>
          <w:rFonts w:ascii="Helvetica LT Std" w:hAnsi="Helvetica LT Std"/>
        </w:rPr>
        <w:t>s</w:t>
      </w:r>
      <w:r w:rsidRPr="00A9139A">
        <w:rPr>
          <w:rFonts w:ascii="Helvetica LT Std" w:hAnsi="Helvetica LT Std"/>
        </w:rPr>
        <w:t xml:space="preserve">truir una nueva fase de La Pedrera, que cuesta 1.000.000 €, de los cuales 20% lo asumiría la mancomunidad, es decir 10.000€/año más de amortización y el restante 80% lo asumiría toda la ciudadanía navarra. </w:t>
      </w:r>
    </w:p>
    <w:p w:rsidR="004C31E8" w:rsidRPr="00A9139A" w:rsidRDefault="004C31E8" w:rsidP="004C31E8">
      <w:pPr>
        <w:rPr>
          <w:rFonts w:ascii="Helvetica LT Std" w:hAnsi="Helvetica LT Std"/>
        </w:rPr>
      </w:pPr>
      <w:r w:rsidRPr="00A9139A">
        <w:rPr>
          <w:rFonts w:ascii="Helvetica LT Std" w:hAnsi="Helvetica LT Std"/>
        </w:rPr>
        <w:t xml:space="preserve">En esa misma página se indica que en el proceso de negociación que está llevando a cabo </w:t>
      </w:r>
      <w:proofErr w:type="spellStart"/>
      <w:r w:rsidRPr="00A9139A">
        <w:rPr>
          <w:rFonts w:ascii="Helvetica LT Std" w:hAnsi="Helvetica LT Std"/>
        </w:rPr>
        <w:t>Mairaga</w:t>
      </w:r>
      <w:proofErr w:type="spellEnd"/>
      <w:r w:rsidRPr="00A9139A">
        <w:rPr>
          <w:rFonts w:ascii="Helvetica LT Std" w:hAnsi="Helvetica LT Std"/>
        </w:rPr>
        <w:t xml:space="preserve"> y CANASA para empezar a utilizar </w:t>
      </w:r>
      <w:r>
        <w:rPr>
          <w:rFonts w:ascii="Helvetica LT Std" w:hAnsi="Helvetica LT Std"/>
        </w:rPr>
        <w:t xml:space="preserve">La Pedrera </w:t>
      </w:r>
      <w:r w:rsidRPr="00A9139A">
        <w:rPr>
          <w:rFonts w:ascii="Helvetica LT Std" w:hAnsi="Helvetica LT Std"/>
        </w:rPr>
        <w:t>como emergencia conlleva una incert</w:t>
      </w:r>
      <w:r w:rsidRPr="00A9139A">
        <w:rPr>
          <w:rFonts w:ascii="Helvetica LT Std" w:hAnsi="Helvetica LT Std"/>
        </w:rPr>
        <w:t>i</w:t>
      </w:r>
      <w:r w:rsidRPr="00A9139A">
        <w:rPr>
          <w:rFonts w:ascii="Helvetica LT Std" w:hAnsi="Helvetica LT Std"/>
        </w:rPr>
        <w:t xml:space="preserve">dumbre en cuanto al precio. Debemos decir que desde finales de noviembre conocemos el precio </w:t>
      </w:r>
      <w:r w:rsidRPr="00A9139A">
        <w:rPr>
          <w:rFonts w:ascii="Helvetica LT Std" w:hAnsi="Helvetica LT Std"/>
        </w:rPr>
        <w:lastRenderedPageBreak/>
        <w:t>que se nos cobrará cada mes que la utilicemos: el doble del canon anual estándar dividido entre doce; es decir, unos 13.000 €/mes además del coste del m</w:t>
      </w:r>
      <w:r w:rsidRPr="000822E9">
        <w:rPr>
          <w:rFonts w:ascii="Helvetica LT Std" w:hAnsi="Helvetica LT Std"/>
          <w:vertAlign w:val="superscript"/>
        </w:rPr>
        <w:t>3</w:t>
      </w:r>
      <w:r w:rsidRPr="00A9139A">
        <w:rPr>
          <w:rFonts w:ascii="Helvetica LT Std" w:hAnsi="Helvetica LT Std"/>
        </w:rPr>
        <w:t xml:space="preserve"> estándar, como ya hemos explicado previamente en el primer párrafo de la página 2. </w:t>
      </w:r>
    </w:p>
    <w:p w:rsidR="004C31E8" w:rsidRPr="00A9139A" w:rsidRDefault="004C31E8" w:rsidP="004C31E8">
      <w:pPr>
        <w:rPr>
          <w:rFonts w:ascii="Helvetica LT Std" w:hAnsi="Helvetica LT Std"/>
        </w:rPr>
      </w:pPr>
      <w:r w:rsidRPr="00A9139A">
        <w:rPr>
          <w:rFonts w:ascii="Helvetica LT Std" w:hAnsi="Helvetica LT Std"/>
        </w:rPr>
        <w:t>Conclusiones: Podemos concluir y concluimos que la decisión fue muy acertada, una dec</w:t>
      </w:r>
      <w:r w:rsidRPr="00A9139A">
        <w:rPr>
          <w:rFonts w:ascii="Helvetica LT Std" w:hAnsi="Helvetica LT Std"/>
        </w:rPr>
        <w:t>i</w:t>
      </w:r>
      <w:r w:rsidRPr="00A9139A">
        <w:rPr>
          <w:rFonts w:ascii="Helvetica LT Std" w:hAnsi="Helvetica LT Std"/>
        </w:rPr>
        <w:t xml:space="preserve">sión muy pensada, analizada y argumentada tomada por la gran mayoría de la Asamblea de </w:t>
      </w:r>
      <w:proofErr w:type="spellStart"/>
      <w:r w:rsidRPr="00A9139A">
        <w:rPr>
          <w:rFonts w:ascii="Helvetica LT Std" w:hAnsi="Helvetica LT Std"/>
        </w:rPr>
        <w:t>Ma</w:t>
      </w:r>
      <w:r w:rsidRPr="00A9139A">
        <w:rPr>
          <w:rFonts w:ascii="Helvetica LT Std" w:hAnsi="Helvetica LT Std"/>
        </w:rPr>
        <w:t>i</w:t>
      </w:r>
      <w:r w:rsidRPr="00A9139A">
        <w:rPr>
          <w:rFonts w:ascii="Helvetica LT Std" w:hAnsi="Helvetica LT Std"/>
        </w:rPr>
        <w:t>raga</w:t>
      </w:r>
      <w:proofErr w:type="spellEnd"/>
      <w:r w:rsidRPr="00A9139A">
        <w:rPr>
          <w:rFonts w:ascii="Helvetica LT Std" w:hAnsi="Helvetica LT Std"/>
        </w:rPr>
        <w:t>, pues entre otras cosas nos ha permitido ahorrar a las arcas de la Mancomunidad, y por tanto a las personas abonadas muchas decenas de miles de€ (incluso en comparación con el análisis de la Cámara de Comptos) y no habernos desprendido de un recurso hídrico importante y ubicado en la comarca, opinión compartida por los técnicos del gobierno de Navarra. Añadiremos que t</w:t>
      </w:r>
      <w:r w:rsidRPr="00A9139A">
        <w:rPr>
          <w:rFonts w:ascii="Helvetica LT Std" w:hAnsi="Helvetica LT Std"/>
        </w:rPr>
        <w:t>u</w:t>
      </w:r>
      <w:r w:rsidRPr="00A9139A">
        <w:rPr>
          <w:rFonts w:ascii="Helvetica LT Std" w:hAnsi="Helvetica LT Std"/>
        </w:rPr>
        <w:t>vimos muy en cuenta los informes técnicos-económicos, de hecho fue nuestra herramienta princ</w:t>
      </w:r>
      <w:r w:rsidRPr="00A9139A">
        <w:rPr>
          <w:rFonts w:ascii="Helvetica LT Std" w:hAnsi="Helvetica LT Std"/>
        </w:rPr>
        <w:t>i</w:t>
      </w:r>
      <w:r w:rsidRPr="00A9139A">
        <w:rPr>
          <w:rFonts w:ascii="Helvetica LT Std" w:hAnsi="Helvetica LT Std"/>
        </w:rPr>
        <w:t xml:space="preserve">pal de análisis pero también podemos concluir y concluimos que como se ha podido comprobar: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sidRPr="000822E9">
        <w:rPr>
          <w:rFonts w:ascii="Helvetica LT Std" w:hAnsi="Helvetica LT Std"/>
        </w:rPr>
        <w:t xml:space="preserve">Los informes técnicos no son infalibles.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sidRPr="000822E9">
        <w:rPr>
          <w:rFonts w:ascii="Helvetica LT Std" w:hAnsi="Helvetica LT Std"/>
        </w:rPr>
        <w:t xml:space="preserve">Hay valores no tangibles que no tienen en cuenta.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sidRPr="000822E9">
        <w:rPr>
          <w:rFonts w:ascii="Helvetica LT Std" w:hAnsi="Helvetica LT Std"/>
        </w:rPr>
        <w:t xml:space="preserve">Entre los cuatro informes que se han barajado hay diferencias en sus resultados e incluso se contradicen.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sidRPr="000822E9">
        <w:rPr>
          <w:rFonts w:ascii="Helvetica LT Std" w:hAnsi="Helvetica LT Std"/>
        </w:rPr>
        <w:t xml:space="preserve">En el momento de la decisión se barajaba una subida de tarifas de CANASA del 60%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sidRPr="000822E9">
        <w:rPr>
          <w:rFonts w:ascii="Helvetica LT Std" w:hAnsi="Helvetica LT Std"/>
        </w:rPr>
        <w:t xml:space="preserve">El coste de explotación del embalse de </w:t>
      </w:r>
      <w:proofErr w:type="spellStart"/>
      <w:r w:rsidRPr="000822E9">
        <w:rPr>
          <w:rFonts w:ascii="Helvetica LT Std" w:hAnsi="Helvetica LT Std"/>
        </w:rPr>
        <w:t>Mairaga</w:t>
      </w:r>
      <w:proofErr w:type="spellEnd"/>
      <w:r w:rsidRPr="000822E9">
        <w:rPr>
          <w:rFonts w:ascii="Helvetica LT Std" w:hAnsi="Helvetica LT Std"/>
        </w:rPr>
        <w:t xml:space="preserve"> sería un 40% menor a medio plazo.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sidRPr="000822E9">
        <w:rPr>
          <w:rFonts w:ascii="Helvetica LT Std" w:hAnsi="Helvetica LT Std"/>
        </w:rPr>
        <w:t>Ni el Gobierno de Navarra ni la CHE han querido asumir el coste de explotación del e</w:t>
      </w:r>
      <w:r w:rsidRPr="000822E9">
        <w:rPr>
          <w:rFonts w:ascii="Helvetica LT Std" w:hAnsi="Helvetica LT Std"/>
        </w:rPr>
        <w:t>m</w:t>
      </w:r>
      <w:r w:rsidRPr="000822E9">
        <w:rPr>
          <w:rFonts w:ascii="Helvetica LT Std" w:hAnsi="Helvetica LT Std"/>
        </w:rPr>
        <w:t xml:space="preserve">balse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sidRPr="000822E9">
        <w:rPr>
          <w:rFonts w:ascii="Helvetica LT Std" w:hAnsi="Helvetica LT Std"/>
        </w:rPr>
        <w:t>con el fin de tenerlo como recurso hídrico estratégico mientras se utilizaba</w:t>
      </w:r>
      <w:r>
        <w:rPr>
          <w:rFonts w:ascii="Helvetica LT Std" w:hAnsi="Helvetica LT Std"/>
        </w:rPr>
        <w:t xml:space="preserve"> para usos como turismo, recreo</w:t>
      </w:r>
      <w:r w:rsidRPr="000822E9">
        <w:rPr>
          <w:rFonts w:ascii="Helvetica LT Std" w:hAnsi="Helvetica LT Std"/>
        </w:rPr>
        <w:t xml:space="preserve">...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sidRPr="000822E9">
        <w:rPr>
          <w:rFonts w:ascii="Helvetica LT Std" w:hAnsi="Helvetica LT Std"/>
        </w:rPr>
        <w:t xml:space="preserve">Se ha mantenido un recurso hídrico estratégico.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sidRPr="000822E9">
        <w:rPr>
          <w:rFonts w:ascii="Helvetica LT Std" w:hAnsi="Helvetica LT Std"/>
        </w:rPr>
        <w:t>Se ha evitado el vaciado y desmantelamiento de una presa con mucha vida útil por dela</w:t>
      </w:r>
      <w:r w:rsidRPr="000822E9">
        <w:rPr>
          <w:rFonts w:ascii="Helvetica LT Std" w:hAnsi="Helvetica LT Std"/>
        </w:rPr>
        <w:t>n</w:t>
      </w:r>
      <w:r w:rsidRPr="000822E9">
        <w:rPr>
          <w:rFonts w:ascii="Helvetica LT Std" w:hAnsi="Helvetica LT Std"/>
        </w:rPr>
        <w:t xml:space="preserve">te.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sidRPr="000822E9">
        <w:rPr>
          <w:rFonts w:ascii="Helvetica LT Std" w:hAnsi="Helvetica LT Std"/>
        </w:rPr>
        <w:t xml:space="preserve">Se ha evitado la construcción inmediata de la segunda fase de La Pedrera (1.000.000 €}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sidRPr="000822E9">
        <w:rPr>
          <w:rFonts w:ascii="Helvetica LT Std" w:hAnsi="Helvetica LT Std"/>
        </w:rPr>
        <w:t xml:space="preserve">Se ha evitado un problema medioambiental y enormemente costoso al no haberse vaciado ni desmantelado la presa. </w:t>
      </w:r>
    </w:p>
    <w:p w:rsidR="004C31E8" w:rsidRPr="00A9139A" w:rsidRDefault="004C31E8" w:rsidP="004C31E8">
      <w:pPr>
        <w:rPr>
          <w:rFonts w:ascii="Helvetica LT Std" w:hAnsi="Helvetica LT Std"/>
        </w:rPr>
      </w:pPr>
      <w:r w:rsidRPr="00A9139A">
        <w:rPr>
          <w:rFonts w:ascii="Helvetica LT Std" w:hAnsi="Helvetica LT Std"/>
        </w:rPr>
        <w:t xml:space="preserve">De todas formas, aun poniéndonos en el caso de que fuera algo más caro funcionar como estamos funcionando, que entendemos que hemos demostrado que no, dentro de un presupuesto de varios millones de euros, el tomar una decisión de tanto calado y con tantos factores a tener en cuenta, el que haya unas diferencias anuales de 28.000€ o incluso del doble entre alternativas, entendemos que no es razón que por ella misma deba hacer decantarse por una u otra alternativa. </w:t>
      </w:r>
    </w:p>
    <w:p w:rsidR="004C31E8" w:rsidRPr="00A9139A" w:rsidRDefault="004C31E8" w:rsidP="004C31E8">
      <w:pPr>
        <w:rPr>
          <w:rFonts w:ascii="Helvetica LT Std" w:hAnsi="Helvetica LT Std"/>
        </w:rPr>
      </w:pPr>
      <w:r w:rsidRPr="00A9139A">
        <w:rPr>
          <w:rFonts w:ascii="Helvetica LT Std" w:hAnsi="Helvetica LT Std"/>
        </w:rPr>
        <w:t>En cuanto a la preocupación sobre la posible subida de las tasas a causa de nuestra dec</w:t>
      </w:r>
      <w:r w:rsidRPr="00A9139A">
        <w:rPr>
          <w:rFonts w:ascii="Helvetica LT Std" w:hAnsi="Helvetica LT Std"/>
        </w:rPr>
        <w:t>i</w:t>
      </w:r>
      <w:r w:rsidRPr="00A9139A">
        <w:rPr>
          <w:rFonts w:ascii="Helvetica LT Std" w:hAnsi="Helvetica LT Std"/>
        </w:rPr>
        <w:t>sión tenemos que comentar que el 2016 bajaron las tasas de agua un 2%, en 2017 se mantuvi</w:t>
      </w:r>
      <w:r w:rsidRPr="00A9139A">
        <w:rPr>
          <w:rFonts w:ascii="Helvetica LT Std" w:hAnsi="Helvetica LT Std"/>
        </w:rPr>
        <w:t>e</w:t>
      </w:r>
      <w:r w:rsidRPr="00A9139A">
        <w:rPr>
          <w:rFonts w:ascii="Helvetica LT Std" w:hAnsi="Helvetica LT Std"/>
        </w:rPr>
        <w:t>ron sin subida y en 2018 tampoco han tenido subida, algo que no hubiéramos podido llevar a cabo de haber seguido las recomendaciones de los servicios técnicos, además la Mancomunidad tiene unas cuentas muy saneadas con un remanente de tesorería a 1 de enero de 2017 de 1.336.975 €</w:t>
      </w:r>
      <w:r>
        <w:rPr>
          <w:rFonts w:ascii="Helvetica LT Std" w:hAnsi="Helvetica LT Std"/>
        </w:rPr>
        <w:t xml:space="preserve"> </w:t>
      </w:r>
      <w:r w:rsidRPr="00A9139A">
        <w:rPr>
          <w:rFonts w:ascii="Helvetica LT Std" w:hAnsi="Helvetica LT Std"/>
        </w:rPr>
        <w:t>de</w:t>
      </w:r>
      <w:r>
        <w:rPr>
          <w:rFonts w:ascii="Helvetica LT Std" w:hAnsi="Helvetica LT Std"/>
        </w:rPr>
        <w:t xml:space="preserve"> </w:t>
      </w:r>
      <w:r w:rsidRPr="00A9139A">
        <w:rPr>
          <w:rFonts w:ascii="Helvetica LT Std" w:hAnsi="Helvetica LT Std"/>
        </w:rPr>
        <w:t xml:space="preserve">los cuales aproximadamente un 70% (935.882€) corresponderían a la sección de Ciclo Integral del Agua. </w:t>
      </w:r>
    </w:p>
    <w:p w:rsidR="004C31E8" w:rsidRPr="00A9139A" w:rsidRDefault="004C31E8" w:rsidP="004C31E8">
      <w:pPr>
        <w:rPr>
          <w:rFonts w:ascii="Helvetica LT Std" w:hAnsi="Helvetica LT Std"/>
        </w:rPr>
      </w:pPr>
      <w:r>
        <w:rPr>
          <w:rFonts w:ascii="Helvetica LT Std" w:hAnsi="Helvetica LT Std"/>
        </w:rPr>
        <w:t>Tafalla, diciembre de 2017</w:t>
      </w:r>
    </w:p>
    <w:p w:rsidR="004C31E8" w:rsidRPr="00A9139A" w:rsidRDefault="004C31E8" w:rsidP="004C31E8">
      <w:pPr>
        <w:rPr>
          <w:rFonts w:ascii="Helvetica LT Std" w:hAnsi="Helvetica LT Std"/>
        </w:rPr>
      </w:pPr>
      <w:r w:rsidRPr="00A9139A">
        <w:rPr>
          <w:rFonts w:ascii="Helvetica LT Std" w:hAnsi="Helvetica LT Std"/>
        </w:rPr>
        <w:t xml:space="preserve">Pedro </w:t>
      </w:r>
      <w:proofErr w:type="spellStart"/>
      <w:r w:rsidRPr="00A9139A">
        <w:rPr>
          <w:rFonts w:ascii="Helvetica LT Std" w:hAnsi="Helvetica LT Std"/>
        </w:rPr>
        <w:t>Leralta</w:t>
      </w:r>
      <w:proofErr w:type="spellEnd"/>
      <w:r w:rsidRPr="00A9139A">
        <w:rPr>
          <w:rFonts w:ascii="Helvetica LT Std" w:hAnsi="Helvetica LT Std"/>
        </w:rPr>
        <w:t xml:space="preserve"> </w:t>
      </w:r>
      <w:proofErr w:type="spellStart"/>
      <w:r w:rsidRPr="00A9139A">
        <w:rPr>
          <w:rFonts w:ascii="Helvetica LT Std" w:hAnsi="Helvetica LT Std"/>
        </w:rPr>
        <w:t>Piñán</w:t>
      </w:r>
      <w:proofErr w:type="spellEnd"/>
      <w:r w:rsidRPr="00A9139A">
        <w:rPr>
          <w:rFonts w:ascii="Helvetica LT Std" w:hAnsi="Helvetica LT Std"/>
        </w:rPr>
        <w:t xml:space="preserve"> (Presidente) </w:t>
      </w:r>
    </w:p>
    <w:p w:rsidR="004C31E8" w:rsidRPr="00A9139A" w:rsidRDefault="004C31E8" w:rsidP="004C31E8">
      <w:pPr>
        <w:rPr>
          <w:rFonts w:ascii="Helvetica LT Std" w:hAnsi="Helvetica LT Std"/>
        </w:rPr>
      </w:pPr>
      <w:r w:rsidRPr="00A9139A">
        <w:rPr>
          <w:rFonts w:ascii="Helvetica LT Std" w:hAnsi="Helvetica LT Std"/>
        </w:rPr>
        <w:t xml:space="preserve">En representación propia y de las dos vicepresidencias: Javier </w:t>
      </w:r>
      <w:proofErr w:type="spellStart"/>
      <w:r w:rsidRPr="00A9139A">
        <w:rPr>
          <w:rFonts w:ascii="Helvetica LT Std" w:hAnsi="Helvetica LT Std"/>
        </w:rPr>
        <w:t>lgal</w:t>
      </w:r>
      <w:proofErr w:type="spellEnd"/>
      <w:r w:rsidRPr="00A9139A">
        <w:rPr>
          <w:rFonts w:ascii="Helvetica LT Std" w:hAnsi="Helvetica LT Std"/>
        </w:rPr>
        <w:t xml:space="preserve"> </w:t>
      </w:r>
      <w:proofErr w:type="spellStart"/>
      <w:r w:rsidRPr="00A9139A">
        <w:rPr>
          <w:rFonts w:ascii="Helvetica LT Std" w:hAnsi="Helvetica LT Std"/>
        </w:rPr>
        <w:t>lguaz</w:t>
      </w:r>
      <w:proofErr w:type="spellEnd"/>
      <w:r w:rsidRPr="00A9139A">
        <w:rPr>
          <w:rFonts w:ascii="Helvetica LT Std" w:hAnsi="Helvetica LT Std"/>
        </w:rPr>
        <w:t xml:space="preserve"> y Juan Carlos Ca</w:t>
      </w:r>
      <w:r w:rsidRPr="00A9139A">
        <w:rPr>
          <w:rFonts w:ascii="Helvetica LT Std" w:hAnsi="Helvetica LT Std"/>
        </w:rPr>
        <w:t>s</w:t>
      </w:r>
      <w:r w:rsidRPr="00A9139A">
        <w:rPr>
          <w:rFonts w:ascii="Helvetica LT Std" w:hAnsi="Helvetica LT Std"/>
        </w:rPr>
        <w:t xml:space="preserve">tillo </w:t>
      </w:r>
      <w:proofErr w:type="spellStart"/>
      <w:r w:rsidRPr="00A9139A">
        <w:rPr>
          <w:rFonts w:ascii="Helvetica LT Std" w:hAnsi="Helvetica LT Std"/>
        </w:rPr>
        <w:t>Ezpeleta</w:t>
      </w:r>
      <w:proofErr w:type="spellEnd"/>
      <w:r w:rsidRPr="00A9139A">
        <w:rPr>
          <w:rFonts w:ascii="Helvetica LT Std" w:hAnsi="Helvetica LT Std"/>
        </w:rPr>
        <w:t xml:space="preserve">. </w:t>
      </w:r>
    </w:p>
    <w:p w:rsidR="004C31E8" w:rsidRDefault="004C31E8" w:rsidP="004C31E8">
      <w:pPr>
        <w:rPr>
          <w:rFonts w:ascii="Helvetica LT Std" w:hAnsi="Helvetica LT Std"/>
        </w:rPr>
      </w:pPr>
    </w:p>
    <w:p w:rsidR="004C31E8" w:rsidRDefault="004C31E8" w:rsidP="004C31E8">
      <w:pPr>
        <w:rPr>
          <w:rFonts w:ascii="Helvetica LT Std" w:hAnsi="Helvetica LT Std"/>
        </w:rPr>
      </w:pPr>
    </w:p>
    <w:p w:rsidR="004C31E8" w:rsidRPr="00A9139A" w:rsidRDefault="004C31E8" w:rsidP="004C31E8">
      <w:pPr>
        <w:rPr>
          <w:rFonts w:ascii="Helvetica LT Std" w:hAnsi="Helvetica LT Std"/>
        </w:rPr>
      </w:pPr>
      <w:r>
        <w:rPr>
          <w:rFonts w:ascii="Helvetica LT Std" w:hAnsi="Helvetica LT Std"/>
        </w:rPr>
        <w:t xml:space="preserve">Alegaciones presentadas por el </w:t>
      </w:r>
      <w:r w:rsidRPr="00A9139A">
        <w:rPr>
          <w:rFonts w:ascii="Helvetica LT Std" w:hAnsi="Helvetica LT Std"/>
        </w:rPr>
        <w:t>Dep</w:t>
      </w:r>
      <w:r>
        <w:rPr>
          <w:rFonts w:ascii="Helvetica LT Std" w:hAnsi="Helvetica LT Std"/>
        </w:rPr>
        <w:t xml:space="preserve">artamento de Desarrollo Rural, </w:t>
      </w:r>
      <w:r w:rsidRPr="00A9139A">
        <w:rPr>
          <w:rFonts w:ascii="Helvetica LT Std" w:hAnsi="Helvetica LT Std"/>
        </w:rPr>
        <w:t>Medio Ambiente y A</w:t>
      </w:r>
      <w:r w:rsidRPr="00A9139A">
        <w:rPr>
          <w:rFonts w:ascii="Helvetica LT Std" w:hAnsi="Helvetica LT Std"/>
        </w:rPr>
        <w:t>d</w:t>
      </w:r>
      <w:r w:rsidRPr="00A9139A">
        <w:rPr>
          <w:rFonts w:ascii="Helvetica LT Std" w:hAnsi="Helvetica LT Std"/>
        </w:rPr>
        <w:t xml:space="preserve">ministración Local </w:t>
      </w:r>
    </w:p>
    <w:p w:rsidR="004C31E8" w:rsidRPr="00A9139A" w:rsidRDefault="004C31E8" w:rsidP="004C31E8">
      <w:pPr>
        <w:rPr>
          <w:rFonts w:ascii="Helvetica LT Std" w:hAnsi="Helvetica LT Std"/>
        </w:rPr>
      </w:pPr>
      <w:r w:rsidRPr="00A9139A">
        <w:rPr>
          <w:rFonts w:ascii="Helvetica LT Std" w:hAnsi="Helvetica LT Std"/>
        </w:rPr>
        <w:lastRenderedPageBreak/>
        <w:t>El Decreto Foral 78/2016, de 21 de septiembre, por el que aprueba la estructura orgánica del Departamento de Desarrollo Rural, Medio Ambiente y Administración Local, establece entre las competencias del Servicio de Economía Circular y Agua la evaluación y planificación de los recu</w:t>
      </w:r>
      <w:r w:rsidRPr="00A9139A">
        <w:rPr>
          <w:rFonts w:ascii="Helvetica LT Std" w:hAnsi="Helvetica LT Std"/>
        </w:rPr>
        <w:t>r</w:t>
      </w:r>
      <w:r w:rsidRPr="00A9139A">
        <w:rPr>
          <w:rFonts w:ascii="Helvetica LT Std" w:hAnsi="Helvetica LT Std"/>
        </w:rPr>
        <w:t xml:space="preserve">sos hídricos y su calidad, así como la coordinación de apoyo de las acciones, estudios, y planes de carácter transversal en el ámbito de la economía circular y prevención de la contaminación que afecten a la Comunidad Foral de Navarra, tales como agua, aire, ruido, residuos, energía, junto con la elaboración de planes de cambio climático. </w:t>
      </w:r>
    </w:p>
    <w:p w:rsidR="004C31E8" w:rsidRPr="00A9139A" w:rsidRDefault="004C31E8" w:rsidP="004C31E8">
      <w:pPr>
        <w:rPr>
          <w:rFonts w:ascii="Helvetica LT Std" w:hAnsi="Helvetica LT Std"/>
        </w:rPr>
      </w:pPr>
      <w:r w:rsidRPr="00A9139A">
        <w:rPr>
          <w:rFonts w:ascii="Helvetica LT Std" w:hAnsi="Helvetica LT Std"/>
        </w:rPr>
        <w:t xml:space="preserve">En relación con el </w:t>
      </w:r>
      <w:r>
        <w:rPr>
          <w:rFonts w:ascii="Helvetica LT Std" w:hAnsi="Helvetica LT Std"/>
        </w:rPr>
        <w:t>“</w:t>
      </w:r>
      <w:r w:rsidRPr="00A9139A">
        <w:rPr>
          <w:rFonts w:ascii="Helvetica LT Std" w:hAnsi="Helvetica LT Std"/>
        </w:rPr>
        <w:t xml:space="preserve">Informe provisional Elección del sistema de abastecimiento de agua en alta de la Mancomunidad de </w:t>
      </w:r>
      <w:proofErr w:type="spellStart"/>
      <w:r w:rsidRPr="00A9139A">
        <w:rPr>
          <w:rFonts w:ascii="Helvetica LT Std" w:hAnsi="Helvetica LT Std"/>
        </w:rPr>
        <w:t>Mairaga</w:t>
      </w:r>
      <w:proofErr w:type="spellEnd"/>
      <w:r>
        <w:rPr>
          <w:rFonts w:ascii="Helvetica LT Std" w:hAnsi="Helvetica LT Std"/>
        </w:rPr>
        <w:t>”</w:t>
      </w:r>
      <w:r w:rsidRPr="00A9139A">
        <w:rPr>
          <w:rFonts w:ascii="Helvetica LT Std" w:hAnsi="Helvetica LT Std"/>
        </w:rPr>
        <w:t xml:space="preserve"> elaborado por la Cámara de Comptos se emite informe en materia de competencia de este Servicio en relación con el apartado IV. Conclusiones y recome</w:t>
      </w:r>
      <w:r w:rsidRPr="00A9139A">
        <w:rPr>
          <w:rFonts w:ascii="Helvetica LT Std" w:hAnsi="Helvetica LT Std"/>
        </w:rPr>
        <w:t>n</w:t>
      </w:r>
      <w:r w:rsidRPr="00A9139A">
        <w:rPr>
          <w:rFonts w:ascii="Helvetica LT Std" w:hAnsi="Helvetica LT Std"/>
        </w:rPr>
        <w:t xml:space="preserve">daciones: </w:t>
      </w:r>
    </w:p>
    <w:p w:rsidR="004C31E8" w:rsidRPr="00A9139A" w:rsidRDefault="004C31E8" w:rsidP="004C31E8">
      <w:pPr>
        <w:rPr>
          <w:rFonts w:ascii="Helvetica LT Std" w:hAnsi="Helvetica LT Std"/>
        </w:rPr>
      </w:pPr>
      <w:r w:rsidRPr="00A9139A">
        <w:rPr>
          <w:rFonts w:ascii="Helvetica LT Std" w:hAnsi="Helvetica LT Std"/>
        </w:rPr>
        <w:t>1.- Plan Director de abastecimiento de agua en alta (</w:t>
      </w:r>
      <w:proofErr w:type="spellStart"/>
      <w:r w:rsidRPr="00A9139A">
        <w:rPr>
          <w:rFonts w:ascii="Helvetica LT Std" w:hAnsi="Helvetica LT Std"/>
        </w:rPr>
        <w:t>Mairaga</w:t>
      </w:r>
      <w:proofErr w:type="spellEnd"/>
      <w:r w:rsidRPr="00A9139A">
        <w:rPr>
          <w:rFonts w:ascii="Helvetica LT Std" w:hAnsi="Helvetica LT Std"/>
        </w:rPr>
        <w:t xml:space="preserve">) </w:t>
      </w:r>
    </w:p>
    <w:p w:rsidR="004C31E8" w:rsidRPr="00A9139A" w:rsidRDefault="004C31E8" w:rsidP="004C31E8">
      <w:pPr>
        <w:rPr>
          <w:rFonts w:ascii="Helvetica LT Std" w:hAnsi="Helvetica LT Std"/>
        </w:rPr>
      </w:pPr>
      <w:r w:rsidRPr="00A9139A">
        <w:rPr>
          <w:rFonts w:ascii="Helvetica LT Std" w:hAnsi="Helvetica LT Std"/>
        </w:rPr>
        <w:t xml:space="preserve">Hay que tener en cuenta que los Planes Directores contemplan la </w:t>
      </w:r>
      <w:proofErr w:type="spellStart"/>
      <w:r w:rsidRPr="00A9139A">
        <w:rPr>
          <w:rFonts w:ascii="Helvetica LT Std" w:hAnsi="Helvetica LT Std"/>
        </w:rPr>
        <w:t>prevrsion</w:t>
      </w:r>
      <w:proofErr w:type="spellEnd"/>
      <w:r w:rsidRPr="00A9139A">
        <w:rPr>
          <w:rFonts w:ascii="Helvetica LT Std" w:hAnsi="Helvetica LT Std"/>
        </w:rPr>
        <w:t xml:space="preserve"> de la situación de la demanda en unos horizontes temporales futuros, y las infraestructuras necesarias para a</w:t>
      </w:r>
      <w:r w:rsidRPr="00A9139A">
        <w:rPr>
          <w:rFonts w:ascii="Helvetica LT Std" w:hAnsi="Helvetica LT Std"/>
        </w:rPr>
        <w:t>l</w:t>
      </w:r>
      <w:r w:rsidRPr="00A9139A">
        <w:rPr>
          <w:rFonts w:ascii="Helvetica LT Std" w:hAnsi="Helvetica LT Std"/>
        </w:rPr>
        <w:t xml:space="preserve">canzar dicho suministro, que en muchos casos pueden ser medidas estructurales de gestión de la demanda, como podrían ser inversiones en la redes para reducción de pérdidas. Sin embargo, la decisión adoptada en 2016 responde a un situación parcial intermedia, que se comentará en el punto 3º. En todo caso, la alternativa contemplada en el Plan Director de 1989 determinaba una única fuente a partir del embalse de </w:t>
      </w:r>
      <w:proofErr w:type="spellStart"/>
      <w:r w:rsidRPr="00A9139A">
        <w:rPr>
          <w:rFonts w:ascii="Helvetica LT Std" w:hAnsi="Helvetica LT Std"/>
        </w:rPr>
        <w:t>Mairaga</w:t>
      </w:r>
      <w:proofErr w:type="spellEnd"/>
      <w:r w:rsidRPr="00A9139A">
        <w:rPr>
          <w:rFonts w:ascii="Helvetica LT Std" w:hAnsi="Helvetica LT Std"/>
        </w:rPr>
        <w:t>, que probablemente hubiera requerido un recrec</w:t>
      </w:r>
      <w:r w:rsidRPr="00A9139A">
        <w:rPr>
          <w:rFonts w:ascii="Helvetica LT Std" w:hAnsi="Helvetica LT Std"/>
        </w:rPr>
        <w:t>i</w:t>
      </w:r>
      <w:r w:rsidRPr="00A9139A">
        <w:rPr>
          <w:rFonts w:ascii="Helvetica LT Std" w:hAnsi="Helvetica LT Std"/>
        </w:rPr>
        <w:t xml:space="preserve">miento de la presa y un trasvase desde la vecina cuenca del río </w:t>
      </w:r>
      <w:proofErr w:type="spellStart"/>
      <w:r w:rsidRPr="00A9139A">
        <w:rPr>
          <w:rFonts w:ascii="Helvetica LT Std" w:hAnsi="Helvetica LT Std"/>
        </w:rPr>
        <w:t>Cembor</w:t>
      </w:r>
      <w:r>
        <w:rPr>
          <w:rFonts w:ascii="Helvetica LT Std" w:hAnsi="Helvetica LT Std"/>
        </w:rPr>
        <w:t>á</w:t>
      </w:r>
      <w:r w:rsidRPr="00A9139A">
        <w:rPr>
          <w:rFonts w:ascii="Helvetica LT Std" w:hAnsi="Helvetica LT Std"/>
        </w:rPr>
        <w:t>in</w:t>
      </w:r>
      <w:proofErr w:type="spellEnd"/>
      <w:r w:rsidRPr="00A9139A">
        <w:rPr>
          <w:rFonts w:ascii="Helvetica LT Std" w:hAnsi="Helvetica LT Std"/>
        </w:rPr>
        <w:t xml:space="preserve">. Posteriormente, una modificación de 2007 establecía como única fuente el Canal de Navarra. Pero, como se indica en el informe de Cámara de Comptos, el borrador del Plan Director del Ciclo Integral del Agua de uso urbano, y que va a someterse a información pública en breve, contempla tanto la alternativa de suministro único desde Canal de Navarra, como el uso combinado del embalse de </w:t>
      </w:r>
      <w:proofErr w:type="spellStart"/>
      <w:r w:rsidRPr="00A9139A">
        <w:rPr>
          <w:rFonts w:ascii="Helvetica LT Std" w:hAnsi="Helvetica LT Std"/>
        </w:rPr>
        <w:t>Mairaga</w:t>
      </w:r>
      <w:proofErr w:type="spellEnd"/>
      <w:r w:rsidRPr="00A9139A">
        <w:rPr>
          <w:rFonts w:ascii="Helvetica LT Std" w:hAnsi="Helvetica LT Std"/>
        </w:rPr>
        <w:t xml:space="preserve"> y el Canal de Navarra para el cumplimiento de los objetivos para el servicio a 2024 y 2030. Las d</w:t>
      </w:r>
      <w:r w:rsidRPr="00A9139A">
        <w:rPr>
          <w:rFonts w:ascii="Helvetica LT Std" w:hAnsi="Helvetica LT Std"/>
        </w:rPr>
        <w:t>e</w:t>
      </w:r>
      <w:r w:rsidRPr="00A9139A">
        <w:rPr>
          <w:rFonts w:ascii="Helvetica LT Std" w:hAnsi="Helvetica LT Std"/>
        </w:rPr>
        <w:t xml:space="preserve">mandas consideradas son las correspondientes a toda la Mancomunidad en los horizontes futuros, y no exclusivamente los 1,9 hm3/año que suministra el conjunto de la presa de </w:t>
      </w:r>
      <w:proofErr w:type="spellStart"/>
      <w:r w:rsidRPr="00A9139A">
        <w:rPr>
          <w:rFonts w:ascii="Helvetica LT Std" w:hAnsi="Helvetica LT Std"/>
        </w:rPr>
        <w:t>Mairaga</w:t>
      </w:r>
      <w:proofErr w:type="spellEnd"/>
      <w:r w:rsidRPr="00A9139A">
        <w:rPr>
          <w:rFonts w:ascii="Helvetica LT Std" w:hAnsi="Helvetica LT Std"/>
        </w:rPr>
        <w:t xml:space="preserve">, pozos del </w:t>
      </w:r>
      <w:proofErr w:type="spellStart"/>
      <w:r w:rsidRPr="00A9139A">
        <w:rPr>
          <w:rFonts w:ascii="Helvetica LT Std" w:hAnsi="Helvetica LT Std"/>
        </w:rPr>
        <w:t>Escal</w:t>
      </w:r>
      <w:proofErr w:type="spellEnd"/>
      <w:r w:rsidRPr="00A9139A">
        <w:rPr>
          <w:rFonts w:ascii="Helvetica LT Std" w:hAnsi="Helvetica LT Std"/>
        </w:rPr>
        <w:t xml:space="preserve"> y manantiales del Carrascal. Los costes de ambas alternativas son similares, si bien el más barato es la alternativa de uso conjunto embalse de </w:t>
      </w:r>
      <w:proofErr w:type="spellStart"/>
      <w:r w:rsidRPr="00A9139A">
        <w:rPr>
          <w:rFonts w:ascii="Helvetica LT Std" w:hAnsi="Helvetica LT Std"/>
        </w:rPr>
        <w:t>Mairaga</w:t>
      </w:r>
      <w:proofErr w:type="spellEnd"/>
      <w:r w:rsidRPr="00A9139A">
        <w:rPr>
          <w:rFonts w:ascii="Helvetica LT Std" w:hAnsi="Helvetica LT Std"/>
        </w:rPr>
        <w:t xml:space="preserve">-Canal de Navarra. </w:t>
      </w:r>
    </w:p>
    <w:p w:rsidR="004C31E8" w:rsidRPr="00A9139A" w:rsidRDefault="004C31E8" w:rsidP="004C31E8">
      <w:pPr>
        <w:rPr>
          <w:rFonts w:ascii="Helvetica LT Std" w:hAnsi="Helvetica LT Std"/>
        </w:rPr>
      </w:pPr>
      <w:r w:rsidRPr="00A9139A">
        <w:rPr>
          <w:rFonts w:ascii="Helvetica LT Std" w:hAnsi="Helvetica LT Std"/>
        </w:rPr>
        <w:t>En relación con el carácter imperativo de lo contenido en el Plan Director, el Servicio de I</w:t>
      </w:r>
      <w:r w:rsidRPr="00A9139A">
        <w:rPr>
          <w:rFonts w:ascii="Helvetica LT Std" w:hAnsi="Helvetica LT Std"/>
        </w:rPr>
        <w:t>n</w:t>
      </w:r>
      <w:r w:rsidRPr="00A9139A">
        <w:rPr>
          <w:rFonts w:ascii="Helvetica LT Std" w:hAnsi="Helvetica LT Std"/>
        </w:rPr>
        <w:t>fraestructuras Locales, que es el competente en la materia, podrá informar en detalle, pero en el citado borrador del Plan Director del Ciclo Integral del Agua de uso urbano indica en su introdu</w:t>
      </w:r>
      <w:r w:rsidRPr="00A9139A">
        <w:rPr>
          <w:rFonts w:ascii="Helvetica LT Std" w:hAnsi="Helvetica LT Std"/>
        </w:rPr>
        <w:t>c</w:t>
      </w:r>
      <w:r w:rsidRPr="00A9139A">
        <w:rPr>
          <w:rFonts w:ascii="Helvetica LT Std" w:hAnsi="Helvetica LT Std"/>
        </w:rPr>
        <w:t xml:space="preserve">ción que </w:t>
      </w:r>
      <w:r>
        <w:rPr>
          <w:rFonts w:ascii="Helvetica LT Std" w:hAnsi="Helvetica LT Std"/>
        </w:rPr>
        <w:t>“</w:t>
      </w:r>
      <w:r w:rsidRPr="00A9139A">
        <w:rPr>
          <w:rFonts w:ascii="Helvetica LT Std" w:hAnsi="Helvetica LT Std"/>
        </w:rPr>
        <w:t>El Plan Director de Abastecimiento de Navarra data del año 1988, cuando se redacta el citado documento aunque sin que conste una aprobación formal. Desde esa fecha, el Plan Director de Abastecimiento también ha sido actualizado, si bien tampoco de manera formal</w:t>
      </w:r>
      <w:r>
        <w:rPr>
          <w:rFonts w:ascii="Helvetica LT Std" w:hAnsi="Helvetica LT Std"/>
        </w:rPr>
        <w:t>”</w:t>
      </w:r>
      <w:r w:rsidRPr="00A9139A">
        <w:rPr>
          <w:rFonts w:ascii="Helvetica LT Std" w:hAnsi="Helvetica LT Std"/>
        </w:rPr>
        <w:t xml:space="preserve">. </w:t>
      </w:r>
    </w:p>
    <w:p w:rsidR="004C31E8" w:rsidRPr="00A9139A" w:rsidRDefault="004C31E8" w:rsidP="004C31E8">
      <w:pPr>
        <w:rPr>
          <w:rFonts w:ascii="Helvetica LT Std" w:hAnsi="Helvetica LT Std"/>
        </w:rPr>
      </w:pPr>
      <w:r w:rsidRPr="00A9139A">
        <w:rPr>
          <w:rFonts w:ascii="Helvetica LT Std" w:hAnsi="Helvetica LT Std"/>
        </w:rPr>
        <w:t>Además del Plan Director de abastecimiento, hay que entender que el agua desempeña un papel esencial en la economía y en la sociedad, y que pese a su abundancia, debido a las dificu</w:t>
      </w:r>
      <w:r w:rsidRPr="00A9139A">
        <w:rPr>
          <w:rFonts w:ascii="Helvetica LT Std" w:hAnsi="Helvetica LT Std"/>
        </w:rPr>
        <w:t>l</w:t>
      </w:r>
      <w:r w:rsidRPr="00A9139A">
        <w:rPr>
          <w:rFonts w:ascii="Helvetica LT Std" w:hAnsi="Helvetica LT Std"/>
        </w:rPr>
        <w:t>tades de su disponibilidad, debe ser considerado como un recurso escaso, a la vez que fundame</w:t>
      </w:r>
      <w:r w:rsidRPr="00A9139A">
        <w:rPr>
          <w:rFonts w:ascii="Helvetica LT Std" w:hAnsi="Helvetica LT Std"/>
        </w:rPr>
        <w:t>n</w:t>
      </w:r>
      <w:r w:rsidRPr="00A9139A">
        <w:rPr>
          <w:rFonts w:ascii="Helvetica LT Std" w:hAnsi="Helvetica LT Std"/>
        </w:rPr>
        <w:t>tal para sectores claves como la agricultura, la industria, la energía, el desarrollo urbano y la co</w:t>
      </w:r>
      <w:r w:rsidRPr="00A9139A">
        <w:rPr>
          <w:rFonts w:ascii="Helvetica LT Std" w:hAnsi="Helvetica LT Std"/>
        </w:rPr>
        <w:t>n</w:t>
      </w:r>
      <w:r w:rsidRPr="00A9139A">
        <w:rPr>
          <w:rFonts w:ascii="Helvetica LT Std" w:hAnsi="Helvetica LT Std"/>
        </w:rPr>
        <w:t>servación de los recursos naturales. De hecho, los conflictos ocasionados por las múltiples d</w:t>
      </w:r>
      <w:r w:rsidRPr="00A9139A">
        <w:rPr>
          <w:rFonts w:ascii="Helvetica LT Std" w:hAnsi="Helvetica LT Std"/>
        </w:rPr>
        <w:t>e</w:t>
      </w:r>
      <w:r w:rsidRPr="00A9139A">
        <w:rPr>
          <w:rFonts w:ascii="Helvetica LT Std" w:hAnsi="Helvetica LT Std"/>
        </w:rPr>
        <w:t>mandas procedentes de los distintos sectores, hacen que la política del agua sea una de las más estratégicas para la conservación del Medio Ambiente. Y en este sentido, el abandono de una i</w:t>
      </w:r>
      <w:r w:rsidRPr="00A9139A">
        <w:rPr>
          <w:rFonts w:ascii="Helvetica LT Std" w:hAnsi="Helvetica LT Std"/>
        </w:rPr>
        <w:t>n</w:t>
      </w:r>
      <w:r w:rsidRPr="00A9139A">
        <w:rPr>
          <w:rFonts w:ascii="Helvetica LT Std" w:hAnsi="Helvetica LT Std"/>
        </w:rPr>
        <w:t xml:space="preserve">fraestructura hidráulica mucho antes de su periodo de amortización debería tomarse en el marco de una planificación general dentro del Gobierno de Navarra e incluirse en el Plan de Demarcación del Ebro, cuya próxima revisión será en 2021. Y más si tenemos en cuenta que se trata de un agua de calidad, con una mineralización ligera (valor medio de conductividad de unos 400 </w:t>
      </w:r>
      <w:proofErr w:type="spellStart"/>
      <w:r w:rsidRPr="00A9139A">
        <w:rPr>
          <w:rFonts w:ascii="Helvetica LT Std" w:hAnsi="Helvetica LT Std"/>
        </w:rPr>
        <w:t>m</w:t>
      </w:r>
      <w:r w:rsidRPr="00A9139A">
        <w:rPr>
          <w:rFonts w:ascii="Helvetica LT Std" w:hAnsi="Helvetica LT Std"/>
        </w:rPr>
        <w:t>i</w:t>
      </w:r>
      <w:r w:rsidRPr="00A9139A">
        <w:rPr>
          <w:rFonts w:ascii="Helvetica LT Std" w:hAnsi="Helvetica LT Std"/>
        </w:rPr>
        <w:t>cro</w:t>
      </w:r>
      <w:r>
        <w:rPr>
          <w:rFonts w:ascii="Helvetica LT Std" w:hAnsi="Helvetica LT Std"/>
        </w:rPr>
        <w:t>S</w:t>
      </w:r>
      <w:proofErr w:type="spellEnd"/>
      <w:r w:rsidRPr="00A9139A">
        <w:rPr>
          <w:rFonts w:ascii="Helvetica LT Std" w:hAnsi="Helvetica LT Std"/>
        </w:rPr>
        <w:t xml:space="preserve">/cm), con concentraciones en nitratos </w:t>
      </w:r>
      <w:r>
        <w:rPr>
          <w:rFonts w:ascii="Helvetica LT Std" w:hAnsi="Helvetica LT Std"/>
        </w:rPr>
        <w:t>muy bajas (por debajo de 2 mg/l)</w:t>
      </w:r>
      <w:r w:rsidRPr="00A9139A">
        <w:rPr>
          <w:rFonts w:ascii="Helvetica LT Std" w:hAnsi="Helvetica LT Std"/>
        </w:rPr>
        <w:t>, al igual que en otros contaminantes como amonio, nitritos y fosfatos, sin detección de plaguicidas analizados, aunque con una dureza de unos 20</w:t>
      </w:r>
      <w:r>
        <w:rPr>
          <w:rFonts w:ascii="Helvetica LT Std" w:hAnsi="Helvetica LT Std"/>
        </w:rPr>
        <w:t xml:space="preserve">º </w:t>
      </w:r>
      <w:r w:rsidRPr="00A9139A">
        <w:rPr>
          <w:rFonts w:ascii="Helvetica LT Std" w:hAnsi="Helvetica LT Std"/>
        </w:rPr>
        <w:t xml:space="preserve">F, lo que corresponde a una dureza media, superior al agua de </w:t>
      </w:r>
      <w:proofErr w:type="spellStart"/>
      <w:r w:rsidRPr="00A9139A">
        <w:rPr>
          <w:rFonts w:ascii="Helvetica LT Std" w:hAnsi="Helvetica LT Std"/>
        </w:rPr>
        <w:t>ltoiz</w:t>
      </w:r>
      <w:proofErr w:type="spellEnd"/>
      <w:r w:rsidRPr="00A9139A">
        <w:rPr>
          <w:rFonts w:ascii="Helvetica LT Std" w:hAnsi="Helvetica LT Std"/>
        </w:rPr>
        <w:t xml:space="preserve">, pero inferior a la que presenta los pozos del </w:t>
      </w:r>
      <w:proofErr w:type="spellStart"/>
      <w:r w:rsidRPr="00A9139A">
        <w:rPr>
          <w:rFonts w:ascii="Helvetica LT Std" w:hAnsi="Helvetica LT Std"/>
        </w:rPr>
        <w:t>Escal</w:t>
      </w:r>
      <w:proofErr w:type="spellEnd"/>
      <w:r w:rsidRPr="00A9139A">
        <w:rPr>
          <w:rFonts w:ascii="Helvetica LT Std" w:hAnsi="Helvetica LT Std"/>
        </w:rPr>
        <w:t>, cuya agua se clasifica como agua dura (pr</w:t>
      </w:r>
      <w:r w:rsidRPr="00A9139A">
        <w:rPr>
          <w:rFonts w:ascii="Helvetica LT Std" w:hAnsi="Helvetica LT Std"/>
        </w:rPr>
        <w:t>o</w:t>
      </w:r>
      <w:r w:rsidRPr="00A9139A">
        <w:rPr>
          <w:rFonts w:ascii="Helvetica LT Std" w:hAnsi="Helvetica LT Std"/>
        </w:rPr>
        <w:t>medio de 55</w:t>
      </w:r>
      <w:r>
        <w:rPr>
          <w:rFonts w:ascii="Helvetica LT Std" w:hAnsi="Helvetica LT Std"/>
        </w:rPr>
        <w:t xml:space="preserve">º </w:t>
      </w:r>
      <w:r w:rsidRPr="00A9139A">
        <w:rPr>
          <w:rFonts w:ascii="Helvetica LT Std" w:hAnsi="Helvetica LT Std"/>
        </w:rPr>
        <w:t xml:space="preserve">F), mineralización notable (valor medio de unos 1.000 </w:t>
      </w:r>
      <w:proofErr w:type="spellStart"/>
      <w:r w:rsidRPr="00A9139A">
        <w:rPr>
          <w:rFonts w:ascii="Helvetica LT Std" w:hAnsi="Helvetica LT Std"/>
        </w:rPr>
        <w:t>micro</w:t>
      </w:r>
      <w:r>
        <w:rPr>
          <w:rFonts w:ascii="Helvetica LT Std" w:hAnsi="Helvetica LT Std"/>
        </w:rPr>
        <w:t>S</w:t>
      </w:r>
      <w:proofErr w:type="spellEnd"/>
      <w:r w:rsidRPr="00A9139A">
        <w:rPr>
          <w:rFonts w:ascii="Helvetica LT Std" w:hAnsi="Helvetica LT Std"/>
        </w:rPr>
        <w:t>/cm) y una concentr</w:t>
      </w:r>
      <w:r w:rsidRPr="00A9139A">
        <w:rPr>
          <w:rFonts w:ascii="Helvetica LT Std" w:hAnsi="Helvetica LT Std"/>
        </w:rPr>
        <w:t>a</w:t>
      </w:r>
      <w:r w:rsidRPr="00A9139A">
        <w:rPr>
          <w:rFonts w:ascii="Helvetica LT Std" w:hAnsi="Helvetica LT Std"/>
        </w:rPr>
        <w:t xml:space="preserve">ción media de nitratos ligeramente superior a los 50 mg/1, límite de cumplimiento para aguas de </w:t>
      </w:r>
      <w:r w:rsidRPr="00A9139A">
        <w:rPr>
          <w:rFonts w:ascii="Helvetica LT Std" w:hAnsi="Helvetica LT Std"/>
        </w:rPr>
        <w:lastRenderedPageBreak/>
        <w:t>abastecimiento, y que sin embargo, junto con los manantiales del Carrascal, se plantea su mant</w:t>
      </w:r>
      <w:r w:rsidRPr="00A9139A">
        <w:rPr>
          <w:rFonts w:ascii="Helvetica LT Std" w:hAnsi="Helvetica LT Std"/>
        </w:rPr>
        <w:t>e</w:t>
      </w:r>
      <w:r w:rsidRPr="00A9139A">
        <w:rPr>
          <w:rFonts w:ascii="Helvetica LT Std" w:hAnsi="Helvetica LT Std"/>
        </w:rPr>
        <w:t xml:space="preserve">nimiento en la alternativa 2 propuesta por los servicios técnicos de la Mancomunidad. </w:t>
      </w:r>
    </w:p>
    <w:p w:rsidR="004C31E8" w:rsidRPr="00A9139A" w:rsidRDefault="004C31E8" w:rsidP="004C31E8">
      <w:pPr>
        <w:rPr>
          <w:rFonts w:ascii="Helvetica LT Std" w:hAnsi="Helvetica LT Std"/>
        </w:rPr>
      </w:pPr>
      <w:r w:rsidRPr="00A9139A">
        <w:rPr>
          <w:rFonts w:ascii="Helvetica LT Std" w:hAnsi="Helvetica LT Std"/>
        </w:rPr>
        <w:t xml:space="preserve">En relación con las garantías de suministro del Canal de Navarra, el proyecto del embalse de </w:t>
      </w:r>
      <w:proofErr w:type="spellStart"/>
      <w:r w:rsidRPr="00A9139A">
        <w:rPr>
          <w:rFonts w:ascii="Helvetica LT Std" w:hAnsi="Helvetica LT Std"/>
        </w:rPr>
        <w:t>ltoiz</w:t>
      </w:r>
      <w:proofErr w:type="spellEnd"/>
      <w:r w:rsidRPr="00A9139A">
        <w:rPr>
          <w:rFonts w:ascii="Helvetica LT Std" w:hAnsi="Helvetica LT Std"/>
        </w:rPr>
        <w:t xml:space="preserve"> estimaba una aportación media anual en régimen natural en la presa de </w:t>
      </w:r>
      <w:proofErr w:type="spellStart"/>
      <w:r w:rsidRPr="00A9139A">
        <w:rPr>
          <w:rFonts w:ascii="Helvetica LT Std" w:hAnsi="Helvetica LT Std"/>
        </w:rPr>
        <w:t>ltoiz</w:t>
      </w:r>
      <w:proofErr w:type="spellEnd"/>
      <w:r w:rsidRPr="00A9139A">
        <w:rPr>
          <w:rFonts w:ascii="Helvetica LT Std" w:hAnsi="Helvetica LT Std"/>
        </w:rPr>
        <w:t xml:space="preserve"> de 635,08 Hm</w:t>
      </w:r>
      <w:r w:rsidRPr="003A43C6">
        <w:rPr>
          <w:rFonts w:ascii="Helvetica LT Std" w:hAnsi="Helvetica LT Std"/>
          <w:vertAlign w:val="superscript"/>
        </w:rPr>
        <w:t>3</w:t>
      </w:r>
      <w:r w:rsidRPr="00A9139A">
        <w:rPr>
          <w:rFonts w:ascii="Helvetica LT Std" w:hAnsi="Helvetica LT Std"/>
        </w:rPr>
        <w:t xml:space="preserve"> (serie 1961-1983). Sin embargo, los datos actuales disponibles permiten estimar la aportación media anual de 537,58 Hm</w:t>
      </w:r>
      <w:r w:rsidRPr="003A43C6">
        <w:rPr>
          <w:rFonts w:ascii="Helvetica LT Std" w:hAnsi="Helvetica LT Std"/>
          <w:vertAlign w:val="superscript"/>
        </w:rPr>
        <w:t>3</w:t>
      </w:r>
      <w:r w:rsidRPr="00A9139A">
        <w:rPr>
          <w:rFonts w:ascii="Helvetica LT Std" w:hAnsi="Helvetica LT Std"/>
        </w:rPr>
        <w:t xml:space="preserve"> (serie 1940/41 a 2006/07). La extensión de la serie recoge los dos periodos más secos del siglo XX, años 1942-52 y 1984-95, así como las sequías de principios del XXI, lo que implica una reducción de un 15,35% sobre la aportación de proyecto. En el proyecto concesional tramitado en 2002 ante la Confederación Hidrográfica del Ebro, la concesión de agua del Canal de Navarra a partir del embalse de </w:t>
      </w:r>
      <w:proofErr w:type="spellStart"/>
      <w:r w:rsidRPr="00A9139A">
        <w:rPr>
          <w:rFonts w:ascii="Helvetica LT Std" w:hAnsi="Helvetica LT Std"/>
        </w:rPr>
        <w:t>ltoiz</w:t>
      </w:r>
      <w:proofErr w:type="spellEnd"/>
      <w:r w:rsidRPr="00A9139A">
        <w:rPr>
          <w:rFonts w:ascii="Helvetica LT Std" w:hAnsi="Helvetica LT Std"/>
        </w:rPr>
        <w:t xml:space="preserve"> asciende a 400 Hm</w:t>
      </w:r>
      <w:r w:rsidRPr="003A43C6">
        <w:rPr>
          <w:rFonts w:ascii="Helvetica LT Std" w:hAnsi="Helvetica LT Std"/>
          <w:vertAlign w:val="superscript"/>
        </w:rPr>
        <w:t>3</w:t>
      </w:r>
      <w:r w:rsidRPr="00A9139A">
        <w:rPr>
          <w:rFonts w:ascii="Helvetica LT Std" w:hAnsi="Helvetica LT Std"/>
        </w:rPr>
        <w:t xml:space="preserve"> anuales, modulados de la siguiente manera, 340 Hm</w:t>
      </w:r>
      <w:r w:rsidRPr="003A43C6">
        <w:rPr>
          <w:rFonts w:ascii="Helvetica LT Std" w:hAnsi="Helvetica LT Std"/>
          <w:vertAlign w:val="superscript"/>
        </w:rPr>
        <w:t>3</w:t>
      </w:r>
      <w:r w:rsidRPr="00A9139A">
        <w:rPr>
          <w:rFonts w:ascii="Helvetica LT Std" w:hAnsi="Helvetica LT Std"/>
        </w:rPr>
        <w:t xml:space="preserve"> para regadío y 60 Hm</w:t>
      </w:r>
      <w:r w:rsidRPr="003A43C6">
        <w:rPr>
          <w:rFonts w:ascii="Helvetica LT Std" w:hAnsi="Helvetica LT Std"/>
          <w:vertAlign w:val="superscript"/>
        </w:rPr>
        <w:t>3</w:t>
      </w:r>
      <w:r w:rsidRPr="00A9139A">
        <w:rPr>
          <w:rFonts w:ascii="Helvetica LT Std" w:hAnsi="Helvetica LT Std"/>
        </w:rPr>
        <w:t xml:space="preserve"> para abastecimiento, si bien en el 2004 la res</w:t>
      </w:r>
      <w:r w:rsidRPr="00A9139A">
        <w:rPr>
          <w:rFonts w:ascii="Helvetica LT Std" w:hAnsi="Helvetica LT Std"/>
        </w:rPr>
        <w:t>o</w:t>
      </w:r>
      <w:r w:rsidRPr="00A9139A">
        <w:rPr>
          <w:rFonts w:ascii="Helvetica LT Std" w:hAnsi="Helvetica LT Std"/>
        </w:rPr>
        <w:t>lución concesional hace referencia a cifras distintas, con una cantidad de 76,06 Hm</w:t>
      </w:r>
      <w:r w:rsidRPr="003A43C6">
        <w:rPr>
          <w:rFonts w:ascii="Helvetica LT Std" w:hAnsi="Helvetica LT Std"/>
          <w:vertAlign w:val="superscript"/>
        </w:rPr>
        <w:t>3</w:t>
      </w:r>
      <w:r w:rsidRPr="00A9139A">
        <w:rPr>
          <w:rFonts w:ascii="Helvetica LT Std" w:hAnsi="Helvetica LT Std"/>
        </w:rPr>
        <w:t>/año para el abastecimiento de agua a poblaciones e industria. Esto implica que con una garantías muy justas ya en proyecto para las demandas previstas, y con una disminución de aportación de un 15,35% de media, en el momento que se otorgue el total de demandas podrá haber problemas futuros de suministro (por ejemplo, mínimo de la serie, 184 hm</w:t>
      </w:r>
      <w:r w:rsidRPr="003A43C6">
        <w:rPr>
          <w:rFonts w:ascii="Helvetica LT Std" w:hAnsi="Helvetica LT Std"/>
          <w:vertAlign w:val="superscript"/>
        </w:rPr>
        <w:t>3</w:t>
      </w:r>
      <w:r w:rsidRPr="00A9139A">
        <w:rPr>
          <w:rFonts w:ascii="Helvetica LT Std" w:hAnsi="Helvetica LT Std"/>
        </w:rPr>
        <w:t xml:space="preserve"> en el año 1948/49, y aportaciones de dos años consecutivos de 274,34 hm3 y 283,37 hm ' en 1988/89 y 1989/90) por lo que una reserva de abastecimiento de entre 1 y 2 Hm</w:t>
      </w:r>
      <w:r w:rsidRPr="003A43C6">
        <w:rPr>
          <w:rFonts w:ascii="Helvetica LT Std" w:hAnsi="Helvetica LT Std"/>
          <w:vertAlign w:val="superscript"/>
        </w:rPr>
        <w:t>3</w:t>
      </w:r>
      <w:r w:rsidRPr="00A9139A">
        <w:rPr>
          <w:rFonts w:ascii="Helvetica LT Std" w:hAnsi="Helvetica LT Std"/>
        </w:rPr>
        <w:t xml:space="preserve">/año como el embalse de </w:t>
      </w:r>
      <w:proofErr w:type="spellStart"/>
      <w:r w:rsidRPr="00A9139A">
        <w:rPr>
          <w:rFonts w:ascii="Helvetica LT Std" w:hAnsi="Helvetica LT Std"/>
        </w:rPr>
        <w:t>Mairaga</w:t>
      </w:r>
      <w:proofErr w:type="spellEnd"/>
      <w:r w:rsidRPr="00A9139A">
        <w:rPr>
          <w:rFonts w:ascii="Helvetica LT Std" w:hAnsi="Helvetica LT Std"/>
        </w:rPr>
        <w:t xml:space="preserve"> suponga una reserva estrat</w:t>
      </w:r>
      <w:r w:rsidRPr="00A9139A">
        <w:rPr>
          <w:rFonts w:ascii="Helvetica LT Std" w:hAnsi="Helvetica LT Std"/>
        </w:rPr>
        <w:t>é</w:t>
      </w:r>
      <w:r w:rsidRPr="00A9139A">
        <w:rPr>
          <w:rFonts w:ascii="Helvetica LT Std" w:hAnsi="Helvetica LT Std"/>
        </w:rPr>
        <w:t xml:space="preserve">gica a considerar. Estas consideraciones fueron expuestas por quien firma este informe en la asamblea informativa celebrada en Tafalla el 11 de mayo de 2016. </w:t>
      </w:r>
    </w:p>
    <w:p w:rsidR="004C31E8" w:rsidRPr="00A9139A" w:rsidRDefault="004C31E8" w:rsidP="004C31E8">
      <w:pPr>
        <w:rPr>
          <w:rFonts w:ascii="Helvetica LT Std" w:hAnsi="Helvetica LT Std"/>
        </w:rPr>
      </w:pPr>
      <w:r w:rsidRPr="00A9139A">
        <w:rPr>
          <w:rFonts w:ascii="Helvetica LT Std" w:hAnsi="Helvetica LT Std"/>
        </w:rPr>
        <w:t xml:space="preserve">2. Informes del área técnica </w:t>
      </w:r>
    </w:p>
    <w:p w:rsidR="004C31E8" w:rsidRPr="00A9139A" w:rsidRDefault="004C31E8" w:rsidP="004C31E8">
      <w:pPr>
        <w:rPr>
          <w:rFonts w:ascii="Helvetica LT Std" w:hAnsi="Helvetica LT Std"/>
        </w:rPr>
      </w:pPr>
      <w:r w:rsidRPr="00A9139A">
        <w:rPr>
          <w:rFonts w:ascii="Helvetica LT Std" w:hAnsi="Helvetica LT Std"/>
        </w:rPr>
        <w:t>Hay que indicar que en este Servicio no se disponen de los informes del área técnica co</w:t>
      </w:r>
      <w:r w:rsidRPr="00A9139A">
        <w:rPr>
          <w:rFonts w:ascii="Helvetica LT Std" w:hAnsi="Helvetica LT Std"/>
        </w:rPr>
        <w:t>m</w:t>
      </w:r>
      <w:r w:rsidRPr="00A9139A">
        <w:rPr>
          <w:rFonts w:ascii="Helvetica LT Std" w:hAnsi="Helvetica LT Std"/>
        </w:rPr>
        <w:t xml:space="preserve">pletos citados en el informe de la Cámara de Comptos, pero sí de las tablas anexas al mismo que fueron remitidos por la Mancomunidad de </w:t>
      </w:r>
      <w:proofErr w:type="spellStart"/>
      <w:r w:rsidRPr="00A9139A">
        <w:rPr>
          <w:rFonts w:ascii="Helvetica LT Std" w:hAnsi="Helvetica LT Std"/>
        </w:rPr>
        <w:t>Mairaga</w:t>
      </w:r>
      <w:proofErr w:type="spellEnd"/>
      <w:r w:rsidRPr="00A9139A">
        <w:rPr>
          <w:rFonts w:ascii="Helvetica LT Std" w:hAnsi="Helvetica LT Std"/>
        </w:rPr>
        <w:t xml:space="preserve"> al Departamento. Por ello, al no conocerse co</w:t>
      </w:r>
      <w:r w:rsidRPr="00A9139A">
        <w:rPr>
          <w:rFonts w:ascii="Helvetica LT Std" w:hAnsi="Helvetica LT Std"/>
        </w:rPr>
        <w:t>s</w:t>
      </w:r>
      <w:r w:rsidRPr="00A9139A">
        <w:rPr>
          <w:rFonts w:ascii="Helvetica LT Std" w:hAnsi="Helvetica LT Std"/>
        </w:rPr>
        <w:t xml:space="preserve">tes unitarios desglosados, no se puede reproducir ni los cálculos del informe del área técnica de la Mancomunidad y ni los </w:t>
      </w:r>
      <w:proofErr w:type="spellStart"/>
      <w:r w:rsidRPr="00A9139A">
        <w:rPr>
          <w:rFonts w:ascii="Helvetica LT Std" w:hAnsi="Helvetica LT Std"/>
        </w:rPr>
        <w:t>recálculos</w:t>
      </w:r>
      <w:proofErr w:type="spellEnd"/>
      <w:r w:rsidRPr="00A9139A">
        <w:rPr>
          <w:rFonts w:ascii="Helvetica LT Std" w:hAnsi="Helvetica LT Std"/>
        </w:rPr>
        <w:t xml:space="preserve"> realizados por la Cámara de Comptos, pero sí se puede info</w:t>
      </w:r>
      <w:r w:rsidRPr="00A9139A">
        <w:rPr>
          <w:rFonts w:ascii="Helvetica LT Std" w:hAnsi="Helvetica LT Std"/>
        </w:rPr>
        <w:t>r</w:t>
      </w:r>
      <w:r w:rsidRPr="00A9139A">
        <w:rPr>
          <w:rFonts w:ascii="Helvetica LT Std" w:hAnsi="Helvetica LT Std"/>
        </w:rPr>
        <w:t xml:space="preserve">mar respecto a los criterios y metodología empleada. </w:t>
      </w:r>
    </w:p>
    <w:p w:rsidR="004C31E8" w:rsidRPr="00A9139A" w:rsidRDefault="004C31E8" w:rsidP="004C31E8">
      <w:pPr>
        <w:rPr>
          <w:rFonts w:ascii="Helvetica LT Std" w:hAnsi="Helvetica LT Std"/>
        </w:rPr>
      </w:pPr>
      <w:r w:rsidRPr="00A9139A">
        <w:rPr>
          <w:rFonts w:ascii="Helvetica LT Std" w:hAnsi="Helvetica LT Std"/>
        </w:rPr>
        <w:t>En el caso de la alternativa 1, parte del coste de la ETAP de La Pedrera viene asociado a un canon estimado en 86.220 euros/año, por un de</w:t>
      </w:r>
      <w:r>
        <w:rPr>
          <w:rFonts w:ascii="Helvetica LT Std" w:hAnsi="Helvetica LT Std"/>
        </w:rPr>
        <w:t>recho de uso expectante de 100 l</w:t>
      </w:r>
      <w:r w:rsidRPr="00A9139A">
        <w:rPr>
          <w:rFonts w:ascii="Helvetica LT Std" w:hAnsi="Helvetica LT Std"/>
        </w:rPr>
        <w:t xml:space="preserve">/s, que debería ser renegociado si no se va a usar dicho caudal salvo en emergencias, tal y como ha sucedido en este final de año debido a la sequía prolongado que ha sufrido dodo navarra y el eje del Ebro en particular. </w:t>
      </w:r>
    </w:p>
    <w:p w:rsidR="004C31E8" w:rsidRPr="00A9139A" w:rsidRDefault="004C31E8" w:rsidP="004C31E8">
      <w:pPr>
        <w:rPr>
          <w:rFonts w:ascii="Helvetica LT Std" w:hAnsi="Helvetica LT Std"/>
        </w:rPr>
      </w:pPr>
      <w:r w:rsidRPr="00A9139A">
        <w:rPr>
          <w:rFonts w:ascii="Helvetica LT Std" w:hAnsi="Helvetica LT Std"/>
        </w:rPr>
        <w:t>Se estima como correcto el princ</w:t>
      </w:r>
      <w:r>
        <w:rPr>
          <w:rFonts w:ascii="Helvetica LT Std" w:hAnsi="Helvetica LT Std"/>
        </w:rPr>
        <w:t>i</w:t>
      </w:r>
      <w:r w:rsidRPr="00A9139A">
        <w:rPr>
          <w:rFonts w:ascii="Helvetica LT Std" w:hAnsi="Helvetica LT Std"/>
        </w:rPr>
        <w:t>p</w:t>
      </w:r>
      <w:r>
        <w:rPr>
          <w:rFonts w:ascii="Helvetica LT Std" w:hAnsi="Helvetica LT Std"/>
        </w:rPr>
        <w:t>i</w:t>
      </w:r>
      <w:r w:rsidRPr="00A9139A">
        <w:rPr>
          <w:rFonts w:ascii="Helvetica LT Std" w:hAnsi="Helvetica LT Std"/>
        </w:rPr>
        <w:t>o de precauci</w:t>
      </w:r>
      <w:r>
        <w:rPr>
          <w:rFonts w:ascii="Helvetica LT Std" w:hAnsi="Helvetica LT Std"/>
        </w:rPr>
        <w:t>ó</w:t>
      </w:r>
      <w:r w:rsidRPr="00A9139A">
        <w:rPr>
          <w:rFonts w:ascii="Helvetica LT Std" w:hAnsi="Helvetica LT Std"/>
        </w:rPr>
        <w:t xml:space="preserve">n aplicado por la Cámara de Comptos, el imputar el canon del embalse en todas las alternativas consideradas, ya que no existe compromiso del Gobierno de Navarra de asumir total o parcialmente dicho canon, ni tampoco del titular de la presa, la Confederación Hidrográfica del Ebro, de que su único usuario deje de aportar el canon de mantenimiento, al menos hasta que se encuentre un nuevo usuario que solicite el uso. </w:t>
      </w:r>
    </w:p>
    <w:p w:rsidR="004C31E8" w:rsidRPr="00A9139A" w:rsidRDefault="004C31E8" w:rsidP="004C31E8">
      <w:pPr>
        <w:rPr>
          <w:rFonts w:ascii="Helvetica LT Std" w:hAnsi="Helvetica LT Std"/>
        </w:rPr>
      </w:pPr>
      <w:r w:rsidRPr="00A9139A">
        <w:rPr>
          <w:rFonts w:ascii="Helvetica LT Std" w:hAnsi="Helvetica LT Std"/>
        </w:rPr>
        <w:t xml:space="preserve">En cambio el criterio de reducir costes de personal en la alternativa 2, eliminado el coste imputable a 5 trabajadores que estarían asignados a la planta de </w:t>
      </w:r>
      <w:proofErr w:type="spellStart"/>
      <w:r w:rsidRPr="00A9139A">
        <w:rPr>
          <w:rFonts w:ascii="Helvetica LT Std" w:hAnsi="Helvetica LT Std"/>
        </w:rPr>
        <w:t>Olóriz</w:t>
      </w:r>
      <w:proofErr w:type="spellEnd"/>
      <w:r w:rsidRPr="00A9139A">
        <w:rPr>
          <w:rFonts w:ascii="Helvetica LT Std" w:hAnsi="Helvetica LT Std"/>
        </w:rPr>
        <w:t>, dejando sólo uno para la planta de la Pedrera, podría estar del lado de la inseguridad, ya que probablemente el informe té</w:t>
      </w:r>
      <w:r w:rsidRPr="00A9139A">
        <w:rPr>
          <w:rFonts w:ascii="Helvetica LT Std" w:hAnsi="Helvetica LT Std"/>
        </w:rPr>
        <w:t>c</w:t>
      </w:r>
      <w:r w:rsidRPr="00A9139A">
        <w:rPr>
          <w:rFonts w:ascii="Helvetica LT Std" w:hAnsi="Helvetica LT Std"/>
        </w:rPr>
        <w:t xml:space="preserve">nico de la Mancomunidad incluya las necesidades de personal para mantener no sólo la planta sino el sistemas de abastecimiento, y poder hacer frente a averías, mantenimiento de los nuevos bombeos previstos, etc. </w:t>
      </w:r>
    </w:p>
    <w:p w:rsidR="004C31E8" w:rsidRPr="00A9139A" w:rsidRDefault="004C31E8" w:rsidP="004C31E8">
      <w:pPr>
        <w:rPr>
          <w:rFonts w:ascii="Helvetica LT Std" w:hAnsi="Helvetica LT Std"/>
        </w:rPr>
      </w:pPr>
      <w:r w:rsidRPr="00A9139A">
        <w:rPr>
          <w:rFonts w:ascii="Helvetica LT Std" w:hAnsi="Helvetica LT Std"/>
        </w:rPr>
        <w:t>Si los costes de personal de alternativa 2 son más pr</w:t>
      </w:r>
      <w:r>
        <w:rPr>
          <w:rFonts w:ascii="Helvetica LT Std" w:hAnsi="Helvetica LT Std"/>
        </w:rPr>
        <w:t>ó</w:t>
      </w:r>
      <w:r w:rsidRPr="00A9139A">
        <w:rPr>
          <w:rFonts w:ascii="Helvetica LT Std" w:hAnsi="Helvetica LT Std"/>
        </w:rPr>
        <w:t>ximos a los cálculos de área técnica de la Mancomunidad y el canon del embalse no puede ser evitado, los costes de la alternativa 2, ascenderían a 0,34 euros/m</w:t>
      </w:r>
      <w:r w:rsidRPr="003A43C6">
        <w:rPr>
          <w:rFonts w:ascii="Helvetica LT Std" w:hAnsi="Helvetica LT Std"/>
          <w:vertAlign w:val="superscript"/>
        </w:rPr>
        <w:t>3</w:t>
      </w:r>
      <w:r w:rsidRPr="00A9139A">
        <w:rPr>
          <w:rFonts w:ascii="Helvetica LT Std" w:hAnsi="Helvetica LT Std"/>
        </w:rPr>
        <w:t xml:space="preserve">, más cara que la alternativa 1 </w:t>
      </w:r>
    </w:p>
    <w:p w:rsidR="004C31E8" w:rsidRPr="00A9139A" w:rsidRDefault="004C31E8" w:rsidP="004C31E8">
      <w:pPr>
        <w:rPr>
          <w:rFonts w:ascii="Helvetica LT Std" w:hAnsi="Helvetica LT Std"/>
        </w:rPr>
      </w:pPr>
      <w:r w:rsidRPr="00A9139A">
        <w:rPr>
          <w:rFonts w:ascii="Helvetica LT Std" w:hAnsi="Helvetica LT Std"/>
        </w:rPr>
        <w:t xml:space="preserve">Tampoco se ha tenido en cuenta en la alternativa 2 que, en el caso de no existir usuario de la presa de </w:t>
      </w:r>
      <w:proofErr w:type="spellStart"/>
      <w:r w:rsidRPr="00A9139A">
        <w:rPr>
          <w:rFonts w:ascii="Helvetica LT Std" w:hAnsi="Helvetica LT Std"/>
        </w:rPr>
        <w:t>Mairaga</w:t>
      </w:r>
      <w:proofErr w:type="spellEnd"/>
      <w:r w:rsidRPr="00A9139A">
        <w:rPr>
          <w:rFonts w:ascii="Helvetica LT Std" w:hAnsi="Helvetica LT Std"/>
        </w:rPr>
        <w:t>, el coste del derribo de la presa, traslado a vertedero de los materiales y re</w:t>
      </w:r>
      <w:r w:rsidRPr="00A9139A">
        <w:rPr>
          <w:rFonts w:ascii="Helvetica LT Std" w:hAnsi="Helvetica LT Std"/>
        </w:rPr>
        <w:t>s</w:t>
      </w:r>
      <w:r w:rsidRPr="00A9139A">
        <w:rPr>
          <w:rFonts w:ascii="Helvetica LT Std" w:hAnsi="Helvetica LT Std"/>
        </w:rPr>
        <w:t>tauración del vaso del embalse. No hay pronunciamiento por parte de la Confederación Hidrográf</w:t>
      </w:r>
      <w:r w:rsidRPr="00A9139A">
        <w:rPr>
          <w:rFonts w:ascii="Helvetica LT Std" w:hAnsi="Helvetica LT Std"/>
        </w:rPr>
        <w:t>i</w:t>
      </w:r>
      <w:r w:rsidRPr="00A9139A">
        <w:rPr>
          <w:rFonts w:ascii="Helvetica LT Std" w:hAnsi="Helvetica LT Std"/>
        </w:rPr>
        <w:t xml:space="preserve">ca del Ebro del destino de la presa y embalse, ni existe compromiso de no repercutir los costes del derribo a su único usuario, la Mancomunidad de </w:t>
      </w:r>
      <w:proofErr w:type="spellStart"/>
      <w:r w:rsidRPr="00A9139A">
        <w:rPr>
          <w:rFonts w:ascii="Helvetica LT Std" w:hAnsi="Helvetica LT Std"/>
        </w:rPr>
        <w:t>Mairaga</w:t>
      </w:r>
      <w:proofErr w:type="spellEnd"/>
      <w:r w:rsidRPr="00A9139A">
        <w:rPr>
          <w:rFonts w:ascii="Helvetica LT Std" w:hAnsi="Helvetica LT Std"/>
        </w:rPr>
        <w:t xml:space="preserve">. El coste del desmantelamiento de las </w:t>
      </w:r>
      <w:r w:rsidRPr="00A9139A">
        <w:rPr>
          <w:rFonts w:ascii="Helvetica LT Std" w:hAnsi="Helvetica LT Std"/>
        </w:rPr>
        <w:lastRenderedPageBreak/>
        <w:t xml:space="preserve">instalaciones de la ETAP de </w:t>
      </w:r>
      <w:proofErr w:type="spellStart"/>
      <w:r w:rsidRPr="00A9139A">
        <w:rPr>
          <w:rFonts w:ascii="Helvetica LT Std" w:hAnsi="Helvetica LT Std"/>
        </w:rPr>
        <w:t>Olóriz</w:t>
      </w:r>
      <w:proofErr w:type="spellEnd"/>
      <w:r w:rsidRPr="00A9139A">
        <w:rPr>
          <w:rFonts w:ascii="Helvetica LT Std" w:hAnsi="Helvetica LT Std"/>
        </w:rPr>
        <w:t xml:space="preserve"> tampoco ha sido tenido en cuenta en el presupuesto de la a</w:t>
      </w:r>
      <w:r w:rsidRPr="00A9139A">
        <w:rPr>
          <w:rFonts w:ascii="Helvetica LT Std" w:hAnsi="Helvetica LT Std"/>
        </w:rPr>
        <w:t>l</w:t>
      </w:r>
      <w:r w:rsidRPr="00A9139A">
        <w:rPr>
          <w:rFonts w:ascii="Helvetica LT Std" w:hAnsi="Helvetica LT Std"/>
        </w:rPr>
        <w:t xml:space="preserve">ternativa 2, siendo en este caso el responsable de dicha acción la Mancomunidad. </w:t>
      </w:r>
    </w:p>
    <w:p w:rsidR="004C31E8" w:rsidRPr="00A9139A" w:rsidRDefault="004C31E8" w:rsidP="004C31E8">
      <w:pPr>
        <w:rPr>
          <w:rFonts w:ascii="Helvetica LT Std" w:hAnsi="Helvetica LT Std"/>
        </w:rPr>
      </w:pPr>
      <w:r w:rsidRPr="00A9139A">
        <w:rPr>
          <w:rFonts w:ascii="Helvetica LT Std" w:hAnsi="Helvetica LT Std"/>
        </w:rPr>
        <w:t>Finalmente, y aún cuanto es difícil de cuantificar económicamente, existe un coste ambiental derivado de optar por un sistema de</w:t>
      </w:r>
      <w:r>
        <w:rPr>
          <w:rFonts w:ascii="Helvetica LT Std" w:hAnsi="Helvetica LT Std"/>
        </w:rPr>
        <w:t xml:space="preserve"> bombeo frente a un sistema de </w:t>
      </w:r>
      <w:r w:rsidRPr="00A9139A">
        <w:rPr>
          <w:rFonts w:ascii="Helvetica LT Std" w:hAnsi="Helvetica LT Std"/>
        </w:rPr>
        <w:t>distribución por gravedad, l</w:t>
      </w:r>
      <w:r w:rsidRPr="00A9139A">
        <w:rPr>
          <w:rFonts w:ascii="Helvetica LT Std" w:hAnsi="Helvetica LT Std"/>
        </w:rPr>
        <w:t>i</w:t>
      </w:r>
      <w:r w:rsidRPr="00A9139A">
        <w:rPr>
          <w:rFonts w:ascii="Helvetica LT Std" w:hAnsi="Helvetica LT Std"/>
        </w:rPr>
        <w:t>gado al consumo de energía (y dependiente de su precio) y al aumento de gases de efecto inve</w:t>
      </w:r>
      <w:r w:rsidRPr="00A9139A">
        <w:rPr>
          <w:rFonts w:ascii="Helvetica LT Std" w:hAnsi="Helvetica LT Std"/>
        </w:rPr>
        <w:t>r</w:t>
      </w:r>
      <w:r w:rsidRPr="00A9139A">
        <w:rPr>
          <w:rFonts w:ascii="Helvetica LT Std" w:hAnsi="Helvetica LT Std"/>
        </w:rPr>
        <w:t xml:space="preserve">nadero como consecuencia del proceso de generación de la misma </w:t>
      </w:r>
    </w:p>
    <w:p w:rsidR="004C31E8" w:rsidRPr="00A9139A" w:rsidRDefault="004C31E8" w:rsidP="004C31E8">
      <w:pPr>
        <w:rPr>
          <w:rFonts w:ascii="Helvetica LT Std" w:hAnsi="Helvetica LT Std"/>
        </w:rPr>
      </w:pPr>
      <w:r w:rsidRPr="00A9139A">
        <w:rPr>
          <w:rFonts w:ascii="Helvetica LT Std" w:hAnsi="Helvetica LT Std"/>
        </w:rPr>
        <w:t xml:space="preserve">Dejando de lado el posible objetivo estratégico del mantenimiento de la presa de </w:t>
      </w:r>
      <w:proofErr w:type="spellStart"/>
      <w:r w:rsidRPr="00A9139A">
        <w:rPr>
          <w:rFonts w:ascii="Helvetica LT Std" w:hAnsi="Helvetica LT Std"/>
        </w:rPr>
        <w:t>Mairaga</w:t>
      </w:r>
      <w:proofErr w:type="spellEnd"/>
      <w:r w:rsidRPr="00A9139A">
        <w:rPr>
          <w:rFonts w:ascii="Helvetica LT Std" w:hAnsi="Helvetica LT Std"/>
        </w:rPr>
        <w:t>, la alternativa 2 propuesta por los servicios técnicos de la Mancomunidad presenta numerosas ince</w:t>
      </w:r>
      <w:r w:rsidRPr="00A9139A">
        <w:rPr>
          <w:rFonts w:ascii="Helvetica LT Std" w:hAnsi="Helvetica LT Std"/>
        </w:rPr>
        <w:t>r</w:t>
      </w:r>
      <w:r w:rsidRPr="00A9139A">
        <w:rPr>
          <w:rFonts w:ascii="Helvetica LT Std" w:hAnsi="Helvetica LT Std"/>
        </w:rPr>
        <w:t xml:space="preserve">tidumbres administrativas con importantes implicaciones económicas que deberían haber sido aclaradas con las distintas administraciones concernidas. </w:t>
      </w:r>
    </w:p>
    <w:p w:rsidR="004C31E8" w:rsidRPr="00A9139A" w:rsidRDefault="004C31E8" w:rsidP="004C31E8">
      <w:pPr>
        <w:rPr>
          <w:rFonts w:ascii="Helvetica LT Std" w:hAnsi="Helvetica LT Std"/>
        </w:rPr>
      </w:pPr>
      <w:r w:rsidRPr="00A9139A">
        <w:rPr>
          <w:rFonts w:ascii="Helvetica LT Std" w:hAnsi="Helvetica LT Std"/>
        </w:rPr>
        <w:t xml:space="preserve">3. Análisis de la decisión tomada por la Asamblea General </w:t>
      </w:r>
    </w:p>
    <w:p w:rsidR="004C31E8" w:rsidRPr="00A9139A" w:rsidRDefault="004C31E8" w:rsidP="004C31E8">
      <w:pPr>
        <w:rPr>
          <w:rFonts w:ascii="Helvetica LT Std" w:hAnsi="Helvetica LT Std"/>
        </w:rPr>
      </w:pPr>
      <w:r w:rsidRPr="00A9139A">
        <w:rPr>
          <w:rFonts w:ascii="Helvetica LT Std" w:hAnsi="Helvetica LT Std"/>
        </w:rPr>
        <w:t>La Dirección de la Mancomunidad junto con personal técnico de la misma tuvo reuniones en 2016 con personal de los Servicios de Economía Circular y Agua, y de Infraestructuras Locales, con personal de Dirección Técnica de la Confederación Hidrográfica del Ebro (al que acompañó quién firma este informe). Los dos directores de servicio citados participamos en la asamblea i</w:t>
      </w:r>
      <w:r w:rsidRPr="00A9139A">
        <w:rPr>
          <w:rFonts w:ascii="Helvetica LT Std" w:hAnsi="Helvetica LT Std"/>
        </w:rPr>
        <w:t>n</w:t>
      </w:r>
      <w:r w:rsidRPr="00A9139A">
        <w:rPr>
          <w:rFonts w:ascii="Helvetica LT Std" w:hAnsi="Helvetica LT Std"/>
        </w:rPr>
        <w:t>formativa de fecha 11 de mayo de 2016 en Tafalla. Por lo que de cara a la toma de decisión se contaba con más información que los informes técnicos de la Mancomunidad. En relación con d</w:t>
      </w:r>
      <w:r w:rsidRPr="00A9139A">
        <w:rPr>
          <w:rFonts w:ascii="Helvetica LT Std" w:hAnsi="Helvetica LT Std"/>
        </w:rPr>
        <w:t>i</w:t>
      </w:r>
      <w:r w:rsidRPr="00A9139A">
        <w:rPr>
          <w:rFonts w:ascii="Helvetica LT Std" w:hAnsi="Helvetica LT Std"/>
        </w:rPr>
        <w:t xml:space="preserve">chos informes, los costes asociados son similares entre la alternativa 1 y 2, sin bien es ligeramente más económica la 2. Sin embargo, las incertidumbres tanto administrativas como económicas asociadas a la alternativa 2 citadas en el punto anterior tienen que haber sido conocidas por una mayoría de los miembros de la Asamblea. </w:t>
      </w:r>
    </w:p>
    <w:p w:rsidR="004C31E8" w:rsidRPr="00A9139A" w:rsidRDefault="004C31E8" w:rsidP="004C31E8">
      <w:pPr>
        <w:rPr>
          <w:rFonts w:ascii="Helvetica LT Std" w:hAnsi="Helvetica LT Std"/>
        </w:rPr>
      </w:pPr>
      <w:r w:rsidRPr="00A9139A">
        <w:rPr>
          <w:rFonts w:ascii="Helvetica LT Std" w:hAnsi="Helvetica LT Std"/>
        </w:rPr>
        <w:t>En cuanto al cumplimiento del Plan Director de Abastecimiento, la selección de la alternativa 1 responde a una situación coyuntural a 2106, y no invalida la solución propuesta en dicho Plan, ni la viabilidad de la planta de La Pedrera, que es necesaria en el momento actual en caso de sequía y absolutamente necesaria cuando se incorporen la poblaciones del sur de la Mancomunidad. Como ya se ha indicado, el Plan Director de Abastecimiento, ampliado a Plan Director del Ciclo Integral del Agua de uso urbano está en revisión, y previsiblemente será aprobado en 2018, co</w:t>
      </w:r>
      <w:r w:rsidRPr="00A9139A">
        <w:rPr>
          <w:rFonts w:ascii="Helvetica LT Std" w:hAnsi="Helvetica LT Std"/>
        </w:rPr>
        <w:t>n</w:t>
      </w:r>
      <w:r w:rsidRPr="00A9139A">
        <w:rPr>
          <w:rFonts w:ascii="Helvetica LT Std" w:hAnsi="Helvetica LT Std"/>
        </w:rPr>
        <w:t xml:space="preserve">templando en el momento actual tanto la solución Canal de Navarra en exclusiva como Canal de </w:t>
      </w:r>
      <w:proofErr w:type="spellStart"/>
      <w:r w:rsidRPr="00A9139A">
        <w:rPr>
          <w:rFonts w:ascii="Helvetica LT Std" w:hAnsi="Helvetica LT Std"/>
        </w:rPr>
        <w:t>Navarra+Embalse</w:t>
      </w:r>
      <w:proofErr w:type="spellEnd"/>
      <w:r w:rsidRPr="00A9139A">
        <w:rPr>
          <w:rFonts w:ascii="Helvetica LT Std" w:hAnsi="Helvetica LT Std"/>
        </w:rPr>
        <w:t xml:space="preserve"> de </w:t>
      </w:r>
      <w:proofErr w:type="spellStart"/>
      <w:r w:rsidRPr="00A9139A">
        <w:rPr>
          <w:rFonts w:ascii="Helvetica LT Std" w:hAnsi="Helvetica LT Std"/>
        </w:rPr>
        <w:t>Mairaga</w:t>
      </w:r>
      <w:proofErr w:type="spellEnd"/>
      <w:r w:rsidRPr="00A9139A">
        <w:rPr>
          <w:rFonts w:ascii="Helvetica LT Std" w:hAnsi="Helvetica LT Std"/>
        </w:rPr>
        <w:t>. Este Servicio desconoce el estudio del área técnica de la Manc</w:t>
      </w:r>
      <w:r w:rsidRPr="00A9139A">
        <w:rPr>
          <w:rFonts w:ascii="Helvetica LT Std" w:hAnsi="Helvetica LT Std"/>
        </w:rPr>
        <w:t>o</w:t>
      </w:r>
      <w:r w:rsidRPr="00A9139A">
        <w:rPr>
          <w:rFonts w:ascii="Helvetica LT Std" w:hAnsi="Helvetica LT Std"/>
        </w:rPr>
        <w:t>munidad sobre el borrador de Plan Director citado en el informe de la Cámara de Comptos, ni si incluye las incertidumbres citadas anteriormente, pero sí se conocen los cálculos de la empresa pública NILSA para el Plan Director, que se consideran correctos, y que plantean como más ec</w:t>
      </w:r>
      <w:r w:rsidRPr="00A9139A">
        <w:rPr>
          <w:rFonts w:ascii="Helvetica LT Std" w:hAnsi="Helvetica LT Std"/>
        </w:rPr>
        <w:t>o</w:t>
      </w:r>
      <w:r w:rsidRPr="00A9139A">
        <w:rPr>
          <w:rFonts w:ascii="Helvetica LT Std" w:hAnsi="Helvetica LT Std"/>
        </w:rPr>
        <w:t>nómica la solución conjunta, si bien con costes similares a la solución Canal de Navarra en excl</w:t>
      </w:r>
      <w:r w:rsidRPr="00A9139A">
        <w:rPr>
          <w:rFonts w:ascii="Helvetica LT Std" w:hAnsi="Helvetica LT Std"/>
        </w:rPr>
        <w:t>u</w:t>
      </w:r>
      <w:r w:rsidRPr="00A9139A">
        <w:rPr>
          <w:rFonts w:ascii="Helvetica LT Std" w:hAnsi="Helvetica LT Std"/>
        </w:rPr>
        <w:t xml:space="preserve">siva </w:t>
      </w:r>
    </w:p>
    <w:p w:rsidR="004C31E8" w:rsidRPr="00A9139A" w:rsidRDefault="004C31E8" w:rsidP="004C31E8">
      <w:pPr>
        <w:rPr>
          <w:rFonts w:ascii="Helvetica LT Std" w:hAnsi="Helvetica LT Std"/>
        </w:rPr>
      </w:pPr>
      <w:r w:rsidRPr="00A9139A">
        <w:rPr>
          <w:rFonts w:ascii="Helvetica LT Std" w:hAnsi="Helvetica LT Std"/>
        </w:rPr>
        <w:t xml:space="preserve">4. Repercusión en la decisión tomada en las tarifas de los usuarios </w:t>
      </w:r>
    </w:p>
    <w:p w:rsidR="004C31E8" w:rsidRPr="00A9139A" w:rsidRDefault="004C31E8" w:rsidP="004C31E8">
      <w:pPr>
        <w:rPr>
          <w:rFonts w:ascii="Helvetica LT Std" w:hAnsi="Helvetica LT Std"/>
        </w:rPr>
      </w:pPr>
      <w:r w:rsidRPr="00A9139A">
        <w:rPr>
          <w:rFonts w:ascii="Helvetica LT Std" w:hAnsi="Helvetica LT Std"/>
        </w:rPr>
        <w:t xml:space="preserve">En este caso, el Servicio de Economía Circular y Agua carece de datos para evaluar esta materia, por lo que no hay nada que informar. </w:t>
      </w:r>
    </w:p>
    <w:p w:rsidR="004C31E8" w:rsidRPr="00A9139A" w:rsidRDefault="004C31E8" w:rsidP="004C31E8">
      <w:pPr>
        <w:rPr>
          <w:rFonts w:ascii="Helvetica LT Std" w:hAnsi="Helvetica LT Std"/>
        </w:rPr>
      </w:pPr>
      <w:r w:rsidRPr="00A9139A">
        <w:rPr>
          <w:rFonts w:ascii="Helvetica LT Std" w:hAnsi="Helvetica LT Std"/>
        </w:rPr>
        <w:t xml:space="preserve">5.- Conclusión final y recomendaciones </w:t>
      </w:r>
    </w:p>
    <w:p w:rsidR="004C31E8" w:rsidRPr="00A9139A" w:rsidRDefault="004C31E8" w:rsidP="004C31E8">
      <w:pPr>
        <w:rPr>
          <w:rFonts w:ascii="Helvetica LT Std" w:hAnsi="Helvetica LT Std"/>
        </w:rPr>
      </w:pPr>
      <w:r w:rsidRPr="00A9139A">
        <w:rPr>
          <w:rFonts w:ascii="Helvetica LT Std" w:hAnsi="Helvetica LT Std"/>
        </w:rPr>
        <w:t xml:space="preserve">Este Servicio está de acuerdo con las conclusiones expuestas en el informe de la Cámara de Comptos, si bien hay que matizar que los informes técnicos y económicos elaborados por el personal técnico contenían suficientes incertidumbres como para que la Asamblea adoptase otra decisión distinta de la más económica calculada en el informe técnico, que en todo caso era muy similares en las alternativas 1 y 2. Las motivaciones de dicha decisión serían fácilmente </w:t>
      </w:r>
      <w:proofErr w:type="spellStart"/>
      <w:r w:rsidRPr="00A9139A">
        <w:rPr>
          <w:rFonts w:ascii="Helvetica LT Std" w:hAnsi="Helvetica LT Std"/>
        </w:rPr>
        <w:t>aport</w:t>
      </w:r>
      <w:r w:rsidRPr="00A9139A">
        <w:rPr>
          <w:rFonts w:ascii="Helvetica LT Std" w:hAnsi="Helvetica LT Std"/>
        </w:rPr>
        <w:t>a</w:t>
      </w:r>
      <w:r w:rsidRPr="00A9139A">
        <w:rPr>
          <w:rFonts w:ascii="Helvetica LT Std" w:hAnsi="Helvetica LT Std"/>
        </w:rPr>
        <w:t>bles</w:t>
      </w:r>
      <w:proofErr w:type="spellEnd"/>
      <w:r w:rsidRPr="00A9139A">
        <w:rPr>
          <w:rFonts w:ascii="Helvetica LT Std" w:hAnsi="Helvetica LT Std"/>
        </w:rPr>
        <w:t xml:space="preserve">. </w:t>
      </w:r>
    </w:p>
    <w:p w:rsidR="004C31E8" w:rsidRPr="00A9139A" w:rsidRDefault="004C31E8" w:rsidP="004C31E8">
      <w:pPr>
        <w:rPr>
          <w:rFonts w:ascii="Helvetica LT Std" w:hAnsi="Helvetica LT Std"/>
        </w:rPr>
      </w:pPr>
      <w:r w:rsidRPr="00A9139A">
        <w:rPr>
          <w:rFonts w:ascii="Helvetica LT Std" w:hAnsi="Helvetica LT Std"/>
        </w:rPr>
        <w:t xml:space="preserve">Sobre el empleo de los recursos disponibles por la Mancomunidad relativos a la inversión en la planta de </w:t>
      </w:r>
      <w:r>
        <w:rPr>
          <w:rFonts w:ascii="Helvetica LT Std" w:hAnsi="Helvetica LT Std"/>
        </w:rPr>
        <w:t xml:space="preserve">La Pedrera </w:t>
      </w:r>
      <w:r w:rsidRPr="00A9139A">
        <w:rPr>
          <w:rFonts w:ascii="Helvetica LT Std" w:hAnsi="Helvetica LT Std"/>
        </w:rPr>
        <w:t>sería deseable acelerar la conexión de las poblaciones del sur de la Ma</w:t>
      </w:r>
      <w:r w:rsidRPr="00A9139A">
        <w:rPr>
          <w:rFonts w:ascii="Helvetica LT Std" w:hAnsi="Helvetica LT Std"/>
        </w:rPr>
        <w:t>n</w:t>
      </w:r>
      <w:r w:rsidRPr="00A9139A">
        <w:rPr>
          <w:rFonts w:ascii="Helvetica LT Std" w:hAnsi="Helvetica LT Std"/>
        </w:rPr>
        <w:t>comunidad con el depósito de La Pedrera para que entre en funcionamiento en continuo cuanto antes, solucionando problemas de calidad que presentan la mayoría de dichas localidades, y r</w:t>
      </w:r>
      <w:r w:rsidRPr="00A9139A">
        <w:rPr>
          <w:rFonts w:ascii="Helvetica LT Std" w:hAnsi="Helvetica LT Std"/>
        </w:rPr>
        <w:t>e</w:t>
      </w:r>
      <w:r w:rsidRPr="00A9139A">
        <w:rPr>
          <w:rFonts w:ascii="Helvetica LT Std" w:hAnsi="Helvetica LT Std"/>
        </w:rPr>
        <w:t xml:space="preserve">forzando el suministro de las poblaciones abastecidas por el embalse de </w:t>
      </w:r>
      <w:proofErr w:type="spellStart"/>
      <w:r w:rsidRPr="00A9139A">
        <w:rPr>
          <w:rFonts w:ascii="Helvetica LT Std" w:hAnsi="Helvetica LT Std"/>
        </w:rPr>
        <w:t>Mairaga</w:t>
      </w:r>
      <w:proofErr w:type="spellEnd"/>
      <w:r w:rsidRPr="00A9139A">
        <w:rPr>
          <w:rFonts w:ascii="Helvetica LT Std" w:hAnsi="Helvetica LT Std"/>
        </w:rPr>
        <w:t xml:space="preserve">, en especial aguas abajo de dicha planta. </w:t>
      </w:r>
    </w:p>
    <w:p w:rsidR="004C31E8" w:rsidRPr="00A9139A" w:rsidRDefault="004C31E8" w:rsidP="004C31E8">
      <w:pPr>
        <w:rPr>
          <w:rFonts w:ascii="Helvetica LT Std" w:hAnsi="Helvetica LT Std"/>
        </w:rPr>
      </w:pPr>
      <w:r w:rsidRPr="00A9139A">
        <w:rPr>
          <w:rFonts w:ascii="Helvetica LT Std" w:hAnsi="Helvetica LT Std"/>
        </w:rPr>
        <w:lastRenderedPageBreak/>
        <w:t>En relación con las dos recomendaciones presentadas en el informe de la Cámara de Co</w:t>
      </w:r>
      <w:r w:rsidRPr="00A9139A">
        <w:rPr>
          <w:rFonts w:ascii="Helvetica LT Std" w:hAnsi="Helvetica LT Std"/>
        </w:rPr>
        <w:t>m</w:t>
      </w:r>
      <w:r w:rsidRPr="00A9139A">
        <w:rPr>
          <w:rFonts w:ascii="Helvetica LT Std" w:hAnsi="Helvetica LT Std"/>
        </w:rPr>
        <w:t xml:space="preserve">ptos también se consideran correctos a nivel general: </w:t>
      </w:r>
    </w:p>
    <w:p w:rsidR="004C31E8" w:rsidRPr="008A1CA0" w:rsidRDefault="004C31E8" w:rsidP="004C31E8">
      <w:pPr>
        <w:pStyle w:val="Prrafodelista"/>
        <w:numPr>
          <w:ilvl w:val="0"/>
          <w:numId w:val="24"/>
        </w:numPr>
        <w:spacing w:after="200" w:line="276" w:lineRule="auto"/>
        <w:jc w:val="left"/>
        <w:rPr>
          <w:rFonts w:ascii="Helvetica LT Std" w:hAnsi="Helvetica LT Std"/>
        </w:rPr>
      </w:pPr>
      <w:r w:rsidRPr="008A1CA0">
        <w:rPr>
          <w:rFonts w:ascii="Helvetica LT Std" w:hAnsi="Helvetica LT Std"/>
        </w:rPr>
        <w:t xml:space="preserve">Considerar los informes técnicos y económicos para la toma de decisiones, motivando suficientemente la adopción de acuerdos que se separan del criterio establecido en los mismos. </w:t>
      </w:r>
    </w:p>
    <w:p w:rsidR="004C31E8" w:rsidRPr="008A1CA0" w:rsidRDefault="004C31E8" w:rsidP="004C31E8">
      <w:pPr>
        <w:pStyle w:val="Prrafodelista"/>
        <w:numPr>
          <w:ilvl w:val="0"/>
          <w:numId w:val="24"/>
        </w:numPr>
        <w:spacing w:after="200" w:line="276" w:lineRule="auto"/>
        <w:jc w:val="left"/>
        <w:rPr>
          <w:rFonts w:ascii="Helvetica LT Std" w:hAnsi="Helvetica LT Std"/>
        </w:rPr>
      </w:pPr>
      <w:r w:rsidRPr="008A1CA0">
        <w:rPr>
          <w:rFonts w:ascii="Helvetica LT Std" w:hAnsi="Helvetica LT Std"/>
        </w:rPr>
        <w:t>Coordinar las actuaciones entre la Mancomunidad y el resto de administraciones y e</w:t>
      </w:r>
      <w:r w:rsidRPr="008A1CA0">
        <w:rPr>
          <w:rFonts w:ascii="Helvetica LT Std" w:hAnsi="Helvetica LT Std"/>
        </w:rPr>
        <w:t>n</w:t>
      </w:r>
      <w:r w:rsidRPr="008A1CA0">
        <w:rPr>
          <w:rFonts w:ascii="Helvetica LT Std" w:hAnsi="Helvetica LT Std"/>
        </w:rPr>
        <w:t xml:space="preserve">tidades públicas para mejorar la gestión y utilización de los recursos públicos </w:t>
      </w:r>
    </w:p>
    <w:p w:rsidR="004C31E8" w:rsidRPr="008A1CA0" w:rsidRDefault="004C31E8" w:rsidP="004C31E8">
      <w:pPr>
        <w:pStyle w:val="Prrafodelista"/>
        <w:numPr>
          <w:ilvl w:val="0"/>
          <w:numId w:val="24"/>
        </w:numPr>
        <w:spacing w:after="200" w:line="276" w:lineRule="auto"/>
        <w:jc w:val="left"/>
        <w:rPr>
          <w:rFonts w:ascii="Helvetica LT Std" w:hAnsi="Helvetica LT Std"/>
        </w:rPr>
      </w:pPr>
      <w:r w:rsidRPr="008A1CA0">
        <w:rPr>
          <w:rFonts w:ascii="Helvetica LT Std" w:hAnsi="Helvetica LT Std"/>
        </w:rPr>
        <w:t>En el caso concreto de decisión de la asamblea general se puede concluir del cont</w:t>
      </w:r>
      <w:r w:rsidRPr="008A1CA0">
        <w:rPr>
          <w:rFonts w:ascii="Helvetica LT Std" w:hAnsi="Helvetica LT Std"/>
        </w:rPr>
        <w:t>e</w:t>
      </w:r>
      <w:r w:rsidRPr="008A1CA0">
        <w:rPr>
          <w:rFonts w:ascii="Helvetica LT Std" w:hAnsi="Helvetica LT Std"/>
        </w:rPr>
        <w:t>nido del presente informe que la decisión fue correcta, y la aplicación de las dos rec</w:t>
      </w:r>
      <w:r w:rsidRPr="008A1CA0">
        <w:rPr>
          <w:rFonts w:ascii="Helvetica LT Std" w:hAnsi="Helvetica LT Std"/>
        </w:rPr>
        <w:t>o</w:t>
      </w:r>
      <w:r w:rsidRPr="008A1CA0">
        <w:rPr>
          <w:rFonts w:ascii="Helvetica LT Std" w:hAnsi="Helvetica LT Std"/>
        </w:rPr>
        <w:t>mendaciones del informe de la Cámara de Comptos implica que si el área técnica de la mancomunidad plantea en el futuro alguna alternativa como la 2, debería justificarla teniendo en cuenta todos los costes, acotándolos con el resto de administraciones i</w:t>
      </w:r>
      <w:r w:rsidRPr="008A1CA0">
        <w:rPr>
          <w:rFonts w:ascii="Helvetica LT Std" w:hAnsi="Helvetica LT Std"/>
        </w:rPr>
        <w:t>m</w:t>
      </w:r>
      <w:r w:rsidRPr="008A1CA0">
        <w:rPr>
          <w:rFonts w:ascii="Helvetica LT Std" w:hAnsi="Helvetica LT Std"/>
        </w:rPr>
        <w:t xml:space="preserve">plicadas, tanto con la Confederación Hidrográfica del Ebro como titular de la presa de </w:t>
      </w:r>
      <w:proofErr w:type="spellStart"/>
      <w:r w:rsidRPr="008A1CA0">
        <w:rPr>
          <w:rFonts w:ascii="Helvetica LT Std" w:hAnsi="Helvetica LT Std"/>
        </w:rPr>
        <w:t>Mairaga</w:t>
      </w:r>
      <w:proofErr w:type="spellEnd"/>
      <w:r w:rsidRPr="008A1CA0">
        <w:rPr>
          <w:rFonts w:ascii="Helvetica LT Std" w:hAnsi="Helvetica LT Std"/>
        </w:rPr>
        <w:t xml:space="preserve"> (en tanto no sea objeto de traspaso al Gobierno de Navarra y posteriormente a la Mancomunidad), como con el Gobierno de Navarra para concretar un posible compromiso en relación a otros usos en el embalse de </w:t>
      </w:r>
      <w:proofErr w:type="spellStart"/>
      <w:r w:rsidRPr="008A1CA0">
        <w:rPr>
          <w:rFonts w:ascii="Helvetica LT Std" w:hAnsi="Helvetica LT Std"/>
        </w:rPr>
        <w:t>Mairaga</w:t>
      </w:r>
      <w:proofErr w:type="spellEnd"/>
      <w:r w:rsidRPr="008A1CA0">
        <w:rPr>
          <w:rFonts w:ascii="Helvetica LT Std" w:hAnsi="Helvetica LT Std"/>
        </w:rPr>
        <w:t xml:space="preserve"> y prestar la necesaria colaboración en la modificación del Plan Director del Ciclo Integral del Agua de uso urbano </w:t>
      </w:r>
    </w:p>
    <w:p w:rsidR="004C31E8" w:rsidRPr="00A9139A" w:rsidRDefault="004C31E8" w:rsidP="004C31E8">
      <w:pPr>
        <w:rPr>
          <w:rFonts w:ascii="Helvetica LT Std" w:hAnsi="Helvetica LT Std"/>
        </w:rPr>
      </w:pPr>
      <w:r w:rsidRPr="00A9139A">
        <w:rPr>
          <w:rFonts w:ascii="Helvetica LT Std" w:hAnsi="Helvetica LT Std"/>
        </w:rPr>
        <w:t xml:space="preserve">El Director de Servicio de Economía Circular Y </w:t>
      </w:r>
      <w:r>
        <w:rPr>
          <w:rFonts w:ascii="Helvetica LT Std" w:hAnsi="Helvetica LT Std"/>
        </w:rPr>
        <w:t xml:space="preserve">Agua: </w:t>
      </w:r>
      <w:r w:rsidRPr="00A9139A">
        <w:rPr>
          <w:rFonts w:ascii="Helvetica LT Std" w:hAnsi="Helvetica LT Std"/>
        </w:rPr>
        <w:t xml:space="preserve">César Pérez Martín </w:t>
      </w:r>
    </w:p>
    <w:p w:rsidR="004C31E8" w:rsidRPr="00A9139A" w:rsidRDefault="004C31E8" w:rsidP="004C31E8">
      <w:pPr>
        <w:rPr>
          <w:rFonts w:ascii="Helvetica LT Std" w:hAnsi="Helvetica LT Std"/>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DF2474"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color w:val="FF0000"/>
        </w:rPr>
        <w:sectPr w:rsidR="00EC43D9" w:rsidRPr="00DF2474" w:rsidSect="008438BB">
          <w:headerReference w:type="even" r:id="rId27"/>
          <w:footerReference w:type="default" r:id="rId28"/>
          <w:type w:val="oddPage"/>
          <w:pgSz w:w="11907" w:h="16840" w:code="9"/>
          <w:pgMar w:top="2109" w:right="1559" w:bottom="1644" w:left="1559" w:header="369" w:footer="136" w:gutter="0"/>
          <w:cols w:space="720"/>
          <w:docGrid w:linePitch="360"/>
        </w:sectPr>
      </w:pPr>
    </w:p>
    <w:p w:rsidR="00EC43D9" w:rsidRPr="00F555B0" w:rsidRDefault="00EC43D9" w:rsidP="00E277B6">
      <w:pPr>
        <w:pStyle w:val="atitulo1"/>
        <w:rPr>
          <w:color w:val="auto"/>
        </w:rPr>
      </w:pPr>
      <w:bookmarkStart w:id="61" w:name="_Toc475449751"/>
      <w:bookmarkStart w:id="62" w:name="_Toc479322237"/>
      <w:bookmarkStart w:id="63" w:name="_Toc481570549"/>
      <w:bookmarkStart w:id="64" w:name="_Toc485978845"/>
      <w:bookmarkStart w:id="65" w:name="_Toc505686778"/>
      <w:r w:rsidRPr="00F555B0">
        <w:rPr>
          <w:color w:val="auto"/>
        </w:rPr>
        <w:lastRenderedPageBreak/>
        <w:t>Contestación de la Cámara de Comptos a las alegaciones presentadas al informe provisional</w:t>
      </w:r>
      <w:bookmarkEnd w:id="61"/>
      <w:bookmarkEnd w:id="62"/>
      <w:bookmarkEnd w:id="63"/>
      <w:bookmarkEnd w:id="64"/>
      <w:bookmarkEnd w:id="65"/>
    </w:p>
    <w:p w:rsidR="00E277B6" w:rsidRPr="00E277B6" w:rsidRDefault="00E277B6" w:rsidP="00E277B6">
      <w:pPr>
        <w:spacing w:after="200" w:line="276" w:lineRule="auto"/>
        <w:ind w:firstLine="0"/>
        <w:rPr>
          <w:rFonts w:ascii="Arial" w:eastAsiaTheme="minorHAnsi" w:hAnsi="Arial" w:cs="Arial"/>
          <w:sz w:val="24"/>
          <w:szCs w:val="24"/>
          <w:lang w:val="es-ES"/>
        </w:rPr>
      </w:pPr>
      <w:r w:rsidRPr="00E277B6">
        <w:rPr>
          <w:rFonts w:ascii="Arial" w:eastAsiaTheme="minorHAnsi" w:hAnsi="Arial" w:cs="Arial"/>
          <w:sz w:val="24"/>
          <w:szCs w:val="24"/>
          <w:lang w:val="es-ES"/>
        </w:rPr>
        <w:t>Agradecemos a la Mancomunidad de Mairaga y al Departamento de Desarrollo Rural, Medio Ambiente y Administración Local las alegaciones que nos han pr</w:t>
      </w:r>
      <w:r w:rsidRPr="00E277B6">
        <w:rPr>
          <w:rFonts w:ascii="Arial" w:eastAsiaTheme="minorHAnsi" w:hAnsi="Arial" w:cs="Arial"/>
          <w:sz w:val="24"/>
          <w:szCs w:val="24"/>
          <w:lang w:val="es-ES"/>
        </w:rPr>
        <w:t>e</w:t>
      </w:r>
      <w:r w:rsidRPr="00E277B6">
        <w:rPr>
          <w:rFonts w:ascii="Arial" w:eastAsiaTheme="minorHAnsi" w:hAnsi="Arial" w:cs="Arial"/>
          <w:sz w:val="24"/>
          <w:szCs w:val="24"/>
          <w:lang w:val="es-ES"/>
        </w:rPr>
        <w:t>sentado. Estas alegaciones se incorporan al informe provisional y se eleva éste a definitivo al considerar que constituyen una explicación de la fiscalización realiz</w:t>
      </w:r>
      <w:r w:rsidRPr="00E277B6">
        <w:rPr>
          <w:rFonts w:ascii="Arial" w:eastAsiaTheme="minorHAnsi" w:hAnsi="Arial" w:cs="Arial"/>
          <w:sz w:val="24"/>
          <w:szCs w:val="24"/>
          <w:lang w:val="es-ES"/>
        </w:rPr>
        <w:t>a</w:t>
      </w:r>
      <w:r w:rsidRPr="00E277B6">
        <w:rPr>
          <w:rFonts w:ascii="Arial" w:eastAsiaTheme="minorHAnsi" w:hAnsi="Arial" w:cs="Arial"/>
          <w:sz w:val="24"/>
          <w:szCs w:val="24"/>
          <w:lang w:val="es-ES"/>
        </w:rPr>
        <w:t>da y no alteran su contenido, si bien a esta Cámara le gustaría señalar los s</w:t>
      </w:r>
      <w:r w:rsidRPr="00E277B6">
        <w:rPr>
          <w:rFonts w:ascii="Arial" w:eastAsiaTheme="minorHAnsi" w:hAnsi="Arial" w:cs="Arial"/>
          <w:sz w:val="24"/>
          <w:szCs w:val="24"/>
          <w:lang w:val="es-ES"/>
        </w:rPr>
        <w:t>i</w:t>
      </w:r>
      <w:r w:rsidRPr="00E277B6">
        <w:rPr>
          <w:rFonts w:ascii="Arial" w:eastAsiaTheme="minorHAnsi" w:hAnsi="Arial" w:cs="Arial"/>
          <w:sz w:val="24"/>
          <w:szCs w:val="24"/>
          <w:lang w:val="es-ES"/>
        </w:rPr>
        <w:t>guientes aspectos:</w:t>
      </w:r>
    </w:p>
    <w:p w:rsidR="00E277B6" w:rsidRPr="00E277B6" w:rsidRDefault="00E277B6" w:rsidP="00E277B6">
      <w:pPr>
        <w:spacing w:after="200" w:line="276" w:lineRule="auto"/>
        <w:ind w:firstLine="0"/>
        <w:rPr>
          <w:rFonts w:ascii="Arial" w:eastAsiaTheme="minorHAnsi" w:hAnsi="Arial" w:cs="Arial"/>
          <w:i/>
          <w:sz w:val="24"/>
          <w:szCs w:val="24"/>
          <w:lang w:val="es-ES"/>
        </w:rPr>
      </w:pPr>
      <w:r w:rsidRPr="00E277B6">
        <w:rPr>
          <w:rFonts w:ascii="Arial" w:eastAsiaTheme="minorHAnsi" w:hAnsi="Arial" w:cs="Arial"/>
          <w:i/>
          <w:sz w:val="24"/>
          <w:szCs w:val="24"/>
          <w:lang w:val="es-ES"/>
        </w:rPr>
        <w:t>Alegaciones formuladas por la Mancomunidad de Mairaga</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sidRPr="00E277B6">
        <w:rPr>
          <w:rFonts w:ascii="Arial" w:eastAsiaTheme="minorHAnsi" w:hAnsi="Arial" w:cs="Arial"/>
          <w:sz w:val="24"/>
          <w:szCs w:val="24"/>
        </w:rPr>
        <w:t>En la página 1 se hace alusión a la utilización de determinados conceptos para calificar distintas alternativas. En lo que respecta al empleo de los términos “la más barata” queremos destacar que se ha reproducido lo incluido en el informe del área técnica de la mancomunidad.</w:t>
      </w:r>
    </w:p>
    <w:p w:rsidR="00E277B6" w:rsidRPr="00E277B6" w:rsidRDefault="00E277B6" w:rsidP="00E277B6">
      <w:pPr>
        <w:tabs>
          <w:tab w:val="left" w:pos="284"/>
        </w:tabs>
        <w:spacing w:after="120" w:line="276" w:lineRule="auto"/>
        <w:ind w:firstLine="0"/>
        <w:rPr>
          <w:rFonts w:ascii="Arial" w:eastAsiaTheme="minorHAnsi" w:hAnsi="Arial" w:cs="Arial"/>
          <w:sz w:val="24"/>
          <w:szCs w:val="24"/>
        </w:rPr>
      </w:pPr>
      <w:r w:rsidRPr="00E277B6">
        <w:rPr>
          <w:rFonts w:ascii="Arial" w:eastAsiaTheme="minorHAnsi" w:hAnsi="Arial" w:cs="Arial"/>
          <w:sz w:val="24"/>
          <w:szCs w:val="24"/>
        </w:rPr>
        <w:t>En cuanto a que los resultados entre alternativas, según la propuesta de actual</w:t>
      </w:r>
      <w:r w:rsidRPr="00E277B6">
        <w:rPr>
          <w:rFonts w:ascii="Arial" w:eastAsiaTheme="minorHAnsi" w:hAnsi="Arial" w:cs="Arial"/>
          <w:sz w:val="24"/>
          <w:szCs w:val="24"/>
        </w:rPr>
        <w:t>i</w:t>
      </w:r>
      <w:r w:rsidRPr="00E277B6">
        <w:rPr>
          <w:rFonts w:ascii="Arial" w:eastAsiaTheme="minorHAnsi" w:hAnsi="Arial" w:cs="Arial"/>
          <w:sz w:val="24"/>
          <w:szCs w:val="24"/>
        </w:rPr>
        <w:t>zación del Plan Director presentan precios similares, esta Cámara las decidió cal</w:t>
      </w:r>
      <w:r w:rsidRPr="00E277B6">
        <w:rPr>
          <w:rFonts w:ascii="Arial" w:eastAsiaTheme="minorHAnsi" w:hAnsi="Arial" w:cs="Arial"/>
          <w:sz w:val="24"/>
          <w:szCs w:val="24"/>
        </w:rPr>
        <w:t>i</w:t>
      </w:r>
      <w:r w:rsidRPr="00E277B6">
        <w:rPr>
          <w:rFonts w:ascii="Arial" w:eastAsiaTheme="minorHAnsi" w:hAnsi="Arial" w:cs="Arial"/>
          <w:sz w:val="24"/>
          <w:szCs w:val="24"/>
        </w:rPr>
        <w:t>ficar así sin dar datos concretos, ya que a la fecha de redacción del informe, y así sigue hoy en día, la actualización del Plan Director aún se está llevando a cabo y no existe ningún documento oficial en firme,  tal y como se especifica en nuestro informe, pudiendo cambiar el resultado indicado en las alegaciones.</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sidRPr="00E277B6">
        <w:rPr>
          <w:rFonts w:ascii="Arial" w:eastAsiaTheme="minorHAnsi" w:hAnsi="Arial" w:cs="Arial"/>
          <w:sz w:val="24"/>
          <w:szCs w:val="24"/>
        </w:rPr>
        <w:t>Queremos destacar que nuestro informe ha emitido una opinión sobre los i</w:t>
      </w:r>
      <w:r w:rsidRPr="00E277B6">
        <w:rPr>
          <w:rFonts w:ascii="Arial" w:eastAsiaTheme="minorHAnsi" w:hAnsi="Arial" w:cs="Arial"/>
          <w:sz w:val="24"/>
          <w:szCs w:val="24"/>
        </w:rPr>
        <w:t>n</w:t>
      </w:r>
      <w:r w:rsidRPr="00E277B6">
        <w:rPr>
          <w:rFonts w:ascii="Arial" w:eastAsiaTheme="minorHAnsi" w:hAnsi="Arial" w:cs="Arial"/>
          <w:sz w:val="24"/>
          <w:szCs w:val="24"/>
        </w:rPr>
        <w:t>formes técnicos que se realizaron para tomar la decisión sobre abastecimiento; dichos informes reflejaban situaciones y escenarios hipotéticos en ese momento concreto que son los que esta Cámara entiende que deben hacerse para adoptar una decisión, sin entrar a valorar lo que la realidad posterior a la toma de la dec</w:t>
      </w:r>
      <w:r w:rsidRPr="00E277B6">
        <w:rPr>
          <w:rFonts w:ascii="Arial" w:eastAsiaTheme="minorHAnsi" w:hAnsi="Arial" w:cs="Arial"/>
          <w:sz w:val="24"/>
          <w:szCs w:val="24"/>
        </w:rPr>
        <w:t>i</w:t>
      </w:r>
      <w:r w:rsidRPr="00E277B6">
        <w:rPr>
          <w:rFonts w:ascii="Arial" w:eastAsiaTheme="minorHAnsi" w:hAnsi="Arial" w:cs="Arial"/>
          <w:sz w:val="24"/>
          <w:szCs w:val="24"/>
        </w:rPr>
        <w:t>sión haya supuesto. Por este motivo, esta Cámara no ha revisado los datos que se aportan en la página 1 y 2 sobre el ahorro que ha supuesto para la mancom</w:t>
      </w:r>
      <w:r w:rsidRPr="00E277B6">
        <w:rPr>
          <w:rFonts w:ascii="Arial" w:eastAsiaTheme="minorHAnsi" w:hAnsi="Arial" w:cs="Arial"/>
          <w:sz w:val="24"/>
          <w:szCs w:val="24"/>
        </w:rPr>
        <w:t>u</w:t>
      </w:r>
      <w:r w:rsidRPr="00E277B6">
        <w:rPr>
          <w:rFonts w:ascii="Arial" w:eastAsiaTheme="minorHAnsi" w:hAnsi="Arial" w:cs="Arial"/>
          <w:sz w:val="24"/>
          <w:szCs w:val="24"/>
        </w:rPr>
        <w:t xml:space="preserve">nidad la toma de esa decisión al no ser objeto de este informe. </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sidRPr="00E277B6">
        <w:rPr>
          <w:rFonts w:ascii="Arial" w:eastAsiaTheme="minorHAnsi" w:hAnsi="Arial" w:cs="Arial"/>
          <w:sz w:val="24"/>
          <w:szCs w:val="24"/>
        </w:rPr>
        <w:t xml:space="preserve"> En la página 2 se vuelve a reiterar la idea de que la actualización del Plan D</w:t>
      </w:r>
      <w:r w:rsidRPr="00E277B6">
        <w:rPr>
          <w:rFonts w:ascii="Arial" w:eastAsiaTheme="minorHAnsi" w:hAnsi="Arial" w:cs="Arial"/>
          <w:sz w:val="24"/>
          <w:szCs w:val="24"/>
        </w:rPr>
        <w:t>i</w:t>
      </w:r>
      <w:r w:rsidRPr="00E277B6">
        <w:rPr>
          <w:rFonts w:ascii="Arial" w:eastAsiaTheme="minorHAnsi" w:hAnsi="Arial" w:cs="Arial"/>
          <w:sz w:val="24"/>
          <w:szCs w:val="24"/>
        </w:rPr>
        <w:t xml:space="preserve">rector incluye como alternativa más económica la utilización mixta del embalse de Mairaga y del Canal de Navarra; sin embargo, como ya hemos apuntado, según nos han indicado, estas estimaciones no están aprobadas oficialmente pudiendo cambiar en el momento en que se apruebe definitivamente la actualización del plan. </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sidRPr="00E277B6">
        <w:rPr>
          <w:rFonts w:ascii="Arial" w:eastAsiaTheme="minorHAnsi" w:hAnsi="Arial" w:cs="Arial"/>
          <w:sz w:val="24"/>
          <w:szCs w:val="24"/>
        </w:rPr>
        <w:t>En cuanto a las consideraciones que se hacen sobre el análisis realizado por esta Cámara sobre el informe técnico de la mancomunidad en la página 3, qu</w:t>
      </w:r>
      <w:r w:rsidRPr="00E277B6">
        <w:rPr>
          <w:rFonts w:ascii="Arial" w:eastAsiaTheme="minorHAnsi" w:hAnsi="Arial" w:cs="Arial"/>
          <w:sz w:val="24"/>
          <w:szCs w:val="24"/>
        </w:rPr>
        <w:t>e</w:t>
      </w:r>
      <w:r w:rsidRPr="00E277B6">
        <w:rPr>
          <w:rFonts w:ascii="Arial" w:eastAsiaTheme="minorHAnsi" w:hAnsi="Arial" w:cs="Arial"/>
          <w:sz w:val="24"/>
          <w:szCs w:val="24"/>
        </w:rPr>
        <w:t>remos resaltar que, aplicando el criterio de prudencia, se consideró incluir tanto el canon de la CHE en la alternativa de captar agua exclusivamente del Canal, así como mantener el gasto considerado en el informe técnico correspondiente a ci</w:t>
      </w:r>
      <w:r w:rsidRPr="00E277B6">
        <w:rPr>
          <w:rFonts w:ascii="Arial" w:eastAsiaTheme="minorHAnsi" w:hAnsi="Arial" w:cs="Arial"/>
          <w:sz w:val="24"/>
          <w:szCs w:val="24"/>
        </w:rPr>
        <w:t>n</w:t>
      </w:r>
      <w:r w:rsidRPr="00E277B6">
        <w:rPr>
          <w:rFonts w:ascii="Arial" w:eastAsiaTheme="minorHAnsi" w:hAnsi="Arial" w:cs="Arial"/>
          <w:sz w:val="24"/>
          <w:szCs w:val="24"/>
        </w:rPr>
        <w:lastRenderedPageBreak/>
        <w:t xml:space="preserve">co personas en la opción de abastecimiento del embalse de Mairaga con reserva de La Pedrera. </w:t>
      </w:r>
    </w:p>
    <w:p w:rsidR="00E277B6" w:rsidRPr="00E277B6" w:rsidRDefault="00E277B6" w:rsidP="00E277B6">
      <w:pPr>
        <w:tabs>
          <w:tab w:val="left" w:pos="284"/>
        </w:tabs>
        <w:spacing w:after="120" w:line="276" w:lineRule="auto"/>
        <w:ind w:firstLine="0"/>
        <w:rPr>
          <w:rFonts w:ascii="Arial" w:eastAsiaTheme="minorHAnsi" w:hAnsi="Arial" w:cs="Arial"/>
          <w:sz w:val="24"/>
          <w:szCs w:val="24"/>
        </w:rPr>
      </w:pPr>
      <w:r w:rsidRPr="00E277B6">
        <w:rPr>
          <w:rFonts w:ascii="Arial" w:eastAsiaTheme="minorHAnsi" w:hAnsi="Arial" w:cs="Arial"/>
          <w:sz w:val="24"/>
          <w:szCs w:val="24"/>
        </w:rPr>
        <w:t>En el primer caso, la justificación fue que no existía ningún acuerdo al respecto con el Gobierno de Navarra o con la CHE sobre quién debía asumir dicho canon; en el segundo caso, la razón radicó en la antigüedad de las instalaciones de Ol</w:t>
      </w:r>
      <w:r w:rsidRPr="00E277B6">
        <w:rPr>
          <w:rFonts w:ascii="Arial" w:eastAsiaTheme="minorHAnsi" w:hAnsi="Arial" w:cs="Arial"/>
          <w:sz w:val="24"/>
          <w:szCs w:val="24"/>
        </w:rPr>
        <w:t>ó</w:t>
      </w:r>
      <w:r w:rsidRPr="00E277B6">
        <w:rPr>
          <w:rFonts w:ascii="Arial" w:eastAsiaTheme="minorHAnsi" w:hAnsi="Arial" w:cs="Arial"/>
          <w:sz w:val="24"/>
          <w:szCs w:val="24"/>
        </w:rPr>
        <w:t>riz que requerían inversiones significativas en el tiempo para adecuarse a la no</w:t>
      </w:r>
      <w:r w:rsidRPr="00E277B6">
        <w:rPr>
          <w:rFonts w:ascii="Arial" w:eastAsiaTheme="minorHAnsi" w:hAnsi="Arial" w:cs="Arial"/>
          <w:sz w:val="24"/>
          <w:szCs w:val="24"/>
        </w:rPr>
        <w:t>r</w:t>
      </w:r>
      <w:r w:rsidRPr="00E277B6">
        <w:rPr>
          <w:rFonts w:ascii="Arial" w:eastAsiaTheme="minorHAnsi" w:hAnsi="Arial" w:cs="Arial"/>
          <w:sz w:val="24"/>
          <w:szCs w:val="24"/>
        </w:rPr>
        <w:t>mativa y llegar a automatizar la actividad, sin que estuviera claro si el nivel de a</w:t>
      </w:r>
      <w:r w:rsidRPr="00E277B6">
        <w:rPr>
          <w:rFonts w:ascii="Arial" w:eastAsiaTheme="minorHAnsi" w:hAnsi="Arial" w:cs="Arial"/>
          <w:sz w:val="24"/>
          <w:szCs w:val="24"/>
        </w:rPr>
        <w:t>u</w:t>
      </w:r>
      <w:r w:rsidRPr="00E277B6">
        <w:rPr>
          <w:rFonts w:ascii="Arial" w:eastAsiaTheme="minorHAnsi" w:hAnsi="Arial" w:cs="Arial"/>
          <w:sz w:val="24"/>
          <w:szCs w:val="24"/>
        </w:rPr>
        <w:t xml:space="preserve">tomatización iba a ser tal, que permitiera que una sola persona realizara todo el trabajo. </w:t>
      </w:r>
    </w:p>
    <w:p w:rsidR="00E277B6" w:rsidRPr="00E277B6" w:rsidRDefault="00E277B6" w:rsidP="00E277B6">
      <w:pPr>
        <w:tabs>
          <w:tab w:val="left" w:pos="284"/>
        </w:tabs>
        <w:spacing w:after="120" w:line="276" w:lineRule="auto"/>
        <w:ind w:firstLine="0"/>
        <w:rPr>
          <w:rFonts w:ascii="Arial" w:eastAsiaTheme="minorHAnsi" w:hAnsi="Arial" w:cs="Arial"/>
          <w:sz w:val="24"/>
          <w:szCs w:val="24"/>
        </w:rPr>
      </w:pPr>
      <w:r w:rsidRPr="00E277B6">
        <w:rPr>
          <w:rFonts w:ascii="Arial" w:eastAsiaTheme="minorHAnsi" w:hAnsi="Arial" w:cs="Arial"/>
          <w:sz w:val="24"/>
          <w:szCs w:val="24"/>
        </w:rPr>
        <w:t>En todo caso, hemos obtenido la estimación del gasto de cada alternativa tenie</w:t>
      </w:r>
      <w:r w:rsidRPr="00E277B6">
        <w:rPr>
          <w:rFonts w:ascii="Arial" w:eastAsiaTheme="minorHAnsi" w:hAnsi="Arial" w:cs="Arial"/>
          <w:sz w:val="24"/>
          <w:szCs w:val="24"/>
        </w:rPr>
        <w:t>n</w:t>
      </w:r>
      <w:r w:rsidRPr="00E277B6">
        <w:rPr>
          <w:rFonts w:ascii="Arial" w:eastAsiaTheme="minorHAnsi" w:hAnsi="Arial" w:cs="Arial"/>
          <w:sz w:val="24"/>
          <w:szCs w:val="24"/>
        </w:rPr>
        <w:t>do en cuenta los criterios de las alegaciones que suponen eliminar el gasto del canon e imputar tan solo el gasto de una persona en la planta de Olóriz; el resu</w:t>
      </w:r>
      <w:r w:rsidRPr="00E277B6">
        <w:rPr>
          <w:rFonts w:ascii="Arial" w:eastAsiaTheme="minorHAnsi" w:hAnsi="Arial" w:cs="Arial"/>
          <w:sz w:val="24"/>
          <w:szCs w:val="24"/>
        </w:rPr>
        <w:t>l</w:t>
      </w:r>
      <w:r w:rsidRPr="00E277B6">
        <w:rPr>
          <w:rFonts w:ascii="Arial" w:eastAsiaTheme="minorHAnsi" w:hAnsi="Arial" w:cs="Arial"/>
          <w:sz w:val="24"/>
          <w:szCs w:val="24"/>
        </w:rPr>
        <w:t>tado sigue siendo similar y la opción de captar agua del Canal y tratarla en las in</w:t>
      </w:r>
      <w:r w:rsidRPr="00E277B6">
        <w:rPr>
          <w:rFonts w:ascii="Arial" w:eastAsiaTheme="minorHAnsi" w:hAnsi="Arial" w:cs="Arial"/>
          <w:sz w:val="24"/>
          <w:szCs w:val="24"/>
        </w:rPr>
        <w:t>s</w:t>
      </w:r>
      <w:r w:rsidRPr="00E277B6">
        <w:rPr>
          <w:rFonts w:ascii="Arial" w:eastAsiaTheme="minorHAnsi" w:hAnsi="Arial" w:cs="Arial"/>
          <w:sz w:val="24"/>
          <w:szCs w:val="24"/>
        </w:rPr>
        <w:t>talaciones de La Pedrera resulta 35.142 euros más económica que la alternativa por la cual se decantó la Asamblea General.</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sidRPr="00E277B6">
        <w:rPr>
          <w:rFonts w:ascii="Arial" w:eastAsiaTheme="minorHAnsi" w:hAnsi="Arial" w:cs="Arial"/>
          <w:sz w:val="24"/>
          <w:szCs w:val="24"/>
        </w:rPr>
        <w:t>La página 3 contiene alusiones a las condiciones del contrato con Aqualia; al respecto queremos señalar que estas condiciones podrían modificarse si cambia la situación del servicio que se está prestando, bien en el momento de ese cambio (analizando si habría que indemnizar o no al contratista en función de las cláus</w:t>
      </w:r>
      <w:r w:rsidRPr="00E277B6">
        <w:rPr>
          <w:rFonts w:ascii="Arial" w:eastAsiaTheme="minorHAnsi" w:hAnsi="Arial" w:cs="Arial"/>
          <w:sz w:val="24"/>
          <w:szCs w:val="24"/>
        </w:rPr>
        <w:t>u</w:t>
      </w:r>
      <w:r w:rsidRPr="00E277B6">
        <w:rPr>
          <w:rFonts w:ascii="Arial" w:eastAsiaTheme="minorHAnsi" w:hAnsi="Arial" w:cs="Arial"/>
          <w:sz w:val="24"/>
          <w:szCs w:val="24"/>
        </w:rPr>
        <w:t xml:space="preserve">las establecidas en los pliegos), o cuando la vigencia del contrato finalizara. </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sidRPr="00E277B6">
        <w:rPr>
          <w:rFonts w:ascii="Arial" w:eastAsiaTheme="minorHAnsi" w:hAnsi="Arial" w:cs="Arial"/>
          <w:sz w:val="24"/>
          <w:szCs w:val="24"/>
        </w:rPr>
        <w:t>En la página 4 se citan cuatro informes dos del personal técnico de la manc</w:t>
      </w:r>
      <w:r w:rsidRPr="00E277B6">
        <w:rPr>
          <w:rFonts w:ascii="Arial" w:eastAsiaTheme="minorHAnsi" w:hAnsi="Arial" w:cs="Arial"/>
          <w:sz w:val="24"/>
          <w:szCs w:val="24"/>
        </w:rPr>
        <w:t>o</w:t>
      </w:r>
      <w:r w:rsidRPr="00E277B6">
        <w:rPr>
          <w:rFonts w:ascii="Arial" w:eastAsiaTheme="minorHAnsi" w:hAnsi="Arial" w:cs="Arial"/>
          <w:sz w:val="24"/>
          <w:szCs w:val="24"/>
        </w:rPr>
        <w:t xml:space="preserve">munidad, otro de esta Cámara y otro del Gobierno de Navarra; desconocemos a qué informe del Gobierno de Navarra se refiere la mancomunidad ya que a esta Cámara no le consta que existiera ningún informe técnico al respecto. </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sidRPr="00E277B6">
        <w:rPr>
          <w:rFonts w:ascii="Arial" w:eastAsiaTheme="minorHAnsi" w:hAnsi="Arial" w:cs="Arial"/>
          <w:sz w:val="24"/>
          <w:szCs w:val="24"/>
        </w:rPr>
        <w:t>En el intervalo de páginas 5-10 se incluye una simulación del coste de dos a</w:t>
      </w:r>
      <w:r w:rsidRPr="00E277B6">
        <w:rPr>
          <w:rFonts w:ascii="Arial" w:eastAsiaTheme="minorHAnsi" w:hAnsi="Arial" w:cs="Arial"/>
          <w:sz w:val="24"/>
          <w:szCs w:val="24"/>
        </w:rPr>
        <w:t>l</w:t>
      </w:r>
      <w:r w:rsidRPr="00E277B6">
        <w:rPr>
          <w:rFonts w:ascii="Arial" w:eastAsiaTheme="minorHAnsi" w:hAnsi="Arial" w:cs="Arial"/>
          <w:sz w:val="24"/>
          <w:szCs w:val="24"/>
        </w:rPr>
        <w:t>ternativas (captación de agua exclusivamente del Canal versus abastecimiento mixto desde el Canal y embalse) con datos actualizados, con un bombeo de 200 litros por segundo y con estimaciones sobre el coste de la inversión en la segunda fase de La Pedrera. Como ya hemos indicado previamente, estos son datos que no han sido auditados por esta Cámara, con supuestos diferentes a los de los i</w:t>
      </w:r>
      <w:r w:rsidRPr="00E277B6">
        <w:rPr>
          <w:rFonts w:ascii="Arial" w:eastAsiaTheme="minorHAnsi" w:hAnsi="Arial" w:cs="Arial"/>
          <w:sz w:val="24"/>
          <w:szCs w:val="24"/>
        </w:rPr>
        <w:t>n</w:t>
      </w:r>
      <w:r w:rsidRPr="00E277B6">
        <w:rPr>
          <w:rFonts w:ascii="Arial" w:eastAsiaTheme="minorHAnsi" w:hAnsi="Arial" w:cs="Arial"/>
          <w:sz w:val="24"/>
          <w:szCs w:val="24"/>
        </w:rPr>
        <w:t>formes técnicos analizados por nuestra institución y sobre los que no nos pod</w:t>
      </w:r>
      <w:r w:rsidRPr="00E277B6">
        <w:rPr>
          <w:rFonts w:ascii="Arial" w:eastAsiaTheme="minorHAnsi" w:hAnsi="Arial" w:cs="Arial"/>
          <w:sz w:val="24"/>
          <w:szCs w:val="24"/>
        </w:rPr>
        <w:t>e</w:t>
      </w:r>
      <w:r w:rsidRPr="00E277B6">
        <w:rPr>
          <w:rFonts w:ascii="Arial" w:eastAsiaTheme="minorHAnsi" w:hAnsi="Arial" w:cs="Arial"/>
          <w:sz w:val="24"/>
          <w:szCs w:val="24"/>
        </w:rPr>
        <w:t>mos pronunciar.</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sidRPr="00E277B6">
        <w:rPr>
          <w:rFonts w:ascii="Arial" w:eastAsiaTheme="minorHAnsi" w:hAnsi="Arial" w:cs="Arial"/>
          <w:sz w:val="24"/>
          <w:szCs w:val="24"/>
        </w:rPr>
        <w:t>En la página 11 se incluyen comentarios sobre los análisis que ha realizado el interventor para calcular el importe de las tarifas indicando que se han tenido en cuenta gastos que no tienen que ver con la decisión de la asamblea. Al respecto destacamos que efectivamente, en el cálculo de las tarifas se tienen que consid</w:t>
      </w:r>
      <w:r w:rsidRPr="00E277B6">
        <w:rPr>
          <w:rFonts w:ascii="Arial" w:eastAsiaTheme="minorHAnsi" w:hAnsi="Arial" w:cs="Arial"/>
          <w:sz w:val="24"/>
          <w:szCs w:val="24"/>
        </w:rPr>
        <w:t>e</w:t>
      </w:r>
      <w:r w:rsidRPr="00E277B6">
        <w:rPr>
          <w:rFonts w:ascii="Arial" w:eastAsiaTheme="minorHAnsi" w:hAnsi="Arial" w:cs="Arial"/>
          <w:sz w:val="24"/>
          <w:szCs w:val="24"/>
        </w:rPr>
        <w:t>rar todos los costes directos e indirectos relacionados con la prestación del serv</w:t>
      </w:r>
      <w:r w:rsidRPr="00E277B6">
        <w:rPr>
          <w:rFonts w:ascii="Arial" w:eastAsiaTheme="minorHAnsi" w:hAnsi="Arial" w:cs="Arial"/>
          <w:sz w:val="24"/>
          <w:szCs w:val="24"/>
        </w:rPr>
        <w:t>i</w:t>
      </w:r>
      <w:r w:rsidRPr="00E277B6">
        <w:rPr>
          <w:rFonts w:ascii="Arial" w:eastAsiaTheme="minorHAnsi" w:hAnsi="Arial" w:cs="Arial"/>
          <w:sz w:val="24"/>
          <w:szCs w:val="24"/>
        </w:rPr>
        <w:t>cio, entre los cuales se encuentran, entre otros, todos los relacionados con la d</w:t>
      </w:r>
      <w:r w:rsidRPr="00E277B6">
        <w:rPr>
          <w:rFonts w:ascii="Arial" w:eastAsiaTheme="minorHAnsi" w:hAnsi="Arial" w:cs="Arial"/>
          <w:sz w:val="24"/>
          <w:szCs w:val="24"/>
        </w:rPr>
        <w:t>e</w:t>
      </w:r>
      <w:r w:rsidRPr="00E277B6">
        <w:rPr>
          <w:rFonts w:ascii="Arial" w:eastAsiaTheme="minorHAnsi" w:hAnsi="Arial" w:cs="Arial"/>
          <w:sz w:val="24"/>
          <w:szCs w:val="24"/>
        </w:rPr>
        <w:t>cisión que tomó la asamblea. En todo caso, como ya citamos en nuestro informe, los cálculos son razonables y adecuados.</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sidRPr="00E277B6">
        <w:rPr>
          <w:rFonts w:ascii="Arial" w:eastAsiaTheme="minorHAnsi" w:hAnsi="Arial" w:cs="Arial"/>
          <w:sz w:val="24"/>
          <w:szCs w:val="24"/>
        </w:rPr>
        <w:lastRenderedPageBreak/>
        <w:t>En la página 11 se cita únicamente la opinión de un técnico del Gobierno de Navarra; al respecto, en el acta de celebración de la Asamblea General que tomó la decisión, cuando un asistente preguntó sobre la versión del Gobierno de Nav</w:t>
      </w:r>
      <w:r w:rsidRPr="00E277B6">
        <w:rPr>
          <w:rFonts w:ascii="Arial" w:eastAsiaTheme="minorHAnsi" w:hAnsi="Arial" w:cs="Arial"/>
          <w:sz w:val="24"/>
          <w:szCs w:val="24"/>
        </w:rPr>
        <w:t>a</w:t>
      </w:r>
      <w:r w:rsidRPr="00E277B6">
        <w:rPr>
          <w:rFonts w:ascii="Arial" w:eastAsiaTheme="minorHAnsi" w:hAnsi="Arial" w:cs="Arial"/>
          <w:sz w:val="24"/>
          <w:szCs w:val="24"/>
        </w:rPr>
        <w:t xml:space="preserve">rra, el Presidente de la Asamblea contestó que </w:t>
      </w:r>
      <w:r w:rsidRPr="00E277B6">
        <w:rPr>
          <w:rFonts w:ascii="Arial" w:eastAsiaTheme="minorHAnsi" w:hAnsi="Arial" w:cs="Arial"/>
          <w:i/>
          <w:sz w:val="24"/>
          <w:szCs w:val="24"/>
        </w:rPr>
        <w:t>“tuvieron una reunión con ellos p</w:t>
      </w:r>
      <w:r w:rsidRPr="00E277B6">
        <w:rPr>
          <w:rFonts w:ascii="Arial" w:eastAsiaTheme="minorHAnsi" w:hAnsi="Arial" w:cs="Arial"/>
          <w:i/>
          <w:sz w:val="24"/>
          <w:szCs w:val="24"/>
        </w:rPr>
        <w:t>e</w:t>
      </w:r>
      <w:r w:rsidRPr="00E277B6">
        <w:rPr>
          <w:rFonts w:ascii="Arial" w:eastAsiaTheme="minorHAnsi" w:hAnsi="Arial" w:cs="Arial"/>
          <w:i/>
          <w:sz w:val="24"/>
          <w:szCs w:val="24"/>
        </w:rPr>
        <w:t>ro no dejaron nada claro”.</w:t>
      </w:r>
    </w:p>
    <w:p w:rsidR="00E277B6" w:rsidRPr="00E277B6" w:rsidRDefault="00E277B6" w:rsidP="00E277B6">
      <w:pPr>
        <w:numPr>
          <w:ilvl w:val="0"/>
          <w:numId w:val="20"/>
        </w:numPr>
        <w:tabs>
          <w:tab w:val="left" w:pos="378"/>
        </w:tabs>
        <w:spacing w:after="120" w:line="276" w:lineRule="auto"/>
        <w:ind w:left="0" w:firstLine="0"/>
        <w:rPr>
          <w:rFonts w:ascii="Arial" w:eastAsiaTheme="minorHAnsi" w:hAnsi="Arial" w:cs="Arial"/>
          <w:sz w:val="24"/>
          <w:szCs w:val="24"/>
        </w:rPr>
      </w:pPr>
      <w:r w:rsidRPr="00E277B6">
        <w:rPr>
          <w:rFonts w:ascii="Arial" w:eastAsiaTheme="minorHAnsi" w:hAnsi="Arial" w:cs="Arial"/>
          <w:sz w:val="24"/>
          <w:szCs w:val="24"/>
        </w:rPr>
        <w:t xml:space="preserve">Los criterios de adopción de la decisión expuestos en la página 12 y 13 en el apartado de conclusiones no constan en ningún documento oficial a los que esta Cámara haya tenido acceso, de ahí que la opinión de esta institución haya sido la ya expuesta en el informe de que la decisión adoptada se apartó de los informes técnicos y económicos sin que se motivara suficientemente el porqué. </w:t>
      </w:r>
    </w:p>
    <w:p w:rsidR="00E277B6" w:rsidRPr="00E277B6" w:rsidRDefault="00E277B6" w:rsidP="00E277B6">
      <w:pPr>
        <w:spacing w:before="360" w:after="200" w:line="276" w:lineRule="auto"/>
        <w:ind w:firstLine="0"/>
        <w:rPr>
          <w:rFonts w:ascii="Arial" w:eastAsiaTheme="minorHAnsi" w:hAnsi="Arial" w:cs="Arial"/>
          <w:i/>
          <w:sz w:val="24"/>
          <w:szCs w:val="24"/>
          <w:lang w:val="es-ES"/>
        </w:rPr>
      </w:pPr>
      <w:r w:rsidRPr="00E277B6">
        <w:rPr>
          <w:rFonts w:ascii="Arial" w:eastAsiaTheme="minorHAnsi" w:hAnsi="Arial" w:cs="Arial"/>
          <w:i/>
          <w:sz w:val="24"/>
          <w:szCs w:val="24"/>
          <w:lang w:val="es-ES"/>
        </w:rPr>
        <w:t>Alegaciones formuladas por el Departamento de Desarrollo Rural, Medio Ambie</w:t>
      </w:r>
      <w:r w:rsidRPr="00E277B6">
        <w:rPr>
          <w:rFonts w:ascii="Arial" w:eastAsiaTheme="minorHAnsi" w:hAnsi="Arial" w:cs="Arial"/>
          <w:i/>
          <w:sz w:val="24"/>
          <w:szCs w:val="24"/>
          <w:lang w:val="es-ES"/>
        </w:rPr>
        <w:t>n</w:t>
      </w:r>
      <w:r w:rsidRPr="00E277B6">
        <w:rPr>
          <w:rFonts w:ascii="Arial" w:eastAsiaTheme="minorHAnsi" w:hAnsi="Arial" w:cs="Arial"/>
          <w:i/>
          <w:sz w:val="24"/>
          <w:szCs w:val="24"/>
          <w:lang w:val="es-ES"/>
        </w:rPr>
        <w:t xml:space="preserve">te y Administración Local </w:t>
      </w:r>
    </w:p>
    <w:p w:rsidR="00E277B6" w:rsidRPr="00E277B6" w:rsidRDefault="00E277B6" w:rsidP="00E277B6">
      <w:pPr>
        <w:numPr>
          <w:ilvl w:val="0"/>
          <w:numId w:val="21"/>
        </w:numPr>
        <w:tabs>
          <w:tab w:val="left" w:pos="284"/>
        </w:tabs>
        <w:spacing w:after="120" w:line="276" w:lineRule="auto"/>
        <w:ind w:left="0" w:firstLine="0"/>
        <w:rPr>
          <w:rFonts w:ascii="Arial" w:eastAsiaTheme="minorHAnsi" w:hAnsi="Arial" w:cs="Arial"/>
          <w:sz w:val="24"/>
          <w:szCs w:val="24"/>
        </w:rPr>
      </w:pPr>
      <w:r w:rsidRPr="00E277B6">
        <w:rPr>
          <w:rFonts w:ascii="Arial" w:eastAsiaTheme="minorHAnsi" w:hAnsi="Arial" w:cs="Arial"/>
          <w:sz w:val="24"/>
          <w:szCs w:val="24"/>
        </w:rPr>
        <w:t>En las páginas 1 y 4 se menciona que la actualización del Plan Director cons</w:t>
      </w:r>
      <w:r w:rsidRPr="00E277B6">
        <w:rPr>
          <w:rFonts w:ascii="Arial" w:eastAsiaTheme="minorHAnsi" w:hAnsi="Arial" w:cs="Arial"/>
          <w:sz w:val="24"/>
          <w:szCs w:val="24"/>
        </w:rPr>
        <w:t>i</w:t>
      </w:r>
      <w:r w:rsidRPr="00E277B6">
        <w:rPr>
          <w:rFonts w:ascii="Arial" w:eastAsiaTheme="minorHAnsi" w:hAnsi="Arial" w:cs="Arial"/>
          <w:sz w:val="24"/>
          <w:szCs w:val="24"/>
        </w:rPr>
        <w:t>dera que la solución más económica es la que supone captar agua tanto del C</w:t>
      </w:r>
      <w:r w:rsidRPr="00E277B6">
        <w:rPr>
          <w:rFonts w:ascii="Arial" w:eastAsiaTheme="minorHAnsi" w:hAnsi="Arial" w:cs="Arial"/>
          <w:sz w:val="24"/>
          <w:szCs w:val="24"/>
        </w:rPr>
        <w:t>a</w:t>
      </w:r>
      <w:r w:rsidRPr="00E277B6">
        <w:rPr>
          <w:rFonts w:ascii="Arial" w:eastAsiaTheme="minorHAnsi" w:hAnsi="Arial" w:cs="Arial"/>
          <w:sz w:val="24"/>
          <w:szCs w:val="24"/>
        </w:rPr>
        <w:t xml:space="preserve">nal de Navarra como del embalse de Mairaga. Reiteramos que, </w:t>
      </w:r>
      <w:r w:rsidR="00F01376">
        <w:rPr>
          <w:rFonts w:ascii="Arial" w:eastAsiaTheme="minorHAnsi" w:hAnsi="Arial" w:cs="Arial"/>
          <w:sz w:val="24"/>
          <w:szCs w:val="24"/>
        </w:rPr>
        <w:t xml:space="preserve">dado que </w:t>
      </w:r>
      <w:r w:rsidRPr="00E277B6">
        <w:rPr>
          <w:rFonts w:ascii="Arial" w:eastAsiaTheme="minorHAnsi" w:hAnsi="Arial" w:cs="Arial"/>
          <w:sz w:val="24"/>
          <w:szCs w:val="24"/>
        </w:rPr>
        <w:t>la a</w:t>
      </w:r>
      <w:r w:rsidRPr="00E277B6">
        <w:rPr>
          <w:rFonts w:ascii="Arial" w:eastAsiaTheme="minorHAnsi" w:hAnsi="Arial" w:cs="Arial"/>
          <w:sz w:val="24"/>
          <w:szCs w:val="24"/>
        </w:rPr>
        <w:t>c</w:t>
      </w:r>
      <w:r w:rsidRPr="00E277B6">
        <w:rPr>
          <w:rFonts w:ascii="Arial" w:eastAsiaTheme="minorHAnsi" w:hAnsi="Arial" w:cs="Arial"/>
          <w:sz w:val="24"/>
          <w:szCs w:val="24"/>
        </w:rPr>
        <w:t xml:space="preserve">tualización del Plan Director aún no se ha aprobado y aún está en una fase inicial, </w:t>
      </w:r>
      <w:r w:rsidR="00F01376">
        <w:rPr>
          <w:rFonts w:ascii="Arial" w:eastAsiaTheme="minorHAnsi" w:hAnsi="Arial" w:cs="Arial"/>
          <w:sz w:val="24"/>
          <w:szCs w:val="24"/>
        </w:rPr>
        <w:t xml:space="preserve">no tenemos evidencia suficiente para opinar sobre el resultado final </w:t>
      </w:r>
      <w:r w:rsidRPr="00E277B6">
        <w:rPr>
          <w:rFonts w:ascii="Arial" w:eastAsiaTheme="minorHAnsi" w:hAnsi="Arial" w:cs="Arial"/>
          <w:sz w:val="24"/>
          <w:szCs w:val="24"/>
        </w:rPr>
        <w:t>de la comp</w:t>
      </w:r>
      <w:r w:rsidRPr="00E277B6">
        <w:rPr>
          <w:rFonts w:ascii="Arial" w:eastAsiaTheme="minorHAnsi" w:hAnsi="Arial" w:cs="Arial"/>
          <w:sz w:val="24"/>
          <w:szCs w:val="24"/>
        </w:rPr>
        <w:t>a</w:t>
      </w:r>
      <w:r w:rsidRPr="00E277B6">
        <w:rPr>
          <w:rFonts w:ascii="Arial" w:eastAsiaTheme="minorHAnsi" w:hAnsi="Arial" w:cs="Arial"/>
          <w:sz w:val="24"/>
          <w:szCs w:val="24"/>
        </w:rPr>
        <w:t>ración de dichas alternativas.</w:t>
      </w:r>
    </w:p>
    <w:p w:rsidR="00E277B6" w:rsidRPr="00E277B6" w:rsidRDefault="00E277B6" w:rsidP="00E277B6">
      <w:pPr>
        <w:numPr>
          <w:ilvl w:val="0"/>
          <w:numId w:val="21"/>
        </w:numPr>
        <w:tabs>
          <w:tab w:val="left" w:pos="284"/>
        </w:tabs>
        <w:spacing w:after="120" w:line="276" w:lineRule="auto"/>
        <w:ind w:left="0" w:firstLine="0"/>
        <w:rPr>
          <w:rFonts w:ascii="Arial" w:eastAsiaTheme="minorHAnsi" w:hAnsi="Arial" w:cs="Arial"/>
          <w:sz w:val="24"/>
          <w:szCs w:val="24"/>
        </w:rPr>
      </w:pPr>
      <w:r w:rsidRPr="00E277B6">
        <w:rPr>
          <w:rFonts w:ascii="Arial" w:eastAsiaTheme="minorHAnsi" w:hAnsi="Arial" w:cs="Arial"/>
          <w:sz w:val="24"/>
          <w:szCs w:val="24"/>
        </w:rPr>
        <w:t>Los puntos 2 y 3 de las alegaciones contienen referencias a incertidumbres administrativas con implicaciones económicas que afectarían a la alternativa rel</w:t>
      </w:r>
      <w:r w:rsidRPr="00E277B6">
        <w:rPr>
          <w:rFonts w:ascii="Arial" w:eastAsiaTheme="minorHAnsi" w:hAnsi="Arial" w:cs="Arial"/>
          <w:sz w:val="24"/>
          <w:szCs w:val="24"/>
        </w:rPr>
        <w:t>a</w:t>
      </w:r>
      <w:r w:rsidRPr="00E277B6">
        <w:rPr>
          <w:rFonts w:ascii="Arial" w:eastAsiaTheme="minorHAnsi" w:hAnsi="Arial" w:cs="Arial"/>
          <w:sz w:val="24"/>
          <w:szCs w:val="24"/>
        </w:rPr>
        <w:t>cionada con el uso exclusivo de las instalaciones de La Pedrera para tratar el agua captada del Canal de Navarra contemplada en los informes del personal técnico de la mancomunidad. Al respecto hay que matizar que el resto de altern</w:t>
      </w:r>
      <w:r w:rsidRPr="00E277B6">
        <w:rPr>
          <w:rFonts w:ascii="Arial" w:eastAsiaTheme="minorHAnsi" w:hAnsi="Arial" w:cs="Arial"/>
          <w:sz w:val="24"/>
          <w:szCs w:val="24"/>
        </w:rPr>
        <w:t>a</w:t>
      </w:r>
      <w:r w:rsidRPr="00E277B6">
        <w:rPr>
          <w:rFonts w:ascii="Arial" w:eastAsiaTheme="minorHAnsi" w:hAnsi="Arial" w:cs="Arial"/>
          <w:sz w:val="24"/>
          <w:szCs w:val="24"/>
        </w:rPr>
        <w:t>tivas contempladas en los informes técnicos también presentan incertidumbres que podrían alterar los resultados obtenidos, tal y como se ha puesto de manifie</w:t>
      </w:r>
      <w:r w:rsidRPr="00E277B6">
        <w:rPr>
          <w:rFonts w:ascii="Arial" w:eastAsiaTheme="minorHAnsi" w:hAnsi="Arial" w:cs="Arial"/>
          <w:sz w:val="24"/>
          <w:szCs w:val="24"/>
        </w:rPr>
        <w:t>s</w:t>
      </w:r>
      <w:r w:rsidRPr="00E277B6">
        <w:rPr>
          <w:rFonts w:ascii="Arial" w:eastAsiaTheme="minorHAnsi" w:hAnsi="Arial" w:cs="Arial"/>
          <w:sz w:val="24"/>
          <w:szCs w:val="24"/>
        </w:rPr>
        <w:t xml:space="preserve">to en el informe de esta Cámara, por lo que </w:t>
      </w:r>
      <w:r w:rsidR="00F01376">
        <w:rPr>
          <w:rFonts w:ascii="Arial" w:eastAsiaTheme="minorHAnsi" w:hAnsi="Arial" w:cs="Arial"/>
          <w:sz w:val="24"/>
          <w:szCs w:val="24"/>
        </w:rPr>
        <w:t>también conllevarían implicaciones económicas</w:t>
      </w:r>
      <w:r w:rsidRPr="00E277B6">
        <w:rPr>
          <w:rFonts w:ascii="Arial" w:eastAsiaTheme="minorHAnsi" w:hAnsi="Arial" w:cs="Arial"/>
          <w:sz w:val="24"/>
          <w:szCs w:val="24"/>
        </w:rPr>
        <w:t>.</w:t>
      </w:r>
    </w:p>
    <w:p w:rsidR="00E277B6" w:rsidRPr="00E277B6" w:rsidRDefault="00E277B6" w:rsidP="00E277B6">
      <w:pPr>
        <w:tabs>
          <w:tab w:val="left" w:pos="284"/>
        </w:tabs>
        <w:spacing w:before="360" w:after="200" w:line="276" w:lineRule="auto"/>
        <w:ind w:firstLine="0"/>
        <w:rPr>
          <w:rFonts w:ascii="Arial" w:eastAsiaTheme="minorHAnsi" w:hAnsi="Arial" w:cs="Arial"/>
          <w:sz w:val="24"/>
          <w:szCs w:val="24"/>
        </w:rPr>
      </w:pPr>
      <w:r w:rsidRPr="00E277B6">
        <w:rPr>
          <w:rFonts w:ascii="Arial" w:eastAsiaTheme="minorHAnsi" w:hAnsi="Arial" w:cs="Arial"/>
          <w:sz w:val="24"/>
          <w:szCs w:val="24"/>
        </w:rPr>
        <w:t>En definitiva, esta Cámara quiere reiterar que el objetivo de este trabajo fue anal</w:t>
      </w:r>
      <w:r w:rsidRPr="00E277B6">
        <w:rPr>
          <w:rFonts w:ascii="Arial" w:eastAsiaTheme="minorHAnsi" w:hAnsi="Arial" w:cs="Arial"/>
          <w:sz w:val="24"/>
          <w:szCs w:val="24"/>
        </w:rPr>
        <w:t>i</w:t>
      </w:r>
      <w:r w:rsidRPr="00E277B6">
        <w:rPr>
          <w:rFonts w:ascii="Arial" w:eastAsiaTheme="minorHAnsi" w:hAnsi="Arial" w:cs="Arial"/>
          <w:sz w:val="24"/>
          <w:szCs w:val="24"/>
        </w:rPr>
        <w:t>zar la decisión tomada por la Asamblea General con los informes, documentación y datos disponibles  en ese momento, y teniendo en cuenta estas premisas, la d</w:t>
      </w:r>
      <w:r w:rsidRPr="00E277B6">
        <w:rPr>
          <w:rFonts w:ascii="Arial" w:eastAsiaTheme="minorHAnsi" w:hAnsi="Arial" w:cs="Arial"/>
          <w:sz w:val="24"/>
          <w:szCs w:val="24"/>
        </w:rPr>
        <w:t>e</w:t>
      </w:r>
      <w:r w:rsidRPr="00E277B6">
        <w:rPr>
          <w:rFonts w:ascii="Arial" w:eastAsiaTheme="minorHAnsi" w:hAnsi="Arial" w:cs="Arial"/>
          <w:sz w:val="24"/>
          <w:szCs w:val="24"/>
        </w:rPr>
        <w:t>cisión de la asamblea se apartó de dichos informes sin que constara una motiv</w:t>
      </w:r>
      <w:r w:rsidRPr="00E277B6">
        <w:rPr>
          <w:rFonts w:ascii="Arial" w:eastAsiaTheme="minorHAnsi" w:hAnsi="Arial" w:cs="Arial"/>
          <w:sz w:val="24"/>
          <w:szCs w:val="24"/>
        </w:rPr>
        <w:t>a</w:t>
      </w:r>
      <w:r w:rsidRPr="00E277B6">
        <w:rPr>
          <w:rFonts w:ascii="Arial" w:eastAsiaTheme="minorHAnsi" w:hAnsi="Arial" w:cs="Arial"/>
          <w:sz w:val="24"/>
          <w:szCs w:val="24"/>
        </w:rPr>
        <w:t xml:space="preserve">ción suficiente de las razones de esta actuación. </w:t>
      </w:r>
    </w:p>
    <w:p w:rsidR="00EC43D9" w:rsidRPr="00F555B0" w:rsidRDefault="00EC43D9" w:rsidP="00EC43D9">
      <w:pPr>
        <w:spacing w:before="240" w:after="120"/>
        <w:ind w:firstLine="0"/>
        <w:jc w:val="center"/>
        <w:rPr>
          <w:rFonts w:ascii="Arial" w:hAnsi="Arial" w:cs="Arial"/>
          <w:spacing w:val="6"/>
          <w:sz w:val="24"/>
          <w:szCs w:val="24"/>
        </w:rPr>
      </w:pPr>
      <w:r w:rsidRPr="00F555B0">
        <w:rPr>
          <w:rFonts w:ascii="Arial" w:hAnsi="Arial" w:cs="Arial"/>
          <w:spacing w:val="6"/>
          <w:sz w:val="24"/>
          <w:szCs w:val="24"/>
        </w:rPr>
        <w:t xml:space="preserve">Pamplona, </w:t>
      </w:r>
      <w:r w:rsidR="00E277B6">
        <w:rPr>
          <w:rFonts w:ascii="Arial" w:hAnsi="Arial" w:cs="Arial"/>
          <w:spacing w:val="6"/>
          <w:sz w:val="24"/>
          <w:szCs w:val="24"/>
        </w:rPr>
        <w:t>11 de enero</w:t>
      </w:r>
      <w:r w:rsidRPr="00F555B0">
        <w:rPr>
          <w:rFonts w:ascii="Arial" w:hAnsi="Arial" w:cs="Arial"/>
          <w:spacing w:val="6"/>
          <w:sz w:val="24"/>
          <w:szCs w:val="24"/>
        </w:rPr>
        <w:t xml:space="preserve"> de 201</w:t>
      </w:r>
      <w:r w:rsidR="00E277B6">
        <w:rPr>
          <w:rFonts w:ascii="Arial" w:hAnsi="Arial" w:cs="Arial"/>
          <w:spacing w:val="6"/>
          <w:sz w:val="24"/>
          <w:szCs w:val="24"/>
        </w:rPr>
        <w:t>8</w:t>
      </w:r>
    </w:p>
    <w:p w:rsidR="00EC43D9" w:rsidRDefault="00EC43D9" w:rsidP="00E277B6">
      <w:pPr>
        <w:pStyle w:val="atitulo3"/>
        <w:spacing w:after="120"/>
        <w:jc w:val="center"/>
        <w:rPr>
          <w:spacing w:val="0"/>
          <w:sz w:val="22"/>
          <w:szCs w:val="22"/>
        </w:rPr>
      </w:pPr>
      <w:r w:rsidRPr="00F555B0">
        <w:rPr>
          <w:rFonts w:cs="Arial"/>
          <w:i w:val="0"/>
          <w:color w:val="auto"/>
          <w:spacing w:val="6"/>
          <w:sz w:val="24"/>
          <w:szCs w:val="24"/>
          <w:lang w:val="es-ES"/>
        </w:rPr>
        <w:t>La presidenta, Asunción Olaechea Estanga</w:t>
      </w:r>
      <w:r w:rsidRPr="003A1302">
        <w:rPr>
          <w:noProof/>
          <w:lang w:val="es-ES" w:eastAsia="es-ES"/>
        </w:rPr>
        <mc:AlternateContent>
          <mc:Choice Requires="wps">
            <w:drawing>
              <wp:anchor distT="0" distB="0" distL="114300" distR="114300" simplePos="0" relativeHeight="251666944" behindDoc="0" locked="0" layoutInCell="1" allowOverlap="1" wp14:anchorId="60FB0101" wp14:editId="18625D81">
                <wp:simplePos x="0" y="0"/>
                <wp:positionH relativeFrom="column">
                  <wp:posOffset>1619885</wp:posOffset>
                </wp:positionH>
                <wp:positionV relativeFrom="paragraph">
                  <wp:posOffset>7623809</wp:posOffset>
                </wp:positionV>
                <wp:extent cx="1123950" cy="102235"/>
                <wp:effectExtent l="0" t="0" r="19050" b="12065"/>
                <wp:wrapNone/>
                <wp:docPr id="44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23950" cy="102235"/>
                        </a:xfrm>
                        <a:prstGeom prst="rect">
                          <a:avLst/>
                        </a:prstGeom>
                        <a:solidFill>
                          <a:srgbClr val="FFFFFF"/>
                        </a:solidFill>
                        <a:ln w="9525">
                          <a:solidFill>
                            <a:srgbClr val="000000"/>
                          </a:solidFill>
                          <a:miter lim="800000"/>
                          <a:headEnd/>
                          <a:tailEnd/>
                        </a:ln>
                      </wps:spPr>
                      <wps:txbx>
                        <w:txbxContent>
                          <w:p w:rsidR="00EC43D9" w:rsidRDefault="00EC43D9" w:rsidP="00EC43D9">
                            <w:pPr>
                              <w:pStyle w:val="texto"/>
                            </w:pPr>
                            <w:r>
                              <w:t>Pendiente firma</w:t>
                            </w: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spacing w:after="0"/>
                              <w:ind w:firstLine="0"/>
                              <w:jc w:val="center"/>
                              <w:rPr>
                                <w:rFonts w:ascii="Arial" w:hAnsi="Arial" w:cs="Arial"/>
                                <w:sz w:val="16"/>
                                <w:szCs w:val="16"/>
                              </w:rPr>
                            </w:pPr>
                          </w:p>
                          <w:p w:rsidR="00EC43D9" w:rsidRDefault="00EC43D9" w:rsidP="00EC43D9">
                            <w:pPr>
                              <w:spacing w:after="0"/>
                              <w:ind w:firstLine="0"/>
                              <w:jc w:val="center"/>
                              <w:rPr>
                                <w:rFonts w:ascii="Arial" w:hAnsi="Arial" w:cs="Arial"/>
                                <w:sz w:val="16"/>
                                <w:szCs w:val="16"/>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7" style="position:absolute;left:0;text-align:left;margin-left:127.55pt;margin-top:600.3pt;width:88.5pt;height:8.0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">
                <v:textbox inset="1pt,1pt,1pt,1pt">
                  <w:txbxContent>
                    <w:p w:rsidR="00EC43D9" w:rsidRDefault="00EC43D9" w:rsidP="00EC43D9">
                      <w:pPr>
                        <w:pStyle w:val="texto"/>
                      </w:pPr>
                      <w:r>
                        <w:t>Pendiente firma</w:t>
                      </w: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spacing w:after="0"/>
                        <w:ind w:firstLine="0"/>
                        <w:jc w:val="center"/>
                        <w:rPr>
                          <w:rFonts w:ascii="Arial" w:hAnsi="Arial" w:cs="Arial"/>
                          <w:sz w:val="16"/>
                          <w:szCs w:val="16"/>
                        </w:rPr>
                      </w:pPr>
                    </w:p>
                    <w:p w:rsidR="00EC43D9" w:rsidRDefault="00EC43D9" w:rsidP="00EC43D9">
                      <w:pPr>
                        <w:spacing w:after="0"/>
                        <w:ind w:firstLine="0"/>
                        <w:jc w:val="center"/>
                        <w:rPr>
                          <w:rFonts w:ascii="Arial" w:hAnsi="Arial" w:cs="Arial"/>
                          <w:sz w:val="16"/>
                          <w:szCs w:val="16"/>
                        </w:rPr>
                      </w:pPr>
                    </w:p>
                  </w:txbxContent>
                </v:textbox>
              </v:rect>
            </w:pict>
          </mc:Fallback>
        </mc:AlternateContent>
      </w:r>
      <w:r w:rsidRPr="003A1302">
        <w:rPr>
          <w:noProof/>
          <w:lang w:val="es-ES" w:eastAsia="es-ES"/>
        </w:rPr>
        <mc:AlternateContent>
          <mc:Choice Requires="wps">
            <w:drawing>
              <wp:anchor distT="0" distB="0" distL="114300" distR="114300" simplePos="0" relativeHeight="251664896" behindDoc="0" locked="0" layoutInCell="1" allowOverlap="1" wp14:anchorId="10A9E50C" wp14:editId="60C4C643">
                <wp:simplePos x="0" y="0"/>
                <wp:positionH relativeFrom="column">
                  <wp:posOffset>-266065</wp:posOffset>
                </wp:positionH>
                <wp:positionV relativeFrom="paragraph">
                  <wp:posOffset>7252335</wp:posOffset>
                </wp:positionV>
                <wp:extent cx="1533525" cy="295275"/>
                <wp:effectExtent l="0" t="0" r="28575" b="28575"/>
                <wp:wrapNone/>
                <wp:docPr id="24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EC43D9" w:rsidRDefault="00EC43D9" w:rsidP="00EC43D9">
                            <w:pPr>
                              <w:spacing w:after="0"/>
                              <w:ind w:firstLine="0"/>
                              <w:jc w:val="center"/>
                              <w:rPr>
                                <w:rFonts w:ascii="Arial" w:hAnsi="Arial" w:cs="Arial"/>
                                <w:sz w:val="16"/>
                                <w:szCs w:val="16"/>
                              </w:rPr>
                            </w:pPr>
                            <w:r>
                              <w:rPr>
                                <w:rFonts w:ascii="Arial" w:hAnsi="Arial" w:cs="Arial"/>
                                <w:sz w:val="16"/>
                                <w:szCs w:val="16"/>
                              </w:rPr>
                              <w:t>CONTABILIZACIÓN</w:t>
                            </w:r>
                          </w:p>
                          <w:p w:rsidR="00EC43D9" w:rsidRDefault="00EC43D9" w:rsidP="00EC43D9">
                            <w:pPr>
                              <w:spacing w:after="0"/>
                              <w:ind w:firstLine="0"/>
                              <w:jc w:val="center"/>
                              <w:rPr>
                                <w:rFonts w:ascii="Arial" w:hAnsi="Arial" w:cs="Arial"/>
                                <w:sz w:val="16"/>
                                <w:szCs w:val="16"/>
                              </w:rPr>
                            </w:pPr>
                            <w:r>
                              <w:rPr>
                                <w:rFonts w:ascii="Arial" w:hAnsi="Arial" w:cs="Arial"/>
                                <w:sz w:val="16"/>
                                <w:szCs w:val="16"/>
                              </w:rPr>
                              <w:t>(</w:t>
                            </w:r>
                            <w:proofErr w:type="gramStart"/>
                            <w:r>
                              <w:rPr>
                                <w:rFonts w:ascii="Arial" w:hAnsi="Arial" w:cs="Arial"/>
                                <w:sz w:val="16"/>
                                <w:szCs w:val="16"/>
                              </w:rPr>
                              <w:t>imputación</w:t>
                            </w:r>
                            <w:proofErr w:type="gramEnd"/>
                            <w:r>
                              <w:rPr>
                                <w:rFonts w:ascii="Arial" w:hAnsi="Arial" w:cs="Arial"/>
                                <w:sz w:val="16"/>
                                <w:szCs w:val="16"/>
                              </w:rPr>
                              <w:t xml:space="preserve"> presupuestaria)</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20.95pt;margin-top:571.05pt;width:120.75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">
                <v:textbox inset="1pt,1pt,1pt,1pt">
                  <w:txbxContent>
                    <w:p w:rsidR="00EC43D9" w:rsidRDefault="00EC43D9" w:rsidP="00EC43D9">
                      <w:pPr>
                        <w:spacing w:after="0"/>
                        <w:ind w:firstLine="0"/>
                        <w:jc w:val="center"/>
                        <w:rPr>
                          <w:rFonts w:ascii="Arial" w:hAnsi="Arial" w:cs="Arial"/>
                          <w:sz w:val="16"/>
                          <w:szCs w:val="16"/>
                        </w:rPr>
                      </w:pPr>
                      <w:r>
                        <w:rPr>
                          <w:rFonts w:ascii="Arial" w:hAnsi="Arial" w:cs="Arial"/>
                          <w:sz w:val="16"/>
                          <w:szCs w:val="16"/>
                        </w:rPr>
                        <w:t>CONTABILIZACIÓN</w:t>
                      </w:r>
                    </w:p>
                    <w:p w:rsidR="00EC43D9" w:rsidRDefault="00EC43D9" w:rsidP="00EC43D9">
                      <w:pPr>
                        <w:spacing w:after="0"/>
                        <w:ind w:firstLine="0"/>
                        <w:jc w:val="center"/>
                        <w:rPr>
                          <w:rFonts w:ascii="Arial" w:hAnsi="Arial" w:cs="Arial"/>
                          <w:sz w:val="16"/>
                          <w:szCs w:val="16"/>
                        </w:rPr>
                      </w:pPr>
                      <w:r>
                        <w:rPr>
                          <w:rFonts w:ascii="Arial" w:hAnsi="Arial" w:cs="Arial"/>
                          <w:sz w:val="16"/>
                          <w:szCs w:val="16"/>
                        </w:rPr>
                        <w:t>(</w:t>
                      </w:r>
                      <w:proofErr w:type="gramStart"/>
                      <w:r>
                        <w:rPr>
                          <w:rFonts w:ascii="Arial" w:hAnsi="Arial" w:cs="Arial"/>
                          <w:sz w:val="16"/>
                          <w:szCs w:val="16"/>
                        </w:rPr>
                        <w:t>imputación</w:t>
                      </w:r>
                      <w:proofErr w:type="gramEnd"/>
                      <w:r>
                        <w:rPr>
                          <w:rFonts w:ascii="Arial" w:hAnsi="Arial" w:cs="Arial"/>
                          <w:sz w:val="16"/>
                          <w:szCs w:val="16"/>
                        </w:rPr>
                        <w:t xml:space="preserve"> presupuestaria)</w:t>
                      </w:r>
                    </w:p>
                  </w:txbxContent>
                </v:textbox>
              </v:rect>
            </w:pict>
          </mc:Fallback>
        </mc:AlternateContent>
      </w:r>
      <w:r w:rsidRPr="003A1302">
        <w:rPr>
          <w:noProof/>
          <w:lang w:val="es-ES" w:eastAsia="es-ES"/>
        </w:rPr>
        <mc:AlternateContent>
          <mc:Choice Requires="wps">
            <w:drawing>
              <wp:anchor distT="0" distB="0" distL="114300" distR="114300" simplePos="0" relativeHeight="251663872" behindDoc="0" locked="0" layoutInCell="1" allowOverlap="1" wp14:anchorId="77F6EE6C" wp14:editId="5725AFA0">
                <wp:simplePos x="0" y="0"/>
                <wp:positionH relativeFrom="column">
                  <wp:posOffset>1600835</wp:posOffset>
                </wp:positionH>
                <wp:positionV relativeFrom="paragraph">
                  <wp:posOffset>7252335</wp:posOffset>
                </wp:positionV>
                <wp:extent cx="1533525" cy="295275"/>
                <wp:effectExtent l="0" t="0" r="28575" b="28575"/>
                <wp:wrapNone/>
                <wp:docPr id="24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EC43D9" w:rsidRDefault="00EC43D9" w:rsidP="00EC43D9">
                            <w:pPr>
                              <w:spacing w:after="0"/>
                              <w:ind w:firstLine="0"/>
                              <w:jc w:val="center"/>
                              <w:rPr>
                                <w:rFonts w:ascii="Arial" w:hAnsi="Arial" w:cs="Arial"/>
                                <w:sz w:val="16"/>
                                <w:szCs w:val="16"/>
                              </w:rPr>
                            </w:pPr>
                            <w:r>
                              <w:rPr>
                                <w:rFonts w:ascii="Arial" w:hAnsi="Arial" w:cs="Arial"/>
                                <w:sz w:val="16"/>
                                <w:szCs w:val="16"/>
                              </w:rPr>
                              <w:t>Pendiente firma</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126.05pt;margin-top:571.05pt;width:120.75pt;height:2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">
                <v:textbox inset="1pt,1pt,1pt,1pt">
                  <w:txbxContent>
                    <w:p w:rsidR="00EC43D9" w:rsidRDefault="00EC43D9" w:rsidP="00EC43D9">
                      <w:pPr>
                        <w:spacing w:after="0"/>
                        <w:ind w:firstLine="0"/>
                        <w:jc w:val="center"/>
                        <w:rPr>
                          <w:rFonts w:ascii="Arial" w:hAnsi="Arial" w:cs="Arial"/>
                          <w:sz w:val="16"/>
                          <w:szCs w:val="16"/>
                        </w:rPr>
                      </w:pPr>
                      <w:r>
                        <w:rPr>
                          <w:rFonts w:ascii="Arial" w:hAnsi="Arial" w:cs="Arial"/>
                          <w:sz w:val="16"/>
                          <w:szCs w:val="16"/>
                        </w:rPr>
                        <w:t>Pendiente firma</w:t>
                      </w:r>
                    </w:p>
                  </w:txbxContent>
                </v:textbox>
              </v:rect>
            </w:pict>
          </mc:Fallback>
        </mc:AlternateContent>
      </w:r>
      <w:r w:rsidRPr="006258A1">
        <w:rPr>
          <w:noProof/>
          <w:lang w:val="es-ES" w:eastAsia="es-ES"/>
        </w:rPr>
        <mc:AlternateContent>
          <mc:Choice Requires="wps">
            <w:drawing>
              <wp:anchor distT="0" distB="0" distL="114300" distR="114300" simplePos="0" relativeHeight="251661824" behindDoc="0" locked="0" layoutInCell="1" allowOverlap="1" wp14:anchorId="5BCF79D8" wp14:editId="418242D0">
                <wp:simplePos x="0" y="0"/>
                <wp:positionH relativeFrom="column">
                  <wp:posOffset>2620010</wp:posOffset>
                </wp:positionH>
                <wp:positionV relativeFrom="paragraph">
                  <wp:posOffset>7147560</wp:posOffset>
                </wp:positionV>
                <wp:extent cx="9525" cy="304800"/>
                <wp:effectExtent l="0" t="0" r="28575" b="19050"/>
                <wp:wrapNone/>
                <wp:docPr id="292" name="292 Conector recto"/>
                <wp:cNvGraphicFramePr/>
                <a:graphic xmlns:a="http://schemas.openxmlformats.org/drawingml/2006/main">
                  <a:graphicData uri="http://schemas.microsoft.com/office/word/2010/wordprocessingShape">
                    <wps:wsp>
                      <wps:cNvCnPr/>
                      <wps:spPr>
                        <a:xfrm flipH="1">
                          <a:off x="0" y="0"/>
                          <a:ext cx="9525" cy="304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92 Conector recto"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pt,562.8pt" to="207.05pt,5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" strokecolor="windowText"/>
            </w:pict>
          </mc:Fallback>
        </mc:AlternateContent>
      </w:r>
      <w:r w:rsidRPr="006258A1">
        <w:rPr>
          <w:noProof/>
          <w:lang w:val="es-ES" w:eastAsia="es-ES"/>
        </w:rPr>
        <mc:AlternateContent>
          <mc:Choice Requires="wps">
            <w:drawing>
              <wp:anchor distT="0" distB="0" distL="114300" distR="114300" simplePos="0" relativeHeight="251662848" behindDoc="0" locked="0" layoutInCell="1" allowOverlap="1" wp14:anchorId="3D49FC41" wp14:editId="5A5F2985">
                <wp:simplePos x="0" y="0"/>
                <wp:positionH relativeFrom="column">
                  <wp:posOffset>210185</wp:posOffset>
                </wp:positionH>
                <wp:positionV relativeFrom="paragraph">
                  <wp:posOffset>7138035</wp:posOffset>
                </wp:positionV>
                <wp:extent cx="0" cy="314325"/>
                <wp:effectExtent l="0" t="0" r="19050" b="9525"/>
                <wp:wrapNone/>
                <wp:docPr id="119" name="119 Conector recto"/>
                <wp:cNvGraphicFramePr/>
                <a:graphic xmlns:a="http://schemas.openxmlformats.org/drawingml/2006/main">
                  <a:graphicData uri="http://schemas.microsoft.com/office/word/2010/wordprocessingShape">
                    <wps:wsp>
                      <wps:cNvCnPr/>
                      <wps:spPr>
                        <a:xfrm flipH="1">
                          <a:off x="0" y="0"/>
                          <a:ext cx="0" cy="3143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19 Conector recto"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562.05pt" to="16.55pt,5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" strokecolor="windowText"/>
            </w:pict>
          </mc:Fallback>
        </mc:AlternateContent>
      </w:r>
      <w:r w:rsidRPr="006258A1">
        <w:rPr>
          <w:noProof/>
          <w:lang w:val="es-ES" w:eastAsia="es-ES"/>
        </w:rPr>
        <mc:AlternateContent>
          <mc:Choice Requires="wps">
            <w:drawing>
              <wp:anchor distT="0" distB="0" distL="114300" distR="114300" simplePos="0" relativeHeight="251665920" behindDoc="0" locked="0" layoutInCell="1" allowOverlap="1" wp14:anchorId="0FC8C057" wp14:editId="23878819">
                <wp:simplePos x="0" y="0"/>
                <wp:positionH relativeFrom="column">
                  <wp:posOffset>210185</wp:posOffset>
                </wp:positionH>
                <wp:positionV relativeFrom="paragraph">
                  <wp:posOffset>7142480</wp:posOffset>
                </wp:positionV>
                <wp:extent cx="2419350" cy="0"/>
                <wp:effectExtent l="0" t="0" r="19050" b="19050"/>
                <wp:wrapNone/>
                <wp:docPr id="288" name="288 Conector recto"/>
                <wp:cNvGraphicFramePr/>
                <a:graphic xmlns:a="http://schemas.openxmlformats.org/drawingml/2006/main">
                  <a:graphicData uri="http://schemas.microsoft.com/office/word/2010/wordprocessingShape">
                    <wps:wsp>
                      <wps:cNvCnPr/>
                      <wps:spPr>
                        <a:xfrm flipH="1">
                          <a:off x="0" y="0"/>
                          <a:ext cx="2419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88 Conector recto"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562.4pt" to="207.05pt,5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" strokecolor="windowText"/>
            </w:pict>
          </mc:Fallback>
        </mc:AlternateContent>
      </w:r>
    </w:p>
    <w:p w:rsidR="009C52A8" w:rsidRPr="00E171FA" w:rsidRDefault="009C52A8" w:rsidP="00E171FA">
      <w:pPr>
        <w:pStyle w:val="texto"/>
        <w:ind w:firstLine="0"/>
      </w:pPr>
    </w:p>
    <w:sectPr w:rsidR="009C52A8" w:rsidRPr="00E171FA" w:rsidSect="00083F7B">
      <w:footerReference w:type="default" r:id="rId29"/>
      <w:type w:val="oddPage"/>
      <w:pgSz w:w="11907" w:h="16840" w:code="9"/>
      <w:pgMar w:top="2109" w:right="1559" w:bottom="851" w:left="1559" w:header="369" w:footer="3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73D" w:rsidRDefault="0002273D">
      <w:r>
        <w:separator/>
      </w:r>
    </w:p>
    <w:p w:rsidR="0002273D" w:rsidRDefault="0002273D"/>
    <w:p w:rsidR="0002273D" w:rsidRDefault="0002273D"/>
    <w:p w:rsidR="0002273D" w:rsidRDefault="0002273D"/>
  </w:endnote>
  <w:endnote w:type="continuationSeparator" w:id="0">
    <w:p w:rsidR="0002273D" w:rsidRDefault="0002273D">
      <w:r>
        <w:continuationSeparator/>
      </w:r>
    </w:p>
    <w:p w:rsidR="0002273D" w:rsidRDefault="0002273D"/>
    <w:p w:rsidR="0002273D" w:rsidRDefault="0002273D"/>
    <w:p w:rsidR="0002273D" w:rsidRDefault="00022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jan">
    <w:panose1 w:val="00000000000000000000"/>
    <w:charset w:val="00"/>
    <w:family w:val="roman"/>
    <w:notTrueType/>
    <w:pitch w:val="variable"/>
    <w:sig w:usb0="00000003" w:usb1="00000000" w:usb2="00000000" w:usb3="00000000" w:csb0="00000001" w:csb1="00000000"/>
  </w:font>
  <w:font w:name="GillSans">
    <w:altName w:val="Courier"/>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2273D" w:rsidRDefault="0002273D"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Pr="00F03814" w:rsidRDefault="0002273D"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517792F8" wp14:editId="734E077C">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02273D" w:rsidRPr="00F74E38" w:rsidRDefault="0002273D" w:rsidP="00F03814">
    <w:pPr>
      <w:pStyle w:val="Piedepgina"/>
      <w:tabs>
        <w:tab w:val="clear" w:pos="4252"/>
        <w:tab w:val="clear" w:pos="8504"/>
        <w:tab w:val="center" w:pos="4560"/>
      </w:tabs>
      <w:ind w:right="360"/>
      <w:jc w:val="left"/>
      <w:rPr>
        <w:rStyle w:val="Nmerodepgina"/>
      </w:rPr>
    </w:pPr>
  </w:p>
  <w:p w:rsidR="0002273D" w:rsidRPr="00C13453" w:rsidRDefault="0002273D" w:rsidP="00D2472C">
    <w:pPr>
      <w:pStyle w:val="BorradorProvisional"/>
      <w:ind w:lef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Pr="00F03814" w:rsidRDefault="0002273D"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32B1C202" wp14:editId="686CA3DD">
          <wp:extent cx="219075" cy="371475"/>
          <wp:effectExtent l="0" t="0" r="9525" b="9525"/>
          <wp:docPr id="4" name="Imagen 4"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774AA7">
      <w:rPr>
        <w:rStyle w:val="Nmerodepgina"/>
        <w:noProof/>
        <w:szCs w:val="24"/>
      </w:rPr>
      <w:t>3</w:t>
    </w:r>
    <w:r w:rsidRPr="001D4F09">
      <w:rPr>
        <w:rStyle w:val="Nmerodepgina"/>
        <w:szCs w:val="24"/>
      </w:rPr>
      <w:fldChar w:fldCharType="end"/>
    </w:r>
    <w:r w:rsidRPr="001D4F09">
      <w:rPr>
        <w:rStyle w:val="Nmerodepgina"/>
        <w:szCs w:val="24"/>
      </w:rPr>
      <w:t xml:space="preserve"> -</w:t>
    </w:r>
  </w:p>
  <w:p w:rsidR="0002273D" w:rsidRPr="00C13453" w:rsidRDefault="0002273D" w:rsidP="00D2472C">
    <w:pPr>
      <w:pStyle w:val="BorradorProvisional"/>
      <w:ind w:left="0"/>
      <w:jc w:val="center"/>
    </w:pPr>
  </w:p>
  <w:p w:rsidR="0002273D" w:rsidRDefault="0002273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Pr="00F03814" w:rsidRDefault="0002273D" w:rsidP="00AA1CD5">
    <w:pPr>
      <w:pStyle w:val="Piedepgina"/>
      <w:tabs>
        <w:tab w:val="clear" w:pos="2835"/>
        <w:tab w:val="clear" w:pos="3969"/>
        <w:tab w:val="clear" w:pos="4252"/>
        <w:tab w:val="clear" w:pos="5103"/>
        <w:tab w:val="clear" w:pos="6237"/>
        <w:tab w:val="clear" w:pos="7371"/>
        <w:tab w:val="clear" w:pos="8504"/>
        <w:tab w:val="center" w:pos="6521"/>
      </w:tabs>
      <w:spacing w:after="0"/>
      <w:ind w:right="29"/>
      <w:jc w:val="left"/>
      <w:rPr>
        <w:rFonts w:ascii="Trajan" w:hAnsi="Trajan"/>
        <w:sz w:val="24"/>
        <w:szCs w:val="24"/>
      </w:rPr>
    </w:pPr>
    <w:r>
      <w:rPr>
        <w:rFonts w:ascii="GillSans" w:hAnsi="GillSans"/>
        <w:noProof/>
        <w:lang w:val="es-ES" w:eastAsia="es-ES"/>
      </w:rPr>
      <w:drawing>
        <wp:inline distT="0" distB="0" distL="0" distR="0" wp14:anchorId="052B349E" wp14:editId="658E422D">
          <wp:extent cx="219075" cy="371475"/>
          <wp:effectExtent l="0" t="0" r="9525" b="9525"/>
          <wp:docPr id="16" name="Imagen 16"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774AA7">
      <w:rPr>
        <w:rStyle w:val="Nmerodepgina"/>
        <w:noProof/>
        <w:szCs w:val="24"/>
      </w:rPr>
      <w:t>23</w:t>
    </w:r>
    <w:r w:rsidRPr="001D4F09">
      <w:rPr>
        <w:rStyle w:val="Nmerodepgina"/>
        <w:szCs w:val="24"/>
      </w:rPr>
      <w:fldChar w:fldCharType="end"/>
    </w:r>
    <w:r w:rsidRPr="001D4F09">
      <w:rPr>
        <w:rStyle w:val="Nmerodepgina"/>
        <w:szCs w:val="24"/>
      </w:rPr>
      <w:t xml:space="preserve"> -</w:t>
    </w:r>
  </w:p>
  <w:p w:rsidR="0002273D" w:rsidRPr="00C13453" w:rsidRDefault="0002273D" w:rsidP="00D2472C">
    <w:pPr>
      <w:pStyle w:val="BorradorProvisional"/>
      <w:ind w:left="0"/>
      <w:jc w:val="center"/>
    </w:pPr>
  </w:p>
  <w:p w:rsidR="0002273D" w:rsidRDefault="0002273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Pr="00F03814" w:rsidRDefault="0002273D" w:rsidP="00AA1CD5">
    <w:pPr>
      <w:pStyle w:val="Piedepgina"/>
      <w:tabs>
        <w:tab w:val="clear" w:pos="2835"/>
        <w:tab w:val="clear" w:pos="3969"/>
        <w:tab w:val="clear" w:pos="4252"/>
        <w:tab w:val="clear" w:pos="5103"/>
        <w:tab w:val="clear" w:pos="6237"/>
        <w:tab w:val="clear" w:pos="7371"/>
        <w:tab w:val="clear" w:pos="8504"/>
        <w:tab w:val="center" w:pos="4253"/>
      </w:tabs>
      <w:spacing w:after="0"/>
      <w:ind w:right="29"/>
      <w:jc w:val="left"/>
      <w:rPr>
        <w:rFonts w:ascii="Trajan" w:hAnsi="Trajan"/>
        <w:sz w:val="24"/>
        <w:szCs w:val="24"/>
      </w:rPr>
    </w:pPr>
    <w:r>
      <w:rPr>
        <w:rFonts w:ascii="GillSans" w:hAnsi="GillSans"/>
        <w:noProof/>
        <w:lang w:val="es-ES" w:eastAsia="es-ES"/>
      </w:rPr>
      <w:drawing>
        <wp:inline distT="0" distB="0" distL="0" distR="0" wp14:anchorId="7B05EE36" wp14:editId="2D909850">
          <wp:extent cx="219075" cy="371475"/>
          <wp:effectExtent l="0" t="0" r="9525" b="9525"/>
          <wp:docPr id="11" name="Imagen 11"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774AA7">
      <w:rPr>
        <w:rStyle w:val="Nmerodepgina"/>
        <w:noProof/>
        <w:szCs w:val="24"/>
      </w:rPr>
      <w:t>26</w:t>
    </w:r>
    <w:r w:rsidRPr="001D4F09">
      <w:rPr>
        <w:rStyle w:val="Nmerodepgina"/>
        <w:szCs w:val="24"/>
      </w:rPr>
      <w:fldChar w:fldCharType="end"/>
    </w:r>
    <w:r w:rsidRPr="001D4F09">
      <w:rPr>
        <w:rStyle w:val="Nmerodepgina"/>
        <w:szCs w:val="24"/>
      </w:rPr>
      <w:t xml:space="preserve"> -</w:t>
    </w:r>
  </w:p>
  <w:p w:rsidR="0002273D" w:rsidRPr="00C13453" w:rsidRDefault="0002273D" w:rsidP="00D2472C">
    <w:pPr>
      <w:pStyle w:val="BorradorProvisional"/>
      <w:ind w:left="0"/>
      <w:jc w:val="center"/>
    </w:pPr>
  </w:p>
  <w:p w:rsidR="0002273D" w:rsidRDefault="0002273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3D9" w:rsidRPr="00F03814" w:rsidRDefault="00EC43D9"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2FD4C9E7" wp14:editId="11527E1C">
          <wp:extent cx="219075" cy="371475"/>
          <wp:effectExtent l="0" t="0" r="9525" b="9525"/>
          <wp:docPr id="14" name="Imagen 14"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774AA7">
      <w:rPr>
        <w:rStyle w:val="Nmerodepgina"/>
        <w:noProof/>
        <w:szCs w:val="24"/>
      </w:rPr>
      <w:t>35</w:t>
    </w:r>
    <w:r w:rsidRPr="001D4F09">
      <w:rPr>
        <w:rStyle w:val="Nmerodepgina"/>
        <w:szCs w:val="24"/>
      </w:rPr>
      <w:fldChar w:fldCharType="end"/>
    </w:r>
    <w:r w:rsidRPr="001D4F09">
      <w:rPr>
        <w:rStyle w:val="Nmerodepgina"/>
        <w:szCs w:val="24"/>
      </w:rPr>
      <w:t xml:space="preserve"> -</w:t>
    </w:r>
  </w:p>
  <w:p w:rsidR="00EC43D9" w:rsidRDefault="00EC43D9" w:rsidP="00F555B0">
    <w:pPr>
      <w:spacing w:before="1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8A4" w:rsidRPr="00C13453" w:rsidRDefault="00EC43D9" w:rsidP="00E53EC2">
    <w:pPr>
      <w:pStyle w:val="Piedepgina"/>
      <w:tabs>
        <w:tab w:val="clear" w:pos="2835"/>
        <w:tab w:val="clear" w:pos="3969"/>
        <w:tab w:val="clear" w:pos="4252"/>
        <w:tab w:val="clear" w:pos="5103"/>
        <w:tab w:val="clear" w:pos="6237"/>
        <w:tab w:val="clear" w:pos="7371"/>
        <w:tab w:val="clear" w:pos="8504"/>
        <w:tab w:val="left" w:pos="1515"/>
        <w:tab w:val="center" w:pos="4438"/>
      </w:tabs>
      <w:spacing w:after="0"/>
      <w:ind w:right="29"/>
      <w:jc w:val="left"/>
    </w:pPr>
    <w:r>
      <w:rPr>
        <w:rFonts w:ascii="GillSans" w:hAnsi="GillSans"/>
        <w:noProof/>
        <w:lang w:val="es-ES" w:eastAsia="es-ES"/>
      </w:rPr>
      <w:drawing>
        <wp:inline distT="0" distB="0" distL="0" distR="0" wp14:anchorId="538F55D9" wp14:editId="3CDD3EB3">
          <wp:extent cx="219075" cy="371475"/>
          <wp:effectExtent l="0" t="0" r="9525" b="9525"/>
          <wp:docPr id="19" name="Imagen 1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Fonts w:ascii="GillSans" w:hAnsi="GillSans"/>
      </w:rPr>
      <w:tab/>
    </w:r>
  </w:p>
  <w:p w:rsidR="00E358A4" w:rsidRDefault="00774A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73D" w:rsidRDefault="0002273D">
      <w:r>
        <w:separator/>
      </w:r>
    </w:p>
  </w:footnote>
  <w:footnote w:type="continuationSeparator" w:id="0">
    <w:p w:rsidR="0002273D" w:rsidRDefault="0002273D">
      <w:r>
        <w:continuationSeparator/>
      </w:r>
    </w:p>
    <w:p w:rsidR="0002273D" w:rsidRDefault="0002273D"/>
    <w:p w:rsidR="0002273D" w:rsidRDefault="0002273D"/>
    <w:p w:rsidR="0002273D" w:rsidRDefault="0002273D"/>
  </w:footnote>
  <w:footnote w:id="1">
    <w:p w:rsidR="0002273D" w:rsidRPr="00C20DC0" w:rsidRDefault="0002273D" w:rsidP="00B13E99">
      <w:pPr>
        <w:pStyle w:val="Textonotapie"/>
        <w:ind w:firstLine="0"/>
        <w:rPr>
          <w:sz w:val="18"/>
          <w:szCs w:val="18"/>
        </w:rPr>
      </w:pPr>
      <w:r w:rsidRPr="00C20DC0">
        <w:rPr>
          <w:rStyle w:val="Refdenotaalpie"/>
          <w:sz w:val="18"/>
          <w:szCs w:val="18"/>
        </w:rPr>
        <w:footnoteRef/>
      </w:r>
      <w:r w:rsidRPr="00C20DC0">
        <w:rPr>
          <w:sz w:val="18"/>
          <w:szCs w:val="18"/>
        </w:rPr>
        <w:t xml:space="preserve"> Am</w:t>
      </w:r>
      <w:r>
        <w:rPr>
          <w:sz w:val="18"/>
          <w:szCs w:val="18"/>
        </w:rPr>
        <w:t>á</w:t>
      </w:r>
      <w:r w:rsidRPr="00C20DC0">
        <w:rPr>
          <w:sz w:val="18"/>
          <w:szCs w:val="18"/>
        </w:rPr>
        <w:t>triain, Amunarrizqueta, Barásoain, Beire, Benegorri, Caparros</w:t>
      </w:r>
      <w:r>
        <w:rPr>
          <w:sz w:val="18"/>
          <w:szCs w:val="18"/>
        </w:rPr>
        <w:t>o</w:t>
      </w:r>
      <w:r w:rsidRPr="00C20DC0">
        <w:rPr>
          <w:sz w:val="18"/>
          <w:szCs w:val="18"/>
        </w:rPr>
        <w:t>, Carcastillo, Echagüe, Figarol, Garínoain, Iracheta, Leoz, Maqu</w:t>
      </w:r>
      <w:r>
        <w:rPr>
          <w:sz w:val="18"/>
          <w:szCs w:val="18"/>
        </w:rPr>
        <w:t>í</w:t>
      </w:r>
      <w:r w:rsidRPr="00C20DC0">
        <w:rPr>
          <w:sz w:val="18"/>
          <w:szCs w:val="18"/>
        </w:rPr>
        <w:t>rr</w:t>
      </w:r>
      <w:r>
        <w:rPr>
          <w:sz w:val="18"/>
          <w:szCs w:val="18"/>
        </w:rPr>
        <w:t>i</w:t>
      </w:r>
      <w:r w:rsidRPr="00C20DC0">
        <w:rPr>
          <w:sz w:val="18"/>
          <w:szCs w:val="18"/>
        </w:rPr>
        <w:t>ain, Mélida, M</w:t>
      </w:r>
      <w:r>
        <w:rPr>
          <w:sz w:val="18"/>
          <w:szCs w:val="18"/>
        </w:rPr>
        <w:t>e</w:t>
      </w:r>
      <w:r w:rsidRPr="00C20DC0">
        <w:rPr>
          <w:sz w:val="18"/>
          <w:szCs w:val="18"/>
        </w:rPr>
        <w:t>nd</w:t>
      </w:r>
      <w:r>
        <w:rPr>
          <w:sz w:val="18"/>
          <w:szCs w:val="18"/>
        </w:rPr>
        <w:t>í</w:t>
      </w:r>
      <w:r w:rsidRPr="00C20DC0">
        <w:rPr>
          <w:sz w:val="18"/>
          <w:szCs w:val="18"/>
        </w:rPr>
        <w:t>vil, Murillo el Cuende, Murillo el Fruto, Olite, Olleta, Olóriz, Oricin, Orísoain, Peralta, Pitillas, Pueyo, Rada, San Martín de Unx, Sansoáin, Santacara, Solchaga, Tafalla,  Traibuenas, Ujué, Unzué y Uzquita.</w:t>
      </w:r>
    </w:p>
  </w:footnote>
  <w:footnote w:id="2">
    <w:p w:rsidR="0002273D" w:rsidRPr="007B00AE" w:rsidRDefault="0002273D" w:rsidP="00306939">
      <w:pPr>
        <w:pStyle w:val="Textonotapie"/>
        <w:ind w:firstLine="0"/>
        <w:rPr>
          <w:sz w:val="18"/>
          <w:szCs w:val="18"/>
        </w:rPr>
      </w:pPr>
      <w:r w:rsidRPr="007B00AE">
        <w:rPr>
          <w:rStyle w:val="Refdenotaalpie"/>
          <w:sz w:val="18"/>
          <w:szCs w:val="18"/>
        </w:rPr>
        <w:footnoteRef/>
      </w:r>
      <w:r w:rsidRPr="007B00AE">
        <w:rPr>
          <w:sz w:val="18"/>
          <w:szCs w:val="18"/>
        </w:rPr>
        <w:t xml:space="preserve"> En realidad se presentan otras dos variantes considerando la inclusión o no de Cadreita en las alternativas que describ</w:t>
      </w:r>
      <w:r w:rsidRPr="007B00AE">
        <w:rPr>
          <w:sz w:val="18"/>
          <w:szCs w:val="18"/>
        </w:rPr>
        <w:t>i</w:t>
      </w:r>
      <w:r w:rsidRPr="007B00AE">
        <w:rPr>
          <w:sz w:val="18"/>
          <w:szCs w:val="18"/>
        </w:rPr>
        <w:t>mos,</w:t>
      </w:r>
      <w:r>
        <w:rPr>
          <w:sz w:val="18"/>
          <w:szCs w:val="18"/>
        </w:rPr>
        <w:t xml:space="preserve"> y otras dos en las que se trata el caso particular de Cadreita aisladamente; no tenemos en cuenta estas cuatro altern</w:t>
      </w:r>
      <w:r>
        <w:rPr>
          <w:sz w:val="18"/>
          <w:szCs w:val="18"/>
        </w:rPr>
        <w:t>a</w:t>
      </w:r>
      <w:r>
        <w:rPr>
          <w:sz w:val="18"/>
          <w:szCs w:val="18"/>
        </w:rPr>
        <w:t xml:space="preserve">tivas </w:t>
      </w:r>
      <w:r w:rsidRPr="007B00AE">
        <w:rPr>
          <w:sz w:val="18"/>
          <w:szCs w:val="18"/>
        </w:rPr>
        <w:t>ya que</w:t>
      </w:r>
      <w:r>
        <w:rPr>
          <w:sz w:val="18"/>
          <w:szCs w:val="18"/>
        </w:rPr>
        <w:t>,</w:t>
      </w:r>
      <w:r w:rsidRPr="007B00AE">
        <w:rPr>
          <w:sz w:val="18"/>
          <w:szCs w:val="18"/>
        </w:rPr>
        <w:t xml:space="preserve"> a efectos de nuestro informe</w:t>
      </w:r>
      <w:r>
        <w:rPr>
          <w:sz w:val="18"/>
          <w:szCs w:val="18"/>
        </w:rPr>
        <w:t>,</w:t>
      </w:r>
      <w:r w:rsidRPr="007B00AE">
        <w:rPr>
          <w:sz w:val="18"/>
          <w:szCs w:val="18"/>
        </w:rPr>
        <w:t xml:space="preserve"> su consideración no tiene ninguna repercusión. </w:t>
      </w:r>
    </w:p>
  </w:footnote>
  <w:footnote w:id="3">
    <w:p w:rsidR="0002273D" w:rsidRDefault="0002273D" w:rsidP="00105F41">
      <w:pPr>
        <w:pStyle w:val="Textonotapie"/>
        <w:ind w:firstLine="0"/>
      </w:pPr>
      <w:r>
        <w:rPr>
          <w:rStyle w:val="Refdenotaalpie"/>
        </w:rPr>
        <w:footnoteRef/>
      </w:r>
      <w:r>
        <w:t xml:space="preserve"> No asistió un miembro representante de cada uno de los siguientes municipios: Tafalla, Peralta, Olóriz, San Martín de Unx y Carcastillo.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rsidP="007C36BE">
    <w:pPr>
      <w:pStyle w:val="Encabezado"/>
      <w:pBdr>
        <w:bottom w:val="single" w:sz="4" w:space="1" w:color="auto"/>
      </w:pBdr>
      <w:spacing w:after="40"/>
      <w:ind w:firstLine="0"/>
      <w:jc w:val="left"/>
      <w:rPr>
        <w:lang w:val="es-ES"/>
      </w:rPr>
    </w:pPr>
    <w:r>
      <w:rPr>
        <w:b/>
        <w:noProof/>
        <w:lang w:val="es-ES" w:eastAsia="es-ES"/>
      </w:rPr>
      <w:drawing>
        <wp:inline distT="0" distB="0" distL="0" distR="0" wp14:anchorId="4D6FF185" wp14:editId="5A916BA2">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02273D" w:rsidRPr="0059650E" w:rsidRDefault="00610354" w:rsidP="00891D73">
    <w:pPr>
      <w:pStyle w:val="Encabezado"/>
      <w:pBdr>
        <w:bottom w:val="single" w:sz="4" w:space="1" w:color="auto"/>
      </w:pBdr>
      <w:ind w:firstLine="0"/>
      <w:rPr>
        <w:lang w:val="es-ES"/>
      </w:rPr>
    </w:pPr>
    <w:r>
      <w:rPr>
        <w:lang w:val="es-ES"/>
      </w:rPr>
      <w:t>informe</w:t>
    </w:r>
    <w:r w:rsidR="0002273D">
      <w:rPr>
        <w:lang w:val="es-ES"/>
      </w:rPr>
      <w:t xml:space="preserve"> de fiscalización SOBRE el sistema de abastecimiento de agua en alta de la mancomunidad de mairaga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rsidP="006A2D41">
    <w:pPr>
      <w:pStyle w:val="Encabezado"/>
      <w:ind w:firstLine="0"/>
      <w:jc w:val="left"/>
    </w:pPr>
    <w:r>
      <w:rPr>
        <w:noProof/>
        <w:lang w:val="es-ES" w:eastAsia="es-ES"/>
      </w:rPr>
      <w:drawing>
        <wp:inline distT="0" distB="0" distL="0" distR="0">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p w:rsidR="0002273D" w:rsidRDefault="0002273D"/>
  <w:p w:rsidR="0002273D" w:rsidRDefault="0002273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rsidP="00442F3B">
    <w:pPr>
      <w:pStyle w:val="Encabezado"/>
      <w:spacing w:after="40"/>
      <w:ind w:firstLine="0"/>
      <w:jc w:val="left"/>
      <w:rPr>
        <w:lang w:val="es-ES"/>
      </w:rPr>
    </w:pPr>
    <w:r>
      <w:rPr>
        <w:b/>
        <w:noProof/>
        <w:lang w:val="es-ES" w:eastAsia="es-ES"/>
      </w:rPr>
      <w:drawing>
        <wp:inline distT="0" distB="0" distL="0" distR="0" wp14:anchorId="72CFDC90" wp14:editId="2B4D6C10">
          <wp:extent cx="771525" cy="762000"/>
          <wp:effectExtent l="0" t="0" r="9525" b="0"/>
          <wp:docPr id="18" name="Imagen 18"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02273D" w:rsidRPr="0059650E" w:rsidRDefault="0002273D" w:rsidP="001A61A2">
    <w:pPr>
      <w:pStyle w:val="Encabezado"/>
      <w:pBdr>
        <w:bottom w:val="single" w:sz="4" w:space="1" w:color="auto"/>
      </w:pBdr>
      <w:ind w:left="-851" w:right="-1457" w:firstLine="0"/>
      <w:rPr>
        <w:lang w:val="es-ES"/>
      </w:rPr>
    </w:pPr>
    <w:r>
      <w:rPr>
        <w:lang w:val="es-ES"/>
      </w:rPr>
      <w:t>informe provisional de fiscalización SOBRE el sistema de abastecimiento de agua en alta de la mancomunidad de mairaga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rsidP="00442F3B">
    <w:pPr>
      <w:pStyle w:val="Encabezado"/>
      <w:spacing w:after="40"/>
      <w:ind w:firstLine="0"/>
      <w:jc w:val="left"/>
      <w:rPr>
        <w:lang w:val="es-ES"/>
      </w:rPr>
    </w:pPr>
    <w:r>
      <w:rPr>
        <w:b/>
        <w:noProof/>
        <w:lang w:val="es-ES" w:eastAsia="es-ES"/>
      </w:rPr>
      <w:drawing>
        <wp:inline distT="0" distB="0" distL="0" distR="0" wp14:anchorId="203DABE9" wp14:editId="78F8C762">
          <wp:extent cx="771525" cy="762000"/>
          <wp:effectExtent l="0" t="0" r="9525" b="0"/>
          <wp:docPr id="21" name="Imagen 2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02273D" w:rsidRPr="0059650E" w:rsidRDefault="0002273D" w:rsidP="001A61A2">
    <w:pPr>
      <w:pStyle w:val="Encabezado"/>
      <w:pBdr>
        <w:bottom w:val="single" w:sz="4" w:space="1" w:color="auto"/>
      </w:pBdr>
      <w:tabs>
        <w:tab w:val="left" w:pos="7371"/>
      </w:tabs>
      <w:ind w:left="28" w:firstLine="0"/>
      <w:rPr>
        <w:lang w:val="es-ES"/>
      </w:rPr>
    </w:pPr>
    <w:r>
      <w:rPr>
        <w:lang w:val="es-ES"/>
      </w:rPr>
      <w:t>informe de fiscalización SOBRE el sistema de abastecimiento de agua en alta de la mancomunidad de mairaga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3D9" w:rsidRDefault="00EC43D9"/>
  <w:p w:rsidR="00EC43D9" w:rsidRDefault="00EC43D9"/>
  <w:p w:rsidR="00EC43D9" w:rsidRDefault="00EC43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663"/>
    <w:multiLevelType w:val="hybridMultilevel"/>
    <w:tmpl w:val="1A3A9AF6"/>
    <w:lvl w:ilvl="0" w:tplc="0C0A0001">
      <w:start w:val="1"/>
      <w:numFmt w:val="bullet"/>
      <w:lvlText w:val=""/>
      <w:lvlJc w:val="left"/>
      <w:pPr>
        <w:ind w:left="1004" w:hanging="360"/>
      </w:pPr>
      <w:rPr>
        <w:rFonts w:ascii="Symbol" w:hAnsi="Symbol" w:hint="default"/>
      </w:rPr>
    </w:lvl>
    <w:lvl w:ilvl="1" w:tplc="0C0A0017">
      <w:start w:val="1"/>
      <w:numFmt w:val="lowerLetter"/>
      <w:lvlText w:val="%2)"/>
      <w:lvlJc w:val="left"/>
      <w:pPr>
        <w:ind w:left="1724" w:hanging="360"/>
      </w:pPr>
      <w:rPr>
        <w:rFonts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EDE0657"/>
    <w:multiLevelType w:val="hybridMultilevel"/>
    <w:tmpl w:val="EE60897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3">
    <w:nsid w:val="1AFC630E"/>
    <w:multiLevelType w:val="hybridMultilevel"/>
    <w:tmpl w:val="ADAE59D2"/>
    <w:lvl w:ilvl="0" w:tplc="B356985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C54D93"/>
    <w:multiLevelType w:val="hybridMultilevel"/>
    <w:tmpl w:val="6C3E1C9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23A11300"/>
    <w:multiLevelType w:val="hybridMultilevel"/>
    <w:tmpl w:val="374AA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3A36FA2"/>
    <w:multiLevelType w:val="hybridMultilevel"/>
    <w:tmpl w:val="E47025A6"/>
    <w:lvl w:ilvl="0" w:tplc="0C0A0011">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
    <w:nsid w:val="2E175980"/>
    <w:multiLevelType w:val="hybridMultilevel"/>
    <w:tmpl w:val="9E106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0113E99"/>
    <w:multiLevelType w:val="hybridMultilevel"/>
    <w:tmpl w:val="62AAB2F2"/>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nsid w:val="3357516C"/>
    <w:multiLevelType w:val="hybridMultilevel"/>
    <w:tmpl w:val="FE1E7F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D342AFF"/>
    <w:multiLevelType w:val="hybridMultilevel"/>
    <w:tmpl w:val="706C44FE"/>
    <w:lvl w:ilvl="0" w:tplc="FFFFFFFF">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D801E9A"/>
    <w:multiLevelType w:val="hybridMultilevel"/>
    <w:tmpl w:val="826E51A6"/>
    <w:lvl w:ilvl="0" w:tplc="0C0A0017">
      <w:start w:val="1"/>
      <w:numFmt w:val="lowerLetter"/>
      <w:lvlText w:val="%1)"/>
      <w:lvlJc w:val="left"/>
      <w:pPr>
        <w:ind w:left="1724" w:hanging="360"/>
      </w:pPr>
    </w:lvl>
    <w:lvl w:ilvl="1" w:tplc="0C0A0019" w:tentative="1">
      <w:start w:val="1"/>
      <w:numFmt w:val="lowerLetter"/>
      <w:lvlText w:val="%2."/>
      <w:lvlJc w:val="left"/>
      <w:pPr>
        <w:ind w:left="2444" w:hanging="360"/>
      </w:pPr>
    </w:lvl>
    <w:lvl w:ilvl="2" w:tplc="0C0A001B" w:tentative="1">
      <w:start w:val="1"/>
      <w:numFmt w:val="lowerRoman"/>
      <w:lvlText w:val="%3."/>
      <w:lvlJc w:val="right"/>
      <w:pPr>
        <w:ind w:left="3164" w:hanging="180"/>
      </w:pPr>
    </w:lvl>
    <w:lvl w:ilvl="3" w:tplc="0C0A000F" w:tentative="1">
      <w:start w:val="1"/>
      <w:numFmt w:val="decimal"/>
      <w:lvlText w:val="%4."/>
      <w:lvlJc w:val="left"/>
      <w:pPr>
        <w:ind w:left="3884" w:hanging="360"/>
      </w:pPr>
    </w:lvl>
    <w:lvl w:ilvl="4" w:tplc="0C0A0019" w:tentative="1">
      <w:start w:val="1"/>
      <w:numFmt w:val="lowerLetter"/>
      <w:lvlText w:val="%5."/>
      <w:lvlJc w:val="left"/>
      <w:pPr>
        <w:ind w:left="4604" w:hanging="360"/>
      </w:pPr>
    </w:lvl>
    <w:lvl w:ilvl="5" w:tplc="0C0A001B" w:tentative="1">
      <w:start w:val="1"/>
      <w:numFmt w:val="lowerRoman"/>
      <w:lvlText w:val="%6."/>
      <w:lvlJc w:val="right"/>
      <w:pPr>
        <w:ind w:left="5324" w:hanging="180"/>
      </w:pPr>
    </w:lvl>
    <w:lvl w:ilvl="6" w:tplc="0C0A000F" w:tentative="1">
      <w:start w:val="1"/>
      <w:numFmt w:val="decimal"/>
      <w:lvlText w:val="%7."/>
      <w:lvlJc w:val="left"/>
      <w:pPr>
        <w:ind w:left="6044" w:hanging="360"/>
      </w:pPr>
    </w:lvl>
    <w:lvl w:ilvl="7" w:tplc="0C0A0019" w:tentative="1">
      <w:start w:val="1"/>
      <w:numFmt w:val="lowerLetter"/>
      <w:lvlText w:val="%8."/>
      <w:lvlJc w:val="left"/>
      <w:pPr>
        <w:ind w:left="6764" w:hanging="360"/>
      </w:pPr>
    </w:lvl>
    <w:lvl w:ilvl="8" w:tplc="0C0A001B" w:tentative="1">
      <w:start w:val="1"/>
      <w:numFmt w:val="lowerRoman"/>
      <w:lvlText w:val="%9."/>
      <w:lvlJc w:val="right"/>
      <w:pPr>
        <w:ind w:left="7484" w:hanging="180"/>
      </w:pPr>
    </w:lvl>
  </w:abstractNum>
  <w:abstractNum w:abstractNumId="12">
    <w:nsid w:val="3FB9646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4">
    <w:nsid w:val="52E96F25"/>
    <w:multiLevelType w:val="singleLevel"/>
    <w:tmpl w:val="820EB7F6"/>
    <w:lvl w:ilvl="0">
      <w:start w:val="46"/>
      <w:numFmt w:val="bullet"/>
      <w:lvlText w:val=""/>
      <w:lvlJc w:val="left"/>
      <w:pPr>
        <w:ind w:left="360" w:hanging="360"/>
      </w:pPr>
      <w:rPr>
        <w:rFonts w:ascii="Wingdings" w:hAnsi="Wingdings" w:hint="default"/>
        <w:color w:val="auto"/>
      </w:rPr>
    </w:lvl>
  </w:abstractNum>
  <w:abstractNum w:abstractNumId="15">
    <w:nsid w:val="55E02E85"/>
    <w:multiLevelType w:val="hybridMultilevel"/>
    <w:tmpl w:val="9F143220"/>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55EC125A"/>
    <w:multiLevelType w:val="hybridMultilevel"/>
    <w:tmpl w:val="ADAE59D2"/>
    <w:lvl w:ilvl="0" w:tplc="B356985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DBB12CA"/>
    <w:multiLevelType w:val="hybridMultilevel"/>
    <w:tmpl w:val="ACEC7E1A"/>
    <w:lvl w:ilvl="0" w:tplc="0C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19">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0">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num w:numId="1">
    <w:abstractNumId w:val="20"/>
  </w:num>
  <w:num w:numId="2">
    <w:abstractNumId w:val="18"/>
  </w:num>
  <w:num w:numId="3">
    <w:abstractNumId w:val="2"/>
  </w:num>
  <w:num w:numId="4">
    <w:abstractNumId w:val="13"/>
  </w:num>
  <w:num w:numId="5">
    <w:abstractNumId w:val="19"/>
  </w:num>
  <w:num w:numId="6">
    <w:abstractNumId w:val="2"/>
  </w:num>
  <w:num w:numId="7">
    <w:abstractNumId w:val="2"/>
  </w:num>
  <w:num w:numId="8">
    <w:abstractNumId w:val="2"/>
  </w:num>
  <w:num w:numId="9">
    <w:abstractNumId w:val="8"/>
  </w:num>
  <w:num w:numId="10">
    <w:abstractNumId w:val="10"/>
  </w:num>
  <w:num w:numId="11">
    <w:abstractNumId w:val="1"/>
  </w:num>
  <w:num w:numId="12">
    <w:abstractNumId w:val="9"/>
  </w:num>
  <w:num w:numId="13">
    <w:abstractNumId w:val="6"/>
  </w:num>
  <w:num w:numId="14">
    <w:abstractNumId w:val="15"/>
  </w:num>
  <w:num w:numId="15">
    <w:abstractNumId w:val="0"/>
  </w:num>
  <w:num w:numId="16">
    <w:abstractNumId w:val="12"/>
  </w:num>
  <w:num w:numId="17">
    <w:abstractNumId w:val="17"/>
  </w:num>
  <w:num w:numId="18">
    <w:abstractNumId w:val="11"/>
  </w:num>
  <w:num w:numId="19">
    <w:abstractNumId w:val="14"/>
  </w:num>
  <w:num w:numId="20">
    <w:abstractNumId w:val="3"/>
  </w:num>
  <w:num w:numId="21">
    <w:abstractNumId w:val="16"/>
  </w:num>
  <w:num w:numId="22">
    <w:abstractNumId w:val="5"/>
  </w:num>
  <w:num w:numId="23">
    <w:abstractNumId w:val="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11B"/>
    <w:rsid w:val="000019D8"/>
    <w:rsid w:val="000028A2"/>
    <w:rsid w:val="00006736"/>
    <w:rsid w:val="00006A97"/>
    <w:rsid w:val="0001123B"/>
    <w:rsid w:val="00012A7F"/>
    <w:rsid w:val="00017A3A"/>
    <w:rsid w:val="000209C1"/>
    <w:rsid w:val="0002273D"/>
    <w:rsid w:val="00036E42"/>
    <w:rsid w:val="0004373B"/>
    <w:rsid w:val="000448FA"/>
    <w:rsid w:val="00053A42"/>
    <w:rsid w:val="0005517D"/>
    <w:rsid w:val="0006133D"/>
    <w:rsid w:val="00063585"/>
    <w:rsid w:val="00071CD0"/>
    <w:rsid w:val="00075692"/>
    <w:rsid w:val="00087B8D"/>
    <w:rsid w:val="00093D67"/>
    <w:rsid w:val="00093E60"/>
    <w:rsid w:val="0009402C"/>
    <w:rsid w:val="00094055"/>
    <w:rsid w:val="000A18B7"/>
    <w:rsid w:val="000A2C1E"/>
    <w:rsid w:val="000A4697"/>
    <w:rsid w:val="000B2728"/>
    <w:rsid w:val="000B3943"/>
    <w:rsid w:val="000B4477"/>
    <w:rsid w:val="000C0704"/>
    <w:rsid w:val="000C2B07"/>
    <w:rsid w:val="000C39CC"/>
    <w:rsid w:val="000C7566"/>
    <w:rsid w:val="000D188E"/>
    <w:rsid w:val="000D5335"/>
    <w:rsid w:val="000E7B86"/>
    <w:rsid w:val="000F2B66"/>
    <w:rsid w:val="000F3D83"/>
    <w:rsid w:val="00100F12"/>
    <w:rsid w:val="00103589"/>
    <w:rsid w:val="001045C9"/>
    <w:rsid w:val="00105F41"/>
    <w:rsid w:val="00107CC1"/>
    <w:rsid w:val="00111A92"/>
    <w:rsid w:val="001145C3"/>
    <w:rsid w:val="001161D2"/>
    <w:rsid w:val="00131DF1"/>
    <w:rsid w:val="00132C38"/>
    <w:rsid w:val="00133984"/>
    <w:rsid w:val="00136538"/>
    <w:rsid w:val="001365C4"/>
    <w:rsid w:val="0014147D"/>
    <w:rsid w:val="00141D29"/>
    <w:rsid w:val="0014506A"/>
    <w:rsid w:val="0014728F"/>
    <w:rsid w:val="001521A2"/>
    <w:rsid w:val="00152358"/>
    <w:rsid w:val="001527D3"/>
    <w:rsid w:val="00155BFF"/>
    <w:rsid w:val="00160F66"/>
    <w:rsid w:val="001633AF"/>
    <w:rsid w:val="00164DF1"/>
    <w:rsid w:val="00166A6C"/>
    <w:rsid w:val="00173EDD"/>
    <w:rsid w:val="0017402B"/>
    <w:rsid w:val="00175649"/>
    <w:rsid w:val="00181D37"/>
    <w:rsid w:val="001835B7"/>
    <w:rsid w:val="0018426B"/>
    <w:rsid w:val="00185A37"/>
    <w:rsid w:val="001878A9"/>
    <w:rsid w:val="00194309"/>
    <w:rsid w:val="0019660E"/>
    <w:rsid w:val="0019720E"/>
    <w:rsid w:val="001A61A2"/>
    <w:rsid w:val="001B39E2"/>
    <w:rsid w:val="001B6644"/>
    <w:rsid w:val="001C2B26"/>
    <w:rsid w:val="001C3A32"/>
    <w:rsid w:val="001D0A02"/>
    <w:rsid w:val="001D4F09"/>
    <w:rsid w:val="001F1482"/>
    <w:rsid w:val="001F20D7"/>
    <w:rsid w:val="001F7744"/>
    <w:rsid w:val="002014EB"/>
    <w:rsid w:val="00202B1A"/>
    <w:rsid w:val="00204979"/>
    <w:rsid w:val="00211D69"/>
    <w:rsid w:val="002179DB"/>
    <w:rsid w:val="00227E48"/>
    <w:rsid w:val="00230577"/>
    <w:rsid w:val="0023209D"/>
    <w:rsid w:val="002333F8"/>
    <w:rsid w:val="00233D79"/>
    <w:rsid w:val="00237657"/>
    <w:rsid w:val="00242BA7"/>
    <w:rsid w:val="002437B5"/>
    <w:rsid w:val="00244EF1"/>
    <w:rsid w:val="00246F21"/>
    <w:rsid w:val="00253E78"/>
    <w:rsid w:val="00262C3C"/>
    <w:rsid w:val="00264C88"/>
    <w:rsid w:val="0026532C"/>
    <w:rsid w:val="0026575D"/>
    <w:rsid w:val="002673A6"/>
    <w:rsid w:val="002705B0"/>
    <w:rsid w:val="002717A6"/>
    <w:rsid w:val="00272015"/>
    <w:rsid w:val="00273C10"/>
    <w:rsid w:val="00274B4C"/>
    <w:rsid w:val="00276264"/>
    <w:rsid w:val="00281DCA"/>
    <w:rsid w:val="002831DF"/>
    <w:rsid w:val="00297B04"/>
    <w:rsid w:val="00297D83"/>
    <w:rsid w:val="002A056C"/>
    <w:rsid w:val="002A66A5"/>
    <w:rsid w:val="002A6EBB"/>
    <w:rsid w:val="002B21E9"/>
    <w:rsid w:val="002B2B87"/>
    <w:rsid w:val="002B4E0F"/>
    <w:rsid w:val="002B5754"/>
    <w:rsid w:val="002C7026"/>
    <w:rsid w:val="002C7E08"/>
    <w:rsid w:val="002D089F"/>
    <w:rsid w:val="002D3BD2"/>
    <w:rsid w:val="002D5635"/>
    <w:rsid w:val="002D65E8"/>
    <w:rsid w:val="002D7D32"/>
    <w:rsid w:val="002E02E5"/>
    <w:rsid w:val="002E0478"/>
    <w:rsid w:val="002E0791"/>
    <w:rsid w:val="002E1B92"/>
    <w:rsid w:val="002E7B81"/>
    <w:rsid w:val="002F09FB"/>
    <w:rsid w:val="002F0FE3"/>
    <w:rsid w:val="002F1AF0"/>
    <w:rsid w:val="002F2530"/>
    <w:rsid w:val="002F272A"/>
    <w:rsid w:val="002F3225"/>
    <w:rsid w:val="002F53B4"/>
    <w:rsid w:val="002F76D6"/>
    <w:rsid w:val="00303506"/>
    <w:rsid w:val="00306939"/>
    <w:rsid w:val="00307057"/>
    <w:rsid w:val="00312819"/>
    <w:rsid w:val="00312E9C"/>
    <w:rsid w:val="00313875"/>
    <w:rsid w:val="003203BF"/>
    <w:rsid w:val="00320CCF"/>
    <w:rsid w:val="00321369"/>
    <w:rsid w:val="00330787"/>
    <w:rsid w:val="00337493"/>
    <w:rsid w:val="0034285F"/>
    <w:rsid w:val="003464A4"/>
    <w:rsid w:val="00351684"/>
    <w:rsid w:val="00354458"/>
    <w:rsid w:val="00363653"/>
    <w:rsid w:val="0036509D"/>
    <w:rsid w:val="0037228C"/>
    <w:rsid w:val="003738FD"/>
    <w:rsid w:val="003810BE"/>
    <w:rsid w:val="00381126"/>
    <w:rsid w:val="003847F8"/>
    <w:rsid w:val="00386F6C"/>
    <w:rsid w:val="00387709"/>
    <w:rsid w:val="00387794"/>
    <w:rsid w:val="00397162"/>
    <w:rsid w:val="003A335E"/>
    <w:rsid w:val="003A3DD2"/>
    <w:rsid w:val="003B3573"/>
    <w:rsid w:val="003B5813"/>
    <w:rsid w:val="003C03EA"/>
    <w:rsid w:val="003C196B"/>
    <w:rsid w:val="003C6E1D"/>
    <w:rsid w:val="003D058C"/>
    <w:rsid w:val="003D76B1"/>
    <w:rsid w:val="003E17A6"/>
    <w:rsid w:val="003E4AA5"/>
    <w:rsid w:val="003F1CEC"/>
    <w:rsid w:val="003F43BF"/>
    <w:rsid w:val="003F6BE4"/>
    <w:rsid w:val="00403CF8"/>
    <w:rsid w:val="00407459"/>
    <w:rsid w:val="00414D01"/>
    <w:rsid w:val="004170FE"/>
    <w:rsid w:val="004209E6"/>
    <w:rsid w:val="0042324B"/>
    <w:rsid w:val="004234E8"/>
    <w:rsid w:val="00426805"/>
    <w:rsid w:val="00430150"/>
    <w:rsid w:val="004302F9"/>
    <w:rsid w:val="0043229B"/>
    <w:rsid w:val="00435287"/>
    <w:rsid w:val="00440A22"/>
    <w:rsid w:val="00442F3B"/>
    <w:rsid w:val="0045550E"/>
    <w:rsid w:val="00456456"/>
    <w:rsid w:val="00462367"/>
    <w:rsid w:val="0046490C"/>
    <w:rsid w:val="00470287"/>
    <w:rsid w:val="00470733"/>
    <w:rsid w:val="00477C53"/>
    <w:rsid w:val="00485380"/>
    <w:rsid w:val="00490852"/>
    <w:rsid w:val="00493D87"/>
    <w:rsid w:val="004950D4"/>
    <w:rsid w:val="004A0506"/>
    <w:rsid w:val="004A2342"/>
    <w:rsid w:val="004A2F62"/>
    <w:rsid w:val="004B1DB8"/>
    <w:rsid w:val="004B2F01"/>
    <w:rsid w:val="004B4182"/>
    <w:rsid w:val="004B4538"/>
    <w:rsid w:val="004B6FB6"/>
    <w:rsid w:val="004C31E8"/>
    <w:rsid w:val="004C3423"/>
    <w:rsid w:val="004C571D"/>
    <w:rsid w:val="004D35A2"/>
    <w:rsid w:val="004D5FD1"/>
    <w:rsid w:val="004F7C93"/>
    <w:rsid w:val="00505742"/>
    <w:rsid w:val="00506105"/>
    <w:rsid w:val="00513162"/>
    <w:rsid w:val="0052055D"/>
    <w:rsid w:val="00525809"/>
    <w:rsid w:val="00535130"/>
    <w:rsid w:val="00537302"/>
    <w:rsid w:val="00555509"/>
    <w:rsid w:val="00561C5B"/>
    <w:rsid w:val="00564F2D"/>
    <w:rsid w:val="00566CDA"/>
    <w:rsid w:val="0056727E"/>
    <w:rsid w:val="00567BA6"/>
    <w:rsid w:val="00570033"/>
    <w:rsid w:val="00570147"/>
    <w:rsid w:val="0057307E"/>
    <w:rsid w:val="00573A4C"/>
    <w:rsid w:val="00574B79"/>
    <w:rsid w:val="00574D12"/>
    <w:rsid w:val="005800B4"/>
    <w:rsid w:val="0058070B"/>
    <w:rsid w:val="0058296F"/>
    <w:rsid w:val="00585771"/>
    <w:rsid w:val="00595E80"/>
    <w:rsid w:val="0059650E"/>
    <w:rsid w:val="00596953"/>
    <w:rsid w:val="005A6030"/>
    <w:rsid w:val="005B57AD"/>
    <w:rsid w:val="005B722E"/>
    <w:rsid w:val="005C02FE"/>
    <w:rsid w:val="005C50AC"/>
    <w:rsid w:val="005C6406"/>
    <w:rsid w:val="005D69D1"/>
    <w:rsid w:val="005E210D"/>
    <w:rsid w:val="005E26EA"/>
    <w:rsid w:val="005E2BD3"/>
    <w:rsid w:val="005F2425"/>
    <w:rsid w:val="005F5EC7"/>
    <w:rsid w:val="005F7207"/>
    <w:rsid w:val="005F7FCF"/>
    <w:rsid w:val="00607691"/>
    <w:rsid w:val="00610354"/>
    <w:rsid w:val="0061062C"/>
    <w:rsid w:val="00613183"/>
    <w:rsid w:val="006133F0"/>
    <w:rsid w:val="00616888"/>
    <w:rsid w:val="006176BE"/>
    <w:rsid w:val="006212CB"/>
    <w:rsid w:val="006279F9"/>
    <w:rsid w:val="00627D18"/>
    <w:rsid w:val="006369EE"/>
    <w:rsid w:val="0064700E"/>
    <w:rsid w:val="00650183"/>
    <w:rsid w:val="00650677"/>
    <w:rsid w:val="00657FFB"/>
    <w:rsid w:val="00665384"/>
    <w:rsid w:val="006736A9"/>
    <w:rsid w:val="00673BC7"/>
    <w:rsid w:val="00674975"/>
    <w:rsid w:val="00675A71"/>
    <w:rsid w:val="00675D39"/>
    <w:rsid w:val="0068560B"/>
    <w:rsid w:val="006A1277"/>
    <w:rsid w:val="006A2602"/>
    <w:rsid w:val="006A2D41"/>
    <w:rsid w:val="006A67E1"/>
    <w:rsid w:val="006C36FB"/>
    <w:rsid w:val="006C7D62"/>
    <w:rsid w:val="006D0B23"/>
    <w:rsid w:val="006D2ED6"/>
    <w:rsid w:val="006D5685"/>
    <w:rsid w:val="006E1987"/>
    <w:rsid w:val="006E23B2"/>
    <w:rsid w:val="006E5207"/>
    <w:rsid w:val="006F5C70"/>
    <w:rsid w:val="006F6A20"/>
    <w:rsid w:val="007047B2"/>
    <w:rsid w:val="00704DE7"/>
    <w:rsid w:val="00706868"/>
    <w:rsid w:val="007078B8"/>
    <w:rsid w:val="00715E32"/>
    <w:rsid w:val="007162D1"/>
    <w:rsid w:val="00716463"/>
    <w:rsid w:val="0071706E"/>
    <w:rsid w:val="00727292"/>
    <w:rsid w:val="00742F6A"/>
    <w:rsid w:val="007446E8"/>
    <w:rsid w:val="00751553"/>
    <w:rsid w:val="0075165E"/>
    <w:rsid w:val="00754E10"/>
    <w:rsid w:val="00762A29"/>
    <w:rsid w:val="0076327D"/>
    <w:rsid w:val="00767745"/>
    <w:rsid w:val="007707FC"/>
    <w:rsid w:val="00770BE3"/>
    <w:rsid w:val="0077177A"/>
    <w:rsid w:val="007728A8"/>
    <w:rsid w:val="00774AA7"/>
    <w:rsid w:val="00785A76"/>
    <w:rsid w:val="00787852"/>
    <w:rsid w:val="007915BC"/>
    <w:rsid w:val="007967FA"/>
    <w:rsid w:val="00797E7A"/>
    <w:rsid w:val="007A0EA6"/>
    <w:rsid w:val="007A2D9E"/>
    <w:rsid w:val="007B0381"/>
    <w:rsid w:val="007B0F3D"/>
    <w:rsid w:val="007B148D"/>
    <w:rsid w:val="007B18C8"/>
    <w:rsid w:val="007B28DE"/>
    <w:rsid w:val="007B7A5F"/>
    <w:rsid w:val="007C36BE"/>
    <w:rsid w:val="007C3B12"/>
    <w:rsid w:val="007D24F9"/>
    <w:rsid w:val="007D53ED"/>
    <w:rsid w:val="007D6001"/>
    <w:rsid w:val="007D7F94"/>
    <w:rsid w:val="007E1B76"/>
    <w:rsid w:val="007E219A"/>
    <w:rsid w:val="007E37BF"/>
    <w:rsid w:val="007E6593"/>
    <w:rsid w:val="007F1101"/>
    <w:rsid w:val="007F2CB1"/>
    <w:rsid w:val="00803D20"/>
    <w:rsid w:val="008112A0"/>
    <w:rsid w:val="0081696D"/>
    <w:rsid w:val="00816E01"/>
    <w:rsid w:val="008173D0"/>
    <w:rsid w:val="00823235"/>
    <w:rsid w:val="008249F1"/>
    <w:rsid w:val="00824AF2"/>
    <w:rsid w:val="00826686"/>
    <w:rsid w:val="00835563"/>
    <w:rsid w:val="00836511"/>
    <w:rsid w:val="00836B02"/>
    <w:rsid w:val="00836EC6"/>
    <w:rsid w:val="0083741E"/>
    <w:rsid w:val="00837985"/>
    <w:rsid w:val="00840E3D"/>
    <w:rsid w:val="00841D8C"/>
    <w:rsid w:val="00842220"/>
    <w:rsid w:val="00844111"/>
    <w:rsid w:val="00844F74"/>
    <w:rsid w:val="00846382"/>
    <w:rsid w:val="00850F57"/>
    <w:rsid w:val="008536C2"/>
    <w:rsid w:val="008600C7"/>
    <w:rsid w:val="008617D0"/>
    <w:rsid w:val="00861A60"/>
    <w:rsid w:val="00862357"/>
    <w:rsid w:val="00862D02"/>
    <w:rsid w:val="008637B9"/>
    <w:rsid w:val="00864194"/>
    <w:rsid w:val="00870399"/>
    <w:rsid w:val="008711EC"/>
    <w:rsid w:val="008718FE"/>
    <w:rsid w:val="00872946"/>
    <w:rsid w:val="00883928"/>
    <w:rsid w:val="00883DDE"/>
    <w:rsid w:val="00891D73"/>
    <w:rsid w:val="00891DE0"/>
    <w:rsid w:val="00892A44"/>
    <w:rsid w:val="00893AAD"/>
    <w:rsid w:val="008A2DE8"/>
    <w:rsid w:val="008A312D"/>
    <w:rsid w:val="008A3E09"/>
    <w:rsid w:val="008A3E57"/>
    <w:rsid w:val="008A77A7"/>
    <w:rsid w:val="008B00B5"/>
    <w:rsid w:val="008B3F34"/>
    <w:rsid w:val="008B7FC5"/>
    <w:rsid w:val="008C56B9"/>
    <w:rsid w:val="008D05E0"/>
    <w:rsid w:val="008D2600"/>
    <w:rsid w:val="008D484A"/>
    <w:rsid w:val="008E0AC0"/>
    <w:rsid w:val="008E221A"/>
    <w:rsid w:val="008E3FFE"/>
    <w:rsid w:val="008E60BE"/>
    <w:rsid w:val="008E6B74"/>
    <w:rsid w:val="008F0FAF"/>
    <w:rsid w:val="008F46CD"/>
    <w:rsid w:val="008F6480"/>
    <w:rsid w:val="008F7740"/>
    <w:rsid w:val="00900CA2"/>
    <w:rsid w:val="00903653"/>
    <w:rsid w:val="009063AE"/>
    <w:rsid w:val="00910A52"/>
    <w:rsid w:val="00911479"/>
    <w:rsid w:val="0091484D"/>
    <w:rsid w:val="00925E71"/>
    <w:rsid w:val="0093329F"/>
    <w:rsid w:val="00937043"/>
    <w:rsid w:val="009445D3"/>
    <w:rsid w:val="00955A8A"/>
    <w:rsid w:val="0096400D"/>
    <w:rsid w:val="00966600"/>
    <w:rsid w:val="009671D9"/>
    <w:rsid w:val="00971352"/>
    <w:rsid w:val="00975E5B"/>
    <w:rsid w:val="00977C8F"/>
    <w:rsid w:val="00977F94"/>
    <w:rsid w:val="009863E9"/>
    <w:rsid w:val="00992E20"/>
    <w:rsid w:val="009936FC"/>
    <w:rsid w:val="00993925"/>
    <w:rsid w:val="00993977"/>
    <w:rsid w:val="009977A4"/>
    <w:rsid w:val="009A035E"/>
    <w:rsid w:val="009A05D1"/>
    <w:rsid w:val="009A28AC"/>
    <w:rsid w:val="009A3A5B"/>
    <w:rsid w:val="009A3F2A"/>
    <w:rsid w:val="009B2AAC"/>
    <w:rsid w:val="009B3521"/>
    <w:rsid w:val="009B541C"/>
    <w:rsid w:val="009C4460"/>
    <w:rsid w:val="009C52A8"/>
    <w:rsid w:val="009D7192"/>
    <w:rsid w:val="009E0E38"/>
    <w:rsid w:val="009E1A35"/>
    <w:rsid w:val="009E2D8C"/>
    <w:rsid w:val="009F09AA"/>
    <w:rsid w:val="009F2C16"/>
    <w:rsid w:val="009F2C1B"/>
    <w:rsid w:val="009F335C"/>
    <w:rsid w:val="00A002B5"/>
    <w:rsid w:val="00A02272"/>
    <w:rsid w:val="00A0260C"/>
    <w:rsid w:val="00A041B5"/>
    <w:rsid w:val="00A04F8C"/>
    <w:rsid w:val="00A05158"/>
    <w:rsid w:val="00A13BF5"/>
    <w:rsid w:val="00A14837"/>
    <w:rsid w:val="00A225E3"/>
    <w:rsid w:val="00A23A26"/>
    <w:rsid w:val="00A24A8F"/>
    <w:rsid w:val="00A25708"/>
    <w:rsid w:val="00A25BF0"/>
    <w:rsid w:val="00A3026E"/>
    <w:rsid w:val="00A4576A"/>
    <w:rsid w:val="00A45AD0"/>
    <w:rsid w:val="00A45EE9"/>
    <w:rsid w:val="00A53C14"/>
    <w:rsid w:val="00A61410"/>
    <w:rsid w:val="00A6198A"/>
    <w:rsid w:val="00A65108"/>
    <w:rsid w:val="00A7067F"/>
    <w:rsid w:val="00A707A7"/>
    <w:rsid w:val="00A718FD"/>
    <w:rsid w:val="00A72341"/>
    <w:rsid w:val="00A776ED"/>
    <w:rsid w:val="00A80E50"/>
    <w:rsid w:val="00A8137F"/>
    <w:rsid w:val="00A83663"/>
    <w:rsid w:val="00A83B0F"/>
    <w:rsid w:val="00A84216"/>
    <w:rsid w:val="00A90BFA"/>
    <w:rsid w:val="00A92BF3"/>
    <w:rsid w:val="00A943C8"/>
    <w:rsid w:val="00A950A4"/>
    <w:rsid w:val="00A9520D"/>
    <w:rsid w:val="00A9747D"/>
    <w:rsid w:val="00AA00A6"/>
    <w:rsid w:val="00AA1CD5"/>
    <w:rsid w:val="00AA6BA8"/>
    <w:rsid w:val="00AA7F5A"/>
    <w:rsid w:val="00AB2340"/>
    <w:rsid w:val="00AB5FE4"/>
    <w:rsid w:val="00AB659D"/>
    <w:rsid w:val="00AC229F"/>
    <w:rsid w:val="00AD01DA"/>
    <w:rsid w:val="00AD3D56"/>
    <w:rsid w:val="00AD7671"/>
    <w:rsid w:val="00AE53E8"/>
    <w:rsid w:val="00AE6FE4"/>
    <w:rsid w:val="00AF2059"/>
    <w:rsid w:val="00AF3D84"/>
    <w:rsid w:val="00AF4161"/>
    <w:rsid w:val="00AF580B"/>
    <w:rsid w:val="00B007C8"/>
    <w:rsid w:val="00B13E99"/>
    <w:rsid w:val="00B14410"/>
    <w:rsid w:val="00B15E61"/>
    <w:rsid w:val="00B24F35"/>
    <w:rsid w:val="00B32C88"/>
    <w:rsid w:val="00B34747"/>
    <w:rsid w:val="00B42E49"/>
    <w:rsid w:val="00B50903"/>
    <w:rsid w:val="00B60256"/>
    <w:rsid w:val="00B62FFE"/>
    <w:rsid w:val="00B65013"/>
    <w:rsid w:val="00B70F9D"/>
    <w:rsid w:val="00B7123A"/>
    <w:rsid w:val="00B7435C"/>
    <w:rsid w:val="00B76F38"/>
    <w:rsid w:val="00B8085D"/>
    <w:rsid w:val="00B81EFF"/>
    <w:rsid w:val="00B836BB"/>
    <w:rsid w:val="00B84122"/>
    <w:rsid w:val="00B862B0"/>
    <w:rsid w:val="00B914DB"/>
    <w:rsid w:val="00BA2B7C"/>
    <w:rsid w:val="00BB142A"/>
    <w:rsid w:val="00BB34B9"/>
    <w:rsid w:val="00BB35C2"/>
    <w:rsid w:val="00BB553B"/>
    <w:rsid w:val="00BC28D7"/>
    <w:rsid w:val="00BC376C"/>
    <w:rsid w:val="00BC6321"/>
    <w:rsid w:val="00BC7817"/>
    <w:rsid w:val="00BD249A"/>
    <w:rsid w:val="00BD3819"/>
    <w:rsid w:val="00BD642D"/>
    <w:rsid w:val="00BD6988"/>
    <w:rsid w:val="00BE1A77"/>
    <w:rsid w:val="00BE4742"/>
    <w:rsid w:val="00BE7383"/>
    <w:rsid w:val="00BE754D"/>
    <w:rsid w:val="00BF1DB9"/>
    <w:rsid w:val="00BF6D10"/>
    <w:rsid w:val="00BF6E79"/>
    <w:rsid w:val="00C03F6C"/>
    <w:rsid w:val="00C12108"/>
    <w:rsid w:val="00C121D9"/>
    <w:rsid w:val="00C13453"/>
    <w:rsid w:val="00C220F9"/>
    <w:rsid w:val="00C2541C"/>
    <w:rsid w:val="00C26862"/>
    <w:rsid w:val="00C30458"/>
    <w:rsid w:val="00C31DA6"/>
    <w:rsid w:val="00C33260"/>
    <w:rsid w:val="00C422C3"/>
    <w:rsid w:val="00C4598F"/>
    <w:rsid w:val="00C50360"/>
    <w:rsid w:val="00C54E12"/>
    <w:rsid w:val="00C55468"/>
    <w:rsid w:val="00C622C3"/>
    <w:rsid w:val="00C63BD5"/>
    <w:rsid w:val="00C67804"/>
    <w:rsid w:val="00C74906"/>
    <w:rsid w:val="00C81B40"/>
    <w:rsid w:val="00C81FEA"/>
    <w:rsid w:val="00C83969"/>
    <w:rsid w:val="00C86C95"/>
    <w:rsid w:val="00C86DDB"/>
    <w:rsid w:val="00CA05EB"/>
    <w:rsid w:val="00CA3515"/>
    <w:rsid w:val="00CA3A05"/>
    <w:rsid w:val="00CB14E9"/>
    <w:rsid w:val="00CB6D90"/>
    <w:rsid w:val="00CB72C3"/>
    <w:rsid w:val="00CC45E4"/>
    <w:rsid w:val="00CD019F"/>
    <w:rsid w:val="00CD27C5"/>
    <w:rsid w:val="00CE4169"/>
    <w:rsid w:val="00CE7894"/>
    <w:rsid w:val="00CF06A1"/>
    <w:rsid w:val="00CF1467"/>
    <w:rsid w:val="00CF48D6"/>
    <w:rsid w:val="00CF57D6"/>
    <w:rsid w:val="00CF6C1B"/>
    <w:rsid w:val="00D019D5"/>
    <w:rsid w:val="00D040FE"/>
    <w:rsid w:val="00D168FD"/>
    <w:rsid w:val="00D16F64"/>
    <w:rsid w:val="00D22ECD"/>
    <w:rsid w:val="00D2472C"/>
    <w:rsid w:val="00D279BA"/>
    <w:rsid w:val="00D404B5"/>
    <w:rsid w:val="00D447CB"/>
    <w:rsid w:val="00D455AA"/>
    <w:rsid w:val="00D45978"/>
    <w:rsid w:val="00D47D16"/>
    <w:rsid w:val="00D505F4"/>
    <w:rsid w:val="00D51CE1"/>
    <w:rsid w:val="00D562F2"/>
    <w:rsid w:val="00D61B93"/>
    <w:rsid w:val="00D67E4A"/>
    <w:rsid w:val="00D763FD"/>
    <w:rsid w:val="00D8311B"/>
    <w:rsid w:val="00D863F1"/>
    <w:rsid w:val="00D90AD1"/>
    <w:rsid w:val="00D91187"/>
    <w:rsid w:val="00D92F51"/>
    <w:rsid w:val="00D941F7"/>
    <w:rsid w:val="00DA4DDF"/>
    <w:rsid w:val="00DB0804"/>
    <w:rsid w:val="00DB2FC4"/>
    <w:rsid w:val="00DC382A"/>
    <w:rsid w:val="00DE1923"/>
    <w:rsid w:val="00DE2B33"/>
    <w:rsid w:val="00DE638B"/>
    <w:rsid w:val="00DE72EE"/>
    <w:rsid w:val="00DF37E5"/>
    <w:rsid w:val="00E034FE"/>
    <w:rsid w:val="00E041E5"/>
    <w:rsid w:val="00E04888"/>
    <w:rsid w:val="00E0763B"/>
    <w:rsid w:val="00E10302"/>
    <w:rsid w:val="00E171FA"/>
    <w:rsid w:val="00E17EC5"/>
    <w:rsid w:val="00E26BFD"/>
    <w:rsid w:val="00E277B6"/>
    <w:rsid w:val="00E27E90"/>
    <w:rsid w:val="00E33D02"/>
    <w:rsid w:val="00E34F2C"/>
    <w:rsid w:val="00E35D79"/>
    <w:rsid w:val="00E41831"/>
    <w:rsid w:val="00E4641E"/>
    <w:rsid w:val="00E519AE"/>
    <w:rsid w:val="00E53DC5"/>
    <w:rsid w:val="00E57AF7"/>
    <w:rsid w:val="00E6241B"/>
    <w:rsid w:val="00E64FCC"/>
    <w:rsid w:val="00E703B6"/>
    <w:rsid w:val="00E72200"/>
    <w:rsid w:val="00E72B1B"/>
    <w:rsid w:val="00E75D47"/>
    <w:rsid w:val="00E766F5"/>
    <w:rsid w:val="00E82948"/>
    <w:rsid w:val="00E90162"/>
    <w:rsid w:val="00E90218"/>
    <w:rsid w:val="00E913BB"/>
    <w:rsid w:val="00E95F2E"/>
    <w:rsid w:val="00EA1508"/>
    <w:rsid w:val="00EA1541"/>
    <w:rsid w:val="00EA32E4"/>
    <w:rsid w:val="00EA3A93"/>
    <w:rsid w:val="00EA7E36"/>
    <w:rsid w:val="00EB0898"/>
    <w:rsid w:val="00EB627B"/>
    <w:rsid w:val="00EB6D94"/>
    <w:rsid w:val="00EC4183"/>
    <w:rsid w:val="00EC43D9"/>
    <w:rsid w:val="00EC6468"/>
    <w:rsid w:val="00EC6708"/>
    <w:rsid w:val="00ED207C"/>
    <w:rsid w:val="00ED325A"/>
    <w:rsid w:val="00ED3F41"/>
    <w:rsid w:val="00ED5615"/>
    <w:rsid w:val="00ED692E"/>
    <w:rsid w:val="00ED69AF"/>
    <w:rsid w:val="00EE1847"/>
    <w:rsid w:val="00EE240E"/>
    <w:rsid w:val="00EE688E"/>
    <w:rsid w:val="00EE6A6D"/>
    <w:rsid w:val="00EF03E2"/>
    <w:rsid w:val="00EF7F8B"/>
    <w:rsid w:val="00F01376"/>
    <w:rsid w:val="00F03814"/>
    <w:rsid w:val="00F07A09"/>
    <w:rsid w:val="00F1390C"/>
    <w:rsid w:val="00F14D98"/>
    <w:rsid w:val="00F20C5E"/>
    <w:rsid w:val="00F36A1D"/>
    <w:rsid w:val="00F44278"/>
    <w:rsid w:val="00F51B65"/>
    <w:rsid w:val="00F52AAB"/>
    <w:rsid w:val="00F52EB6"/>
    <w:rsid w:val="00F55260"/>
    <w:rsid w:val="00F578DF"/>
    <w:rsid w:val="00F6316B"/>
    <w:rsid w:val="00F65AE0"/>
    <w:rsid w:val="00F74E38"/>
    <w:rsid w:val="00F76D6F"/>
    <w:rsid w:val="00F778B0"/>
    <w:rsid w:val="00F83BC2"/>
    <w:rsid w:val="00F92EC1"/>
    <w:rsid w:val="00F94C47"/>
    <w:rsid w:val="00FA0421"/>
    <w:rsid w:val="00FA3389"/>
    <w:rsid w:val="00FA3476"/>
    <w:rsid w:val="00FA495F"/>
    <w:rsid w:val="00FB0C10"/>
    <w:rsid w:val="00FB3C36"/>
    <w:rsid w:val="00FB4280"/>
    <w:rsid w:val="00FB7CCE"/>
    <w:rsid w:val="00FC01C8"/>
    <w:rsid w:val="00FC5027"/>
    <w:rsid w:val="00FC50C7"/>
    <w:rsid w:val="00FC511D"/>
    <w:rsid w:val="00FC68BC"/>
    <w:rsid w:val="00FD11D4"/>
    <w:rsid w:val="00FD225D"/>
    <w:rsid w:val="00FD2384"/>
    <w:rsid w:val="00FE452E"/>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uiPriority w:val="99"/>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basedOn w:val="Fuentedeprrafopredeter"/>
    <w:link w:val="atitulo1"/>
    <w:locked/>
    <w:rsid w:val="009E2D8C"/>
    <w:rPr>
      <w:rFonts w:ascii="Arial" w:hAnsi="Arial"/>
      <w:b/>
      <w:color w:val="000000"/>
      <w:kern w:val="28"/>
      <w:sz w:val="25"/>
      <w:szCs w:val="26"/>
      <w:lang w:val="es-ES_tradnl" w:eastAsia="en-US"/>
    </w:rPr>
  </w:style>
  <w:style w:type="character" w:customStyle="1" w:styleId="atitulo2Car">
    <w:name w:val="atitulo2 Car"/>
    <w:link w:val="atitulo2"/>
    <w:locked/>
    <w:rsid w:val="00B13E99"/>
    <w:rPr>
      <w:rFonts w:ascii="Arial" w:hAnsi="Arial"/>
      <w:bCs/>
      <w:iCs/>
      <w:color w:val="000000"/>
      <w:spacing w:val="10"/>
      <w:kern w:val="28"/>
      <w:sz w:val="25"/>
      <w:szCs w:val="26"/>
      <w:lang w:val="es-ES_tradnl" w:eastAsia="en-US"/>
    </w:rPr>
  </w:style>
  <w:style w:type="paragraph" w:styleId="Textonotapie">
    <w:name w:val="footnote text"/>
    <w:basedOn w:val="Normal"/>
    <w:link w:val="TextonotapieCar"/>
    <w:unhideWhenUsed/>
    <w:rsid w:val="00B13E99"/>
    <w:pPr>
      <w:spacing w:after="0"/>
    </w:pPr>
  </w:style>
  <w:style w:type="character" w:customStyle="1" w:styleId="TextonotapieCar">
    <w:name w:val="Texto nota pie Car"/>
    <w:basedOn w:val="Fuentedeprrafopredeter"/>
    <w:link w:val="Textonotapie"/>
    <w:rsid w:val="00B13E99"/>
    <w:rPr>
      <w:lang w:val="es-ES_tradnl" w:eastAsia="en-US"/>
    </w:rPr>
  </w:style>
  <w:style w:type="character" w:styleId="Refdenotaalpie">
    <w:name w:val="footnote reference"/>
    <w:basedOn w:val="Fuentedeprrafopredeter"/>
    <w:unhideWhenUsed/>
    <w:rsid w:val="00B13E99"/>
    <w:rPr>
      <w:vertAlign w:val="superscript"/>
    </w:rPr>
  </w:style>
  <w:style w:type="paragraph" w:styleId="NormalWeb">
    <w:name w:val="Normal (Web)"/>
    <w:basedOn w:val="Normal"/>
    <w:uiPriority w:val="99"/>
    <w:unhideWhenUsed/>
    <w:rsid w:val="002D3BD2"/>
    <w:pPr>
      <w:spacing w:before="100" w:beforeAutospacing="1" w:after="100" w:afterAutospacing="1"/>
      <w:ind w:firstLine="0"/>
      <w:jc w:val="left"/>
    </w:pPr>
    <w:rPr>
      <w:rFonts w:eastAsiaTheme="minorEastAsia"/>
      <w:sz w:val="24"/>
      <w:szCs w:val="24"/>
      <w:lang w:val="es-ES" w:eastAsia="es-ES"/>
    </w:rPr>
  </w:style>
  <w:style w:type="paragraph" w:styleId="Prrafodelista">
    <w:name w:val="List Paragraph"/>
    <w:basedOn w:val="Normal"/>
    <w:uiPriority w:val="34"/>
    <w:qFormat/>
    <w:rsid w:val="00306939"/>
    <w:pPr>
      <w:ind w:left="720"/>
      <w:contextualSpacing/>
    </w:pPr>
  </w:style>
  <w:style w:type="character" w:customStyle="1" w:styleId="PiedepginaCar">
    <w:name w:val="Pie de página Car"/>
    <w:basedOn w:val="Fuentedeprrafopredeter"/>
    <w:link w:val="Piedepgina"/>
    <w:uiPriority w:val="99"/>
    <w:rsid w:val="00E171FA"/>
    <w:rPr>
      <w:spacing w:val="6"/>
      <w:lang w:val="es-ES_tradnl" w:eastAsia="en-US"/>
    </w:rPr>
  </w:style>
  <w:style w:type="character" w:customStyle="1" w:styleId="EncabezadoCar">
    <w:name w:val="Encabezado Car"/>
    <w:basedOn w:val="Fuentedeprrafopredeter"/>
    <w:link w:val="Encabezado"/>
    <w:uiPriority w:val="99"/>
    <w:rsid w:val="00EC43D9"/>
    <w:rPr>
      <w:bCs/>
      <w:caps/>
      <w:sz w:val="14"/>
      <w:szCs w:val="12"/>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uiPriority w:val="99"/>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basedOn w:val="Fuentedeprrafopredeter"/>
    <w:link w:val="atitulo1"/>
    <w:locked/>
    <w:rsid w:val="009E2D8C"/>
    <w:rPr>
      <w:rFonts w:ascii="Arial" w:hAnsi="Arial"/>
      <w:b/>
      <w:color w:val="000000"/>
      <w:kern w:val="28"/>
      <w:sz w:val="25"/>
      <w:szCs w:val="26"/>
      <w:lang w:val="es-ES_tradnl" w:eastAsia="en-US"/>
    </w:rPr>
  </w:style>
  <w:style w:type="character" w:customStyle="1" w:styleId="atitulo2Car">
    <w:name w:val="atitulo2 Car"/>
    <w:link w:val="atitulo2"/>
    <w:locked/>
    <w:rsid w:val="00B13E99"/>
    <w:rPr>
      <w:rFonts w:ascii="Arial" w:hAnsi="Arial"/>
      <w:bCs/>
      <w:iCs/>
      <w:color w:val="000000"/>
      <w:spacing w:val="10"/>
      <w:kern w:val="28"/>
      <w:sz w:val="25"/>
      <w:szCs w:val="26"/>
      <w:lang w:val="es-ES_tradnl" w:eastAsia="en-US"/>
    </w:rPr>
  </w:style>
  <w:style w:type="paragraph" w:styleId="Textonotapie">
    <w:name w:val="footnote text"/>
    <w:basedOn w:val="Normal"/>
    <w:link w:val="TextonotapieCar"/>
    <w:unhideWhenUsed/>
    <w:rsid w:val="00B13E99"/>
    <w:pPr>
      <w:spacing w:after="0"/>
    </w:pPr>
  </w:style>
  <w:style w:type="character" w:customStyle="1" w:styleId="TextonotapieCar">
    <w:name w:val="Texto nota pie Car"/>
    <w:basedOn w:val="Fuentedeprrafopredeter"/>
    <w:link w:val="Textonotapie"/>
    <w:rsid w:val="00B13E99"/>
    <w:rPr>
      <w:lang w:val="es-ES_tradnl" w:eastAsia="en-US"/>
    </w:rPr>
  </w:style>
  <w:style w:type="character" w:styleId="Refdenotaalpie">
    <w:name w:val="footnote reference"/>
    <w:basedOn w:val="Fuentedeprrafopredeter"/>
    <w:unhideWhenUsed/>
    <w:rsid w:val="00B13E99"/>
    <w:rPr>
      <w:vertAlign w:val="superscript"/>
    </w:rPr>
  </w:style>
  <w:style w:type="paragraph" w:styleId="NormalWeb">
    <w:name w:val="Normal (Web)"/>
    <w:basedOn w:val="Normal"/>
    <w:uiPriority w:val="99"/>
    <w:unhideWhenUsed/>
    <w:rsid w:val="002D3BD2"/>
    <w:pPr>
      <w:spacing w:before="100" w:beforeAutospacing="1" w:after="100" w:afterAutospacing="1"/>
      <w:ind w:firstLine="0"/>
      <w:jc w:val="left"/>
    </w:pPr>
    <w:rPr>
      <w:rFonts w:eastAsiaTheme="minorEastAsia"/>
      <w:sz w:val="24"/>
      <w:szCs w:val="24"/>
      <w:lang w:val="es-ES" w:eastAsia="es-ES"/>
    </w:rPr>
  </w:style>
  <w:style w:type="paragraph" w:styleId="Prrafodelista">
    <w:name w:val="List Paragraph"/>
    <w:basedOn w:val="Normal"/>
    <w:uiPriority w:val="34"/>
    <w:qFormat/>
    <w:rsid w:val="00306939"/>
    <w:pPr>
      <w:ind w:left="720"/>
      <w:contextualSpacing/>
    </w:pPr>
  </w:style>
  <w:style w:type="character" w:customStyle="1" w:styleId="PiedepginaCar">
    <w:name w:val="Pie de página Car"/>
    <w:basedOn w:val="Fuentedeprrafopredeter"/>
    <w:link w:val="Piedepgina"/>
    <w:uiPriority w:val="99"/>
    <w:rsid w:val="00E171FA"/>
    <w:rPr>
      <w:spacing w:val="6"/>
      <w:lang w:val="es-ES_tradnl" w:eastAsia="en-US"/>
    </w:rPr>
  </w:style>
  <w:style w:type="character" w:customStyle="1" w:styleId="EncabezadoCar">
    <w:name w:val="Encabezado Car"/>
    <w:basedOn w:val="Fuentedeprrafopredeter"/>
    <w:link w:val="Encabezado"/>
    <w:uiPriority w:val="99"/>
    <w:rsid w:val="00EC43D9"/>
    <w:rPr>
      <w:bCs/>
      <w:caps/>
      <w:sz w:val="14"/>
      <w:szCs w:val="1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5FA23-A875-49F0-B1AF-19A744D8C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39</Pages>
  <Words>14289</Words>
  <Characters>73605</Characters>
  <Application>Microsoft Office Word</Application>
  <DocSecurity>0</DocSecurity>
  <Lines>613</Lines>
  <Paragraphs>175</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87719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Elizalde Elizalde, Julia (Cámara de Comptos)</dc:creator>
  <cp:lastModifiedBy>Aranaz, Carlota</cp:lastModifiedBy>
  <cp:revision>15</cp:revision>
  <cp:lastPrinted>2017-12-19T08:51:00Z</cp:lastPrinted>
  <dcterms:created xsi:type="dcterms:W3CDTF">2017-12-15T12:56:00Z</dcterms:created>
  <dcterms:modified xsi:type="dcterms:W3CDTF">2018-02-06T12:24:00Z</dcterms:modified>
</cp:coreProperties>
</file>