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Foru Administrazioaren eta haren mendeko enpresa publikoen zor publikoari buruzko txostenetan Kontuen Ganberak detektatutako abal hutseginen zenbatekoak berreskuratze aldera Ogasuneko eta Finantza Politikako Departamentuak egindako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erantzun dezan Legebiltzarraren hurrengo Osoko Bilkuran: </w:t>
      </w:r>
    </w:p>
    <w:p>
      <w:pPr>
        <w:pStyle w:val="0"/>
        <w:suppressAutoHyphens w:val="false"/>
        <w:rPr>
          <w:rStyle w:val="1"/>
        </w:rPr>
      </w:pPr>
      <w:r>
        <w:rPr>
          <w:rStyle w:val="1"/>
        </w:rPr>
        <w:t xml:space="preserve">Foru Administrazioaren eta haren mendeko enpresa publikoen zor publikoari buruzko txostenetan Kontuen Ganberak abal hutseginak detektatu ditu. Ogasuneko eta Finantza Politikako Departamentuak zuzemenik egin al du abal horien zenbatekoa berreskuratzeko? Zuzemenik egin baldin badu, zein izan da horren emaitza?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