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3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Herritarrekiko eta Erakundeekiko Harremanetako Batzordean izapidetu dadin Nafarroako Alderdi Sozialista talde parlamentarioak aurkezturiko mozioa, zeinaren bidez Nafarroako Gobernua premiatzen baita Emakumeen eta Gizonen Berdintasun Eragingarrirako martxoaren 22ko 3/2007 Lege Organikoa bete dezan, halako moduan non presentzia orekatuaren printzipioa bermatuko baita Nafarroako Enpresa Korporazio Publikoko enpresetako administrazio kontseiluetako pertsona titularrak izendatzean. Mozioa 2018ko otsailaren 23ko 23.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8ko apirilaren 23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