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44A" w:rsidRDefault="00D738DA" w:rsidP="00CA544A">
      <w:pPr>
        <w:spacing w:after="120" w:line="360" w:lineRule="auto"/>
        <w:jc w:val="both"/>
        <w:rPr>
          <w:rFonts w:ascii="Arial" w:hAnsi="Arial" w:cs="Arial"/>
        </w:rPr>
      </w:pPr>
      <w:r>
        <w:rPr>
          <w:rFonts w:ascii="Arial" w:hAnsi="Arial"/>
        </w:rPr>
        <w:t xml:space="preserve">Apirilak 4 </w:t>
      </w:r>
    </w:p>
    <w:p w:rsidR="00D738DA" w:rsidRDefault="0006150C" w:rsidP="00CA544A">
      <w:pPr>
        <w:spacing w:after="120" w:line="360" w:lineRule="auto"/>
        <w:jc w:val="both"/>
        <w:rPr>
          <w:rFonts w:ascii="Arial" w:hAnsi="Arial" w:cs="Arial"/>
        </w:rPr>
      </w:pPr>
      <w:proofErr w:type="spellStart"/>
      <w:r>
        <w:rPr>
          <w:rFonts w:ascii="Arial" w:hAnsi="Arial"/>
        </w:rPr>
        <w:t>Unión</w:t>
      </w:r>
      <w:proofErr w:type="spellEnd"/>
      <w:r>
        <w:rPr>
          <w:rFonts w:ascii="Arial" w:hAnsi="Arial"/>
        </w:rPr>
        <w:t xml:space="preserve"> del </w:t>
      </w:r>
      <w:proofErr w:type="spellStart"/>
      <w:r>
        <w:rPr>
          <w:rFonts w:ascii="Arial" w:hAnsi="Arial"/>
        </w:rPr>
        <w:t>Pueblo</w:t>
      </w:r>
      <w:proofErr w:type="spellEnd"/>
      <w:r>
        <w:rPr>
          <w:rFonts w:ascii="Arial" w:hAnsi="Arial"/>
        </w:rPr>
        <w:t xml:space="preserve"> Navarro talde parlamentarioari atxikitako foru parlamentari Maribel García Malo andreak galdera egin du (9-18/PES-00059) Gure Sustraiak baserri-eskolarekiko hitzarmenari buruz. Hona Nafarroako Gobernuko Eskubide Sozialetako kontseilariaren erantzuna:</w:t>
      </w:r>
    </w:p>
    <w:p w:rsidR="00D738DA" w:rsidRDefault="00A530D2" w:rsidP="00663198">
      <w:pPr>
        <w:spacing w:after="120" w:line="360" w:lineRule="auto"/>
        <w:jc w:val="both"/>
        <w:rPr>
          <w:rFonts w:ascii="Arial" w:hAnsi="Arial" w:cs="Arial"/>
        </w:rPr>
      </w:pPr>
      <w:r>
        <w:rPr>
          <w:rFonts w:ascii="Arial" w:hAnsi="Arial"/>
          <w:b/>
        </w:rPr>
        <w:t>(1)</w:t>
      </w:r>
      <w:r>
        <w:rPr>
          <w:rFonts w:ascii="Arial" w:hAnsi="Arial"/>
        </w:rPr>
        <w:t xml:space="preserve"> Gure Sustraiak lanerako prestatzeko zentroan 20 erabiltzailerentzako tokia dago.</w:t>
      </w:r>
    </w:p>
    <w:p w:rsidR="00D738DA" w:rsidRDefault="00A530D2" w:rsidP="00663198">
      <w:pPr>
        <w:spacing w:after="120" w:line="360" w:lineRule="auto"/>
        <w:jc w:val="both"/>
        <w:rPr>
          <w:rFonts w:ascii="Arial" w:hAnsi="Arial" w:cs="Arial"/>
        </w:rPr>
      </w:pPr>
      <w:r>
        <w:rPr>
          <w:rFonts w:ascii="Arial" w:hAnsi="Arial"/>
          <w:b/>
        </w:rPr>
        <w:t>(2)</w:t>
      </w:r>
      <w:r>
        <w:rPr>
          <w:rFonts w:ascii="Arial" w:hAnsi="Arial"/>
        </w:rPr>
        <w:t xml:space="preserve"> Erabiltzaile bakoitzeko kostua 5.200 eurokoa da.</w:t>
      </w:r>
    </w:p>
    <w:p w:rsidR="00663198" w:rsidRPr="00663198" w:rsidRDefault="00A530D2" w:rsidP="00663198">
      <w:pPr>
        <w:spacing w:after="120" w:line="360" w:lineRule="auto"/>
        <w:jc w:val="both"/>
        <w:rPr>
          <w:rFonts w:ascii="Arial" w:hAnsi="Arial" w:cs="Arial"/>
        </w:rPr>
      </w:pPr>
      <w:r>
        <w:rPr>
          <w:rFonts w:ascii="Arial" w:hAnsi="Arial"/>
          <w:b/>
        </w:rPr>
        <w:t>(3)</w:t>
      </w:r>
      <w:r>
        <w:rPr>
          <w:rFonts w:ascii="Arial" w:hAnsi="Arial"/>
        </w:rPr>
        <w:t xml:space="preserve"> Honako hau da erabiltzailearen profila:</w:t>
      </w:r>
    </w:p>
    <w:p w:rsidR="00663198" w:rsidRPr="00663198" w:rsidRDefault="00663198" w:rsidP="00A530D2">
      <w:pPr>
        <w:tabs>
          <w:tab w:val="left" w:pos="284"/>
        </w:tabs>
        <w:spacing w:after="120" w:line="360" w:lineRule="auto"/>
        <w:ind w:left="284" w:hanging="284"/>
        <w:jc w:val="both"/>
        <w:rPr>
          <w:rFonts w:ascii="Arial" w:hAnsi="Arial" w:cs="Arial"/>
        </w:rPr>
      </w:pPr>
      <w:r>
        <w:rPr>
          <w:rFonts w:ascii="Arial" w:hAnsi="Arial"/>
        </w:rPr>
        <w:t>-</w:t>
      </w:r>
      <w:r>
        <w:rPr>
          <w:rFonts w:ascii="Arial" w:hAnsi="Arial"/>
        </w:rPr>
        <w:tab/>
        <w:t xml:space="preserve">18 urtetik gorakoa eta % 33ko edo gehiagoko </w:t>
      </w:r>
      <w:proofErr w:type="spellStart"/>
      <w:r>
        <w:rPr>
          <w:rFonts w:ascii="Arial" w:hAnsi="Arial"/>
        </w:rPr>
        <w:t>desgaitasun</w:t>
      </w:r>
      <w:proofErr w:type="spellEnd"/>
      <w:r>
        <w:rPr>
          <w:rFonts w:ascii="Arial" w:hAnsi="Arial"/>
        </w:rPr>
        <w:t xml:space="preserve"> graduarekin.</w:t>
      </w:r>
    </w:p>
    <w:p w:rsidR="00663198" w:rsidRPr="00663198" w:rsidRDefault="00663198" w:rsidP="00A530D2">
      <w:pPr>
        <w:tabs>
          <w:tab w:val="left" w:pos="284"/>
        </w:tabs>
        <w:spacing w:after="120" w:line="360" w:lineRule="auto"/>
        <w:ind w:left="284" w:hanging="284"/>
        <w:jc w:val="both"/>
        <w:rPr>
          <w:rFonts w:ascii="Arial" w:hAnsi="Arial" w:cs="Arial"/>
        </w:rPr>
      </w:pPr>
      <w:r>
        <w:rPr>
          <w:rFonts w:ascii="Arial" w:hAnsi="Arial"/>
        </w:rPr>
        <w:t>-</w:t>
      </w:r>
      <w:r>
        <w:rPr>
          <w:rFonts w:ascii="Arial" w:hAnsi="Arial"/>
        </w:rPr>
        <w:tab/>
        <w:t>Eskola-garaia amaituta.</w:t>
      </w:r>
    </w:p>
    <w:p w:rsidR="00663198" w:rsidRPr="00663198" w:rsidRDefault="00663198" w:rsidP="00A530D2">
      <w:pPr>
        <w:tabs>
          <w:tab w:val="left" w:pos="284"/>
        </w:tabs>
        <w:spacing w:after="120" w:line="360" w:lineRule="auto"/>
        <w:ind w:left="284" w:hanging="284"/>
        <w:jc w:val="both"/>
        <w:rPr>
          <w:rFonts w:ascii="Arial" w:hAnsi="Arial" w:cs="Arial"/>
        </w:rPr>
      </w:pPr>
      <w:r>
        <w:rPr>
          <w:rFonts w:ascii="Arial" w:hAnsi="Arial"/>
        </w:rPr>
        <w:t>-</w:t>
      </w:r>
      <w:r>
        <w:rPr>
          <w:rFonts w:ascii="Arial" w:hAnsi="Arial"/>
        </w:rPr>
        <w:tab/>
      </w:r>
      <w:proofErr w:type="spellStart"/>
      <w:r>
        <w:rPr>
          <w:rFonts w:ascii="Arial" w:hAnsi="Arial"/>
        </w:rPr>
        <w:t>Desgaitasun</w:t>
      </w:r>
      <w:proofErr w:type="spellEnd"/>
      <w:r>
        <w:rPr>
          <w:rFonts w:ascii="Arial" w:hAnsi="Arial"/>
        </w:rPr>
        <w:t xml:space="preserve"> intelektual batekin, zeina lotuta egon daitekeen beste nahasmendu batzuekin, betiere diagnosiak autonomia pertsonaleko eta funtzionaltasuneko arrazoizko gradua suposatzeko bidea emanda.</w:t>
      </w:r>
    </w:p>
    <w:p w:rsidR="00663198" w:rsidRPr="00663198" w:rsidRDefault="00663198" w:rsidP="00A530D2">
      <w:pPr>
        <w:tabs>
          <w:tab w:val="left" w:pos="284"/>
        </w:tabs>
        <w:spacing w:after="120" w:line="360" w:lineRule="auto"/>
        <w:ind w:left="284" w:hanging="284"/>
        <w:jc w:val="both"/>
        <w:rPr>
          <w:rFonts w:ascii="Arial" w:hAnsi="Arial" w:cs="Arial"/>
        </w:rPr>
      </w:pPr>
      <w:r>
        <w:rPr>
          <w:rFonts w:ascii="Arial" w:hAnsi="Arial"/>
        </w:rPr>
        <w:t>-</w:t>
      </w:r>
      <w:r>
        <w:rPr>
          <w:rFonts w:ascii="Arial" w:hAnsi="Arial"/>
        </w:rPr>
        <w:tab/>
        <w:t>Lanerako egokitasunari buruzko ziurtagiria dauka.</w:t>
      </w:r>
    </w:p>
    <w:p w:rsidR="00663198" w:rsidRPr="00663198" w:rsidRDefault="00663198" w:rsidP="00A530D2">
      <w:pPr>
        <w:tabs>
          <w:tab w:val="left" w:pos="284"/>
        </w:tabs>
        <w:spacing w:after="120" w:line="360" w:lineRule="auto"/>
        <w:ind w:left="284" w:hanging="284"/>
        <w:jc w:val="both"/>
        <w:rPr>
          <w:rFonts w:ascii="Arial" w:hAnsi="Arial" w:cs="Arial"/>
        </w:rPr>
      </w:pPr>
      <w:r>
        <w:rPr>
          <w:rFonts w:ascii="Arial" w:hAnsi="Arial"/>
        </w:rPr>
        <w:t>-</w:t>
      </w:r>
      <w:r>
        <w:rPr>
          <w:rFonts w:ascii="Arial" w:hAnsi="Arial"/>
        </w:rPr>
        <w:tab/>
        <w:t>Gaitasun fisiko eta psikologikoak dauzka lanerako prestatzeko zentroko jarduerak egiteko.</w:t>
      </w:r>
    </w:p>
    <w:p w:rsidR="00D738DA" w:rsidRDefault="00663198" w:rsidP="00A530D2">
      <w:pPr>
        <w:tabs>
          <w:tab w:val="left" w:pos="284"/>
        </w:tabs>
        <w:spacing w:after="120" w:line="360" w:lineRule="auto"/>
        <w:ind w:left="284" w:hanging="284"/>
        <w:jc w:val="both"/>
        <w:rPr>
          <w:rFonts w:ascii="Arial" w:hAnsi="Arial" w:cs="Arial"/>
        </w:rPr>
      </w:pPr>
      <w:r>
        <w:rPr>
          <w:rFonts w:ascii="Arial" w:hAnsi="Arial"/>
        </w:rPr>
        <w:t>-</w:t>
      </w:r>
      <w:r>
        <w:rPr>
          <w:rFonts w:ascii="Arial" w:hAnsi="Arial"/>
        </w:rPr>
        <w:tab/>
        <w:t>Garapen pertsonaleko eta sozialeko eta lan arloko garapeneko itxaropenak dauzka.</w:t>
      </w:r>
    </w:p>
    <w:p w:rsidR="00663198" w:rsidRPr="00663198" w:rsidRDefault="00A530D2" w:rsidP="00663198">
      <w:pPr>
        <w:spacing w:after="120" w:line="360" w:lineRule="auto"/>
        <w:jc w:val="both"/>
        <w:rPr>
          <w:rFonts w:ascii="Arial" w:hAnsi="Arial" w:cs="Arial"/>
        </w:rPr>
      </w:pPr>
      <w:r>
        <w:rPr>
          <w:rFonts w:ascii="Arial" w:hAnsi="Arial"/>
          <w:b/>
        </w:rPr>
        <w:t>(4)</w:t>
      </w:r>
      <w:r>
        <w:rPr>
          <w:rFonts w:ascii="Arial" w:hAnsi="Arial"/>
        </w:rPr>
        <w:t xml:space="preserve"> “Gure Sustraiak” Baserri-eskola lanerako prestatzeko zentroaren </w:t>
      </w:r>
      <w:proofErr w:type="spellStart"/>
      <w:r>
        <w:rPr>
          <w:rFonts w:ascii="Arial" w:hAnsi="Arial"/>
        </w:rPr>
        <w:t>plantillak</w:t>
      </w:r>
      <w:proofErr w:type="spellEnd"/>
      <w:r>
        <w:rPr>
          <w:rFonts w:ascii="Arial" w:hAnsi="Arial"/>
        </w:rPr>
        <w:t xml:space="preserve"> 9 profesional dauzka guztira.</w:t>
      </w:r>
    </w:p>
    <w:p w:rsidR="00663198" w:rsidRPr="00663198" w:rsidRDefault="00663198" w:rsidP="00663198">
      <w:pPr>
        <w:spacing w:after="120" w:line="360" w:lineRule="auto"/>
        <w:jc w:val="both"/>
        <w:rPr>
          <w:rFonts w:ascii="Arial" w:hAnsi="Arial" w:cs="Arial"/>
        </w:rPr>
      </w:pPr>
      <w:r>
        <w:rPr>
          <w:rFonts w:ascii="Arial" w:hAnsi="Arial"/>
        </w:rPr>
        <w:t>Proposatutako ratioa da 6 erabiltzaile profesional bakoitzeko, lanaldi osoan eta zuzeneko arretarekin.</w:t>
      </w:r>
    </w:p>
    <w:tbl>
      <w:tblPr>
        <w:tblW w:w="8178" w:type="dxa"/>
        <w:tblInd w:w="682" w:type="dxa"/>
        <w:tblLayout w:type="fixed"/>
        <w:tblCellMar>
          <w:left w:w="70" w:type="dxa"/>
          <w:right w:w="70" w:type="dxa"/>
        </w:tblCellMar>
        <w:tblLook w:val="04A0" w:firstRow="1" w:lastRow="0" w:firstColumn="1" w:lastColumn="0" w:noHBand="0" w:noVBand="1"/>
      </w:tblPr>
      <w:tblGrid>
        <w:gridCol w:w="3319"/>
        <w:gridCol w:w="1172"/>
        <w:gridCol w:w="1134"/>
        <w:gridCol w:w="1378"/>
        <w:gridCol w:w="1175"/>
      </w:tblGrid>
      <w:tr w:rsidR="00663198" w:rsidRPr="004A0387" w:rsidTr="004A0387">
        <w:trPr>
          <w:trHeight w:val="20"/>
        </w:trPr>
        <w:tc>
          <w:tcPr>
            <w:tcW w:w="3319"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663198" w:rsidRPr="004A0387" w:rsidRDefault="00663198" w:rsidP="004A0387">
            <w:pPr>
              <w:spacing w:before="20" w:after="20"/>
              <w:jc w:val="center"/>
              <w:rPr>
                <w:rFonts w:asciiTheme="minorHAnsi" w:hAnsiTheme="minorHAnsi" w:cs="Arial"/>
                <w:b/>
                <w:bCs/>
                <w:sz w:val="18"/>
                <w:szCs w:val="18"/>
              </w:rPr>
            </w:pPr>
            <w:r w:rsidRPr="004A0387">
              <w:rPr>
                <w:rFonts w:asciiTheme="minorHAnsi" w:hAnsiTheme="minorHAnsi"/>
                <w:b/>
                <w:bCs/>
                <w:sz w:val="18"/>
                <w:szCs w:val="18"/>
              </w:rPr>
              <w:t>PROFILA</w:t>
            </w:r>
          </w:p>
        </w:tc>
        <w:tc>
          <w:tcPr>
            <w:tcW w:w="1172" w:type="dxa"/>
            <w:tcBorders>
              <w:top w:val="single" w:sz="4" w:space="0" w:color="auto"/>
              <w:left w:val="nil"/>
              <w:bottom w:val="single" w:sz="4" w:space="0" w:color="auto"/>
              <w:right w:val="single" w:sz="4" w:space="0" w:color="auto"/>
            </w:tcBorders>
            <w:shd w:val="clear" w:color="000000" w:fill="BFBFBF"/>
            <w:vAlign w:val="center"/>
          </w:tcPr>
          <w:p w:rsidR="00663198" w:rsidRPr="004A0387" w:rsidRDefault="00663198" w:rsidP="004A0387">
            <w:pPr>
              <w:spacing w:before="20" w:after="20"/>
              <w:jc w:val="center"/>
              <w:rPr>
                <w:rFonts w:asciiTheme="minorHAnsi" w:hAnsiTheme="minorHAnsi" w:cs="Arial"/>
                <w:b/>
                <w:bCs/>
                <w:sz w:val="18"/>
                <w:szCs w:val="18"/>
              </w:rPr>
            </w:pPr>
            <w:r w:rsidRPr="004A0387">
              <w:rPr>
                <w:rFonts w:asciiTheme="minorHAnsi" w:hAnsiTheme="minorHAnsi"/>
                <w:b/>
                <w:bCs/>
                <w:sz w:val="18"/>
                <w:szCs w:val="18"/>
              </w:rPr>
              <w:t>ORDUAK</w:t>
            </w:r>
          </w:p>
        </w:tc>
        <w:tc>
          <w:tcPr>
            <w:tcW w:w="1134" w:type="dxa"/>
            <w:tcBorders>
              <w:top w:val="single" w:sz="4" w:space="0" w:color="auto"/>
              <w:left w:val="nil"/>
              <w:bottom w:val="single" w:sz="4" w:space="0" w:color="auto"/>
              <w:right w:val="single" w:sz="4" w:space="0" w:color="auto"/>
            </w:tcBorders>
            <w:shd w:val="clear" w:color="000000" w:fill="BFBFBF"/>
            <w:vAlign w:val="center"/>
          </w:tcPr>
          <w:p w:rsidR="00663198" w:rsidRPr="004A0387" w:rsidRDefault="00663198" w:rsidP="004A0387">
            <w:pPr>
              <w:spacing w:before="20" w:after="20"/>
              <w:jc w:val="center"/>
              <w:rPr>
                <w:rFonts w:asciiTheme="minorHAnsi" w:hAnsiTheme="minorHAnsi" w:cs="Arial"/>
                <w:b/>
                <w:bCs/>
                <w:sz w:val="18"/>
                <w:szCs w:val="18"/>
              </w:rPr>
            </w:pPr>
            <w:r w:rsidRPr="004A0387">
              <w:rPr>
                <w:rFonts w:asciiTheme="minorHAnsi" w:hAnsiTheme="minorHAnsi"/>
                <w:b/>
                <w:bCs/>
                <w:sz w:val="18"/>
                <w:szCs w:val="18"/>
              </w:rPr>
              <w:t>HILABETEAK</w:t>
            </w:r>
          </w:p>
        </w:tc>
        <w:tc>
          <w:tcPr>
            <w:tcW w:w="1378" w:type="dxa"/>
            <w:tcBorders>
              <w:top w:val="single" w:sz="4" w:space="0" w:color="auto"/>
              <w:left w:val="nil"/>
              <w:bottom w:val="single" w:sz="4" w:space="0" w:color="auto"/>
              <w:right w:val="single" w:sz="4" w:space="0" w:color="auto"/>
            </w:tcBorders>
            <w:shd w:val="clear" w:color="000000" w:fill="BFBFBF"/>
            <w:vAlign w:val="center"/>
          </w:tcPr>
          <w:p w:rsidR="00663198" w:rsidRPr="004A0387" w:rsidRDefault="00663198" w:rsidP="004A0387">
            <w:pPr>
              <w:spacing w:before="20" w:after="20"/>
              <w:jc w:val="center"/>
              <w:rPr>
                <w:rFonts w:asciiTheme="minorHAnsi" w:hAnsiTheme="minorHAnsi" w:cs="Arial"/>
                <w:b/>
                <w:bCs/>
                <w:sz w:val="18"/>
                <w:szCs w:val="18"/>
              </w:rPr>
            </w:pPr>
            <w:r w:rsidRPr="004A0387">
              <w:rPr>
                <w:rFonts w:asciiTheme="minorHAnsi" w:hAnsiTheme="minorHAnsi"/>
                <w:b/>
                <w:bCs/>
                <w:sz w:val="18"/>
                <w:szCs w:val="18"/>
              </w:rPr>
              <w:t>LANALDIA (%)</w:t>
            </w:r>
          </w:p>
        </w:tc>
        <w:tc>
          <w:tcPr>
            <w:tcW w:w="1175" w:type="dxa"/>
            <w:tcBorders>
              <w:top w:val="single" w:sz="4" w:space="0" w:color="auto"/>
              <w:left w:val="single" w:sz="4" w:space="0" w:color="auto"/>
              <w:bottom w:val="single" w:sz="4" w:space="0" w:color="auto"/>
              <w:right w:val="single" w:sz="4" w:space="0" w:color="auto"/>
            </w:tcBorders>
            <w:shd w:val="clear" w:color="000000" w:fill="BFBFBF"/>
            <w:vAlign w:val="center"/>
          </w:tcPr>
          <w:p w:rsidR="00663198" w:rsidRPr="004A0387" w:rsidRDefault="00663198" w:rsidP="004A0387">
            <w:pPr>
              <w:spacing w:before="20" w:after="20"/>
              <w:jc w:val="center"/>
              <w:rPr>
                <w:rFonts w:asciiTheme="minorHAnsi" w:hAnsiTheme="minorHAnsi" w:cs="Arial"/>
                <w:b/>
                <w:bCs/>
                <w:sz w:val="18"/>
                <w:szCs w:val="18"/>
              </w:rPr>
            </w:pPr>
            <w:r w:rsidRPr="004A0387">
              <w:rPr>
                <w:rFonts w:asciiTheme="minorHAnsi" w:hAnsiTheme="minorHAnsi"/>
                <w:b/>
                <w:bCs/>
                <w:sz w:val="18"/>
                <w:szCs w:val="18"/>
              </w:rPr>
              <w:t>ORDUAK, GUZTIRA</w:t>
            </w:r>
          </w:p>
        </w:tc>
      </w:tr>
      <w:tr w:rsidR="00663198" w:rsidRPr="004A0387" w:rsidTr="004A0387">
        <w:trPr>
          <w:trHeight w:val="20"/>
        </w:trPr>
        <w:tc>
          <w:tcPr>
            <w:tcW w:w="3319" w:type="dxa"/>
            <w:tcBorders>
              <w:top w:val="nil"/>
              <w:left w:val="single" w:sz="4" w:space="0" w:color="auto"/>
              <w:bottom w:val="single" w:sz="4" w:space="0" w:color="auto"/>
              <w:right w:val="single" w:sz="4" w:space="0" w:color="auto"/>
            </w:tcBorders>
            <w:shd w:val="clear" w:color="auto" w:fill="auto"/>
            <w:noWrap/>
            <w:vAlign w:val="center"/>
          </w:tcPr>
          <w:p w:rsidR="00663198" w:rsidRPr="004A0387" w:rsidRDefault="00663198" w:rsidP="004A0387">
            <w:pPr>
              <w:spacing w:before="20" w:after="20"/>
              <w:rPr>
                <w:rFonts w:asciiTheme="minorHAnsi" w:hAnsiTheme="minorHAnsi" w:cs="Arial"/>
                <w:sz w:val="18"/>
                <w:szCs w:val="18"/>
              </w:rPr>
            </w:pPr>
            <w:r w:rsidRPr="004A0387">
              <w:rPr>
                <w:rFonts w:asciiTheme="minorHAnsi" w:hAnsiTheme="minorHAnsi"/>
                <w:sz w:val="18"/>
                <w:szCs w:val="18"/>
              </w:rPr>
              <w:t>Koordinazioa eta GT</w:t>
            </w:r>
          </w:p>
        </w:tc>
        <w:tc>
          <w:tcPr>
            <w:tcW w:w="1172" w:type="dxa"/>
            <w:tcBorders>
              <w:top w:val="nil"/>
              <w:left w:val="nil"/>
              <w:bottom w:val="single" w:sz="4" w:space="0" w:color="auto"/>
              <w:right w:val="single" w:sz="4" w:space="0" w:color="auto"/>
            </w:tcBorders>
            <w:shd w:val="clear" w:color="auto" w:fill="auto"/>
            <w:noWrap/>
            <w:vAlign w:val="center"/>
          </w:tcPr>
          <w:p w:rsidR="00663198" w:rsidRPr="004A0387" w:rsidRDefault="00663198" w:rsidP="004A0387">
            <w:pPr>
              <w:spacing w:before="20" w:after="20"/>
              <w:ind w:right="212"/>
              <w:jc w:val="right"/>
              <w:rPr>
                <w:rFonts w:asciiTheme="minorHAnsi" w:hAnsiTheme="minorHAnsi" w:cs="Arial"/>
                <w:sz w:val="18"/>
                <w:szCs w:val="18"/>
              </w:rPr>
            </w:pPr>
            <w:r w:rsidRPr="004A0387">
              <w:rPr>
                <w:rFonts w:asciiTheme="minorHAnsi" w:hAnsiTheme="minorHAnsi"/>
                <w:sz w:val="18"/>
                <w:szCs w:val="18"/>
              </w:rPr>
              <w:t>71,83</w:t>
            </w:r>
          </w:p>
        </w:tc>
        <w:tc>
          <w:tcPr>
            <w:tcW w:w="1134" w:type="dxa"/>
            <w:tcBorders>
              <w:top w:val="nil"/>
              <w:left w:val="nil"/>
              <w:bottom w:val="single" w:sz="4" w:space="0" w:color="auto"/>
              <w:right w:val="single" w:sz="4" w:space="0" w:color="auto"/>
            </w:tcBorders>
            <w:shd w:val="clear" w:color="auto" w:fill="auto"/>
            <w:vAlign w:val="center"/>
          </w:tcPr>
          <w:p w:rsidR="00663198" w:rsidRPr="004A0387" w:rsidRDefault="00663198" w:rsidP="004A0387">
            <w:pPr>
              <w:spacing w:before="20" w:after="20"/>
              <w:ind w:right="212"/>
              <w:jc w:val="right"/>
              <w:rPr>
                <w:rFonts w:asciiTheme="minorHAnsi" w:hAnsiTheme="minorHAnsi" w:cs="Arial"/>
                <w:sz w:val="18"/>
                <w:szCs w:val="18"/>
              </w:rPr>
            </w:pPr>
            <w:r w:rsidRPr="004A0387">
              <w:rPr>
                <w:rFonts w:asciiTheme="minorHAnsi" w:hAnsiTheme="minorHAnsi"/>
                <w:sz w:val="18"/>
                <w:szCs w:val="18"/>
              </w:rPr>
              <w:t>12</w:t>
            </w:r>
          </w:p>
        </w:tc>
        <w:tc>
          <w:tcPr>
            <w:tcW w:w="1378" w:type="dxa"/>
            <w:tcBorders>
              <w:top w:val="single" w:sz="4" w:space="0" w:color="auto"/>
              <w:left w:val="nil"/>
              <w:bottom w:val="single" w:sz="4" w:space="0" w:color="auto"/>
              <w:right w:val="single" w:sz="4" w:space="0" w:color="auto"/>
            </w:tcBorders>
            <w:vAlign w:val="center"/>
          </w:tcPr>
          <w:p w:rsidR="00663198" w:rsidRPr="004A0387" w:rsidRDefault="00663198" w:rsidP="004A0387">
            <w:pPr>
              <w:spacing w:before="20" w:after="20"/>
              <w:ind w:right="418"/>
              <w:jc w:val="right"/>
              <w:rPr>
                <w:rFonts w:asciiTheme="minorHAnsi" w:hAnsiTheme="minorHAnsi" w:cs="Arial"/>
                <w:sz w:val="18"/>
                <w:szCs w:val="18"/>
              </w:rPr>
            </w:pPr>
            <w:r w:rsidRPr="004A0387">
              <w:rPr>
                <w:rFonts w:asciiTheme="minorHAnsi" w:hAnsiTheme="minorHAnsi"/>
                <w:sz w:val="18"/>
                <w:szCs w:val="18"/>
              </w:rPr>
              <w:t>50</w:t>
            </w:r>
          </w:p>
        </w:tc>
        <w:tc>
          <w:tcPr>
            <w:tcW w:w="11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3198" w:rsidRPr="004A0387" w:rsidRDefault="00663198" w:rsidP="004A0387">
            <w:pPr>
              <w:spacing w:before="20" w:after="20"/>
              <w:ind w:right="212"/>
              <w:jc w:val="right"/>
              <w:rPr>
                <w:rFonts w:asciiTheme="minorHAnsi" w:hAnsiTheme="minorHAnsi" w:cs="Arial"/>
                <w:sz w:val="18"/>
                <w:szCs w:val="18"/>
              </w:rPr>
            </w:pPr>
            <w:r w:rsidRPr="004A0387">
              <w:rPr>
                <w:rFonts w:asciiTheme="minorHAnsi" w:hAnsiTheme="minorHAnsi"/>
                <w:sz w:val="18"/>
                <w:szCs w:val="18"/>
              </w:rPr>
              <w:t>862</w:t>
            </w:r>
          </w:p>
        </w:tc>
      </w:tr>
      <w:tr w:rsidR="00663198" w:rsidRPr="004A0387" w:rsidTr="004A0387">
        <w:trPr>
          <w:trHeight w:val="20"/>
        </w:trPr>
        <w:tc>
          <w:tcPr>
            <w:tcW w:w="3319" w:type="dxa"/>
            <w:tcBorders>
              <w:top w:val="nil"/>
              <w:left w:val="single" w:sz="4" w:space="0" w:color="auto"/>
              <w:bottom w:val="single" w:sz="4" w:space="0" w:color="auto"/>
              <w:right w:val="single" w:sz="4" w:space="0" w:color="auto"/>
            </w:tcBorders>
            <w:shd w:val="clear" w:color="auto" w:fill="auto"/>
            <w:noWrap/>
            <w:vAlign w:val="center"/>
          </w:tcPr>
          <w:p w:rsidR="00663198" w:rsidRPr="004A0387" w:rsidRDefault="00663198" w:rsidP="004A0387">
            <w:pPr>
              <w:spacing w:before="20" w:after="20"/>
              <w:rPr>
                <w:rFonts w:asciiTheme="minorHAnsi" w:hAnsiTheme="minorHAnsi" w:cs="Arial"/>
                <w:sz w:val="18"/>
                <w:szCs w:val="18"/>
              </w:rPr>
            </w:pPr>
            <w:r w:rsidRPr="004A0387">
              <w:rPr>
                <w:rFonts w:asciiTheme="minorHAnsi" w:hAnsiTheme="minorHAnsi"/>
                <w:sz w:val="18"/>
                <w:szCs w:val="18"/>
              </w:rPr>
              <w:t xml:space="preserve">Zuzendaritza </w:t>
            </w:r>
          </w:p>
        </w:tc>
        <w:tc>
          <w:tcPr>
            <w:tcW w:w="1172" w:type="dxa"/>
            <w:tcBorders>
              <w:top w:val="nil"/>
              <w:left w:val="nil"/>
              <w:bottom w:val="single" w:sz="4" w:space="0" w:color="auto"/>
              <w:right w:val="single" w:sz="4" w:space="0" w:color="auto"/>
            </w:tcBorders>
            <w:shd w:val="clear" w:color="auto" w:fill="auto"/>
            <w:noWrap/>
            <w:vAlign w:val="center"/>
          </w:tcPr>
          <w:p w:rsidR="00663198" w:rsidRPr="004A0387" w:rsidRDefault="00663198" w:rsidP="004A0387">
            <w:pPr>
              <w:spacing w:before="20" w:after="20"/>
              <w:ind w:right="212"/>
              <w:jc w:val="right"/>
              <w:rPr>
                <w:rFonts w:asciiTheme="minorHAnsi" w:hAnsiTheme="minorHAnsi" w:cs="Arial"/>
                <w:sz w:val="18"/>
                <w:szCs w:val="18"/>
              </w:rPr>
            </w:pPr>
            <w:r w:rsidRPr="004A0387">
              <w:rPr>
                <w:rFonts w:asciiTheme="minorHAnsi" w:hAnsiTheme="minorHAnsi"/>
                <w:sz w:val="18"/>
                <w:szCs w:val="18"/>
              </w:rPr>
              <w:t>14,33</w:t>
            </w:r>
          </w:p>
        </w:tc>
        <w:tc>
          <w:tcPr>
            <w:tcW w:w="1134" w:type="dxa"/>
            <w:tcBorders>
              <w:top w:val="nil"/>
              <w:left w:val="nil"/>
              <w:bottom w:val="single" w:sz="4" w:space="0" w:color="auto"/>
              <w:right w:val="single" w:sz="4" w:space="0" w:color="auto"/>
            </w:tcBorders>
            <w:shd w:val="clear" w:color="auto" w:fill="auto"/>
            <w:vAlign w:val="center"/>
          </w:tcPr>
          <w:p w:rsidR="00663198" w:rsidRPr="004A0387" w:rsidRDefault="00663198" w:rsidP="004A0387">
            <w:pPr>
              <w:spacing w:before="20" w:after="20"/>
              <w:ind w:right="212"/>
              <w:jc w:val="right"/>
              <w:rPr>
                <w:rFonts w:asciiTheme="minorHAnsi" w:hAnsiTheme="minorHAnsi" w:cs="Arial"/>
                <w:sz w:val="18"/>
                <w:szCs w:val="18"/>
              </w:rPr>
            </w:pPr>
            <w:r w:rsidRPr="004A0387">
              <w:rPr>
                <w:rFonts w:asciiTheme="minorHAnsi" w:hAnsiTheme="minorHAnsi"/>
                <w:sz w:val="18"/>
                <w:szCs w:val="18"/>
              </w:rPr>
              <w:t>12</w:t>
            </w:r>
          </w:p>
        </w:tc>
        <w:tc>
          <w:tcPr>
            <w:tcW w:w="1378" w:type="dxa"/>
            <w:tcBorders>
              <w:top w:val="single" w:sz="4" w:space="0" w:color="auto"/>
              <w:left w:val="nil"/>
              <w:bottom w:val="single" w:sz="4" w:space="0" w:color="auto"/>
              <w:right w:val="single" w:sz="4" w:space="0" w:color="auto"/>
            </w:tcBorders>
            <w:vAlign w:val="center"/>
          </w:tcPr>
          <w:p w:rsidR="00663198" w:rsidRPr="004A0387" w:rsidRDefault="00663198" w:rsidP="004A0387">
            <w:pPr>
              <w:spacing w:before="20" w:after="20"/>
              <w:ind w:right="418"/>
              <w:jc w:val="right"/>
              <w:rPr>
                <w:rFonts w:asciiTheme="minorHAnsi" w:hAnsiTheme="minorHAnsi" w:cs="Arial"/>
                <w:sz w:val="18"/>
                <w:szCs w:val="18"/>
              </w:rPr>
            </w:pPr>
            <w:r w:rsidRPr="004A0387">
              <w:rPr>
                <w:rFonts w:asciiTheme="minorHAnsi" w:hAnsiTheme="minorHAnsi"/>
                <w:sz w:val="18"/>
                <w:szCs w:val="18"/>
              </w:rPr>
              <w:t>10</w:t>
            </w:r>
          </w:p>
        </w:tc>
        <w:tc>
          <w:tcPr>
            <w:tcW w:w="1175" w:type="dxa"/>
            <w:tcBorders>
              <w:top w:val="nil"/>
              <w:left w:val="single" w:sz="4" w:space="0" w:color="auto"/>
              <w:bottom w:val="single" w:sz="4" w:space="0" w:color="auto"/>
              <w:right w:val="single" w:sz="4" w:space="0" w:color="auto"/>
            </w:tcBorders>
            <w:shd w:val="clear" w:color="auto" w:fill="auto"/>
            <w:noWrap/>
            <w:vAlign w:val="center"/>
          </w:tcPr>
          <w:p w:rsidR="00663198" w:rsidRPr="004A0387" w:rsidRDefault="00663198" w:rsidP="004A0387">
            <w:pPr>
              <w:spacing w:before="20" w:after="20"/>
              <w:ind w:right="212"/>
              <w:jc w:val="right"/>
              <w:rPr>
                <w:rFonts w:asciiTheme="minorHAnsi" w:hAnsiTheme="minorHAnsi" w:cs="Arial"/>
                <w:sz w:val="18"/>
                <w:szCs w:val="18"/>
              </w:rPr>
            </w:pPr>
            <w:r w:rsidRPr="004A0387">
              <w:rPr>
                <w:rFonts w:asciiTheme="minorHAnsi" w:hAnsiTheme="minorHAnsi"/>
                <w:sz w:val="18"/>
                <w:szCs w:val="18"/>
              </w:rPr>
              <w:t>172</w:t>
            </w:r>
          </w:p>
        </w:tc>
      </w:tr>
      <w:tr w:rsidR="00663198" w:rsidRPr="004A0387" w:rsidTr="004A0387">
        <w:trPr>
          <w:trHeight w:val="20"/>
        </w:trPr>
        <w:tc>
          <w:tcPr>
            <w:tcW w:w="3319" w:type="dxa"/>
            <w:tcBorders>
              <w:top w:val="nil"/>
              <w:left w:val="single" w:sz="4" w:space="0" w:color="auto"/>
              <w:bottom w:val="single" w:sz="4" w:space="0" w:color="auto"/>
              <w:right w:val="single" w:sz="4" w:space="0" w:color="auto"/>
            </w:tcBorders>
            <w:shd w:val="clear" w:color="auto" w:fill="auto"/>
            <w:noWrap/>
            <w:vAlign w:val="center"/>
          </w:tcPr>
          <w:p w:rsidR="00663198" w:rsidRPr="004A0387" w:rsidRDefault="00663198" w:rsidP="004A0387">
            <w:pPr>
              <w:spacing w:before="20" w:after="20"/>
              <w:rPr>
                <w:rFonts w:asciiTheme="minorHAnsi" w:hAnsiTheme="minorHAnsi" w:cs="Arial"/>
                <w:sz w:val="18"/>
                <w:szCs w:val="18"/>
              </w:rPr>
            </w:pPr>
            <w:r w:rsidRPr="004A0387">
              <w:rPr>
                <w:rFonts w:asciiTheme="minorHAnsi" w:hAnsiTheme="minorHAnsi"/>
                <w:sz w:val="18"/>
                <w:szCs w:val="18"/>
              </w:rPr>
              <w:t>Psikologoa</w:t>
            </w:r>
          </w:p>
        </w:tc>
        <w:tc>
          <w:tcPr>
            <w:tcW w:w="1172" w:type="dxa"/>
            <w:tcBorders>
              <w:top w:val="nil"/>
              <w:left w:val="nil"/>
              <w:bottom w:val="single" w:sz="4" w:space="0" w:color="auto"/>
              <w:right w:val="single" w:sz="4" w:space="0" w:color="auto"/>
            </w:tcBorders>
            <w:shd w:val="clear" w:color="auto" w:fill="auto"/>
            <w:noWrap/>
            <w:vAlign w:val="center"/>
          </w:tcPr>
          <w:p w:rsidR="00663198" w:rsidRPr="004A0387" w:rsidRDefault="00663198" w:rsidP="004A0387">
            <w:pPr>
              <w:spacing w:before="20" w:after="20"/>
              <w:ind w:right="212"/>
              <w:jc w:val="right"/>
              <w:rPr>
                <w:rFonts w:asciiTheme="minorHAnsi" w:hAnsiTheme="minorHAnsi" w:cs="Arial"/>
                <w:sz w:val="18"/>
                <w:szCs w:val="18"/>
              </w:rPr>
            </w:pPr>
            <w:r w:rsidRPr="004A0387">
              <w:rPr>
                <w:rFonts w:asciiTheme="minorHAnsi" w:hAnsiTheme="minorHAnsi"/>
                <w:sz w:val="18"/>
                <w:szCs w:val="18"/>
              </w:rPr>
              <w:t>114,92</w:t>
            </w:r>
          </w:p>
        </w:tc>
        <w:tc>
          <w:tcPr>
            <w:tcW w:w="1134" w:type="dxa"/>
            <w:tcBorders>
              <w:top w:val="nil"/>
              <w:left w:val="nil"/>
              <w:bottom w:val="single" w:sz="4" w:space="0" w:color="auto"/>
              <w:right w:val="single" w:sz="4" w:space="0" w:color="auto"/>
            </w:tcBorders>
            <w:shd w:val="clear" w:color="auto" w:fill="auto"/>
            <w:vAlign w:val="center"/>
          </w:tcPr>
          <w:p w:rsidR="00663198" w:rsidRPr="004A0387" w:rsidRDefault="00663198" w:rsidP="004A0387">
            <w:pPr>
              <w:spacing w:before="20" w:after="20"/>
              <w:ind w:right="212"/>
              <w:jc w:val="right"/>
              <w:rPr>
                <w:rFonts w:asciiTheme="minorHAnsi" w:hAnsiTheme="minorHAnsi" w:cs="Arial"/>
                <w:sz w:val="18"/>
                <w:szCs w:val="18"/>
              </w:rPr>
            </w:pPr>
            <w:r w:rsidRPr="004A0387">
              <w:rPr>
                <w:rFonts w:asciiTheme="minorHAnsi" w:hAnsiTheme="minorHAnsi"/>
                <w:sz w:val="18"/>
                <w:szCs w:val="18"/>
              </w:rPr>
              <w:t>12</w:t>
            </w:r>
          </w:p>
        </w:tc>
        <w:tc>
          <w:tcPr>
            <w:tcW w:w="1378" w:type="dxa"/>
            <w:tcBorders>
              <w:top w:val="single" w:sz="4" w:space="0" w:color="auto"/>
              <w:left w:val="nil"/>
              <w:bottom w:val="single" w:sz="4" w:space="0" w:color="auto"/>
              <w:right w:val="single" w:sz="4" w:space="0" w:color="auto"/>
            </w:tcBorders>
            <w:vAlign w:val="center"/>
          </w:tcPr>
          <w:p w:rsidR="00663198" w:rsidRPr="004A0387" w:rsidRDefault="00663198" w:rsidP="004A0387">
            <w:pPr>
              <w:spacing w:before="20" w:after="20"/>
              <w:ind w:right="418"/>
              <w:jc w:val="right"/>
              <w:rPr>
                <w:rFonts w:asciiTheme="minorHAnsi" w:hAnsiTheme="minorHAnsi" w:cs="Arial"/>
                <w:sz w:val="18"/>
                <w:szCs w:val="18"/>
              </w:rPr>
            </w:pPr>
            <w:r w:rsidRPr="004A0387">
              <w:rPr>
                <w:rFonts w:asciiTheme="minorHAnsi" w:hAnsiTheme="minorHAnsi"/>
                <w:sz w:val="18"/>
                <w:szCs w:val="18"/>
              </w:rPr>
              <w:t>80</w:t>
            </w:r>
          </w:p>
        </w:tc>
        <w:tc>
          <w:tcPr>
            <w:tcW w:w="1175" w:type="dxa"/>
            <w:tcBorders>
              <w:top w:val="nil"/>
              <w:left w:val="single" w:sz="4" w:space="0" w:color="auto"/>
              <w:bottom w:val="single" w:sz="4" w:space="0" w:color="auto"/>
              <w:right w:val="single" w:sz="4" w:space="0" w:color="auto"/>
            </w:tcBorders>
            <w:shd w:val="clear" w:color="auto" w:fill="auto"/>
            <w:noWrap/>
            <w:vAlign w:val="center"/>
          </w:tcPr>
          <w:p w:rsidR="00663198" w:rsidRPr="004A0387" w:rsidRDefault="00663198" w:rsidP="004A0387">
            <w:pPr>
              <w:spacing w:before="20" w:after="20"/>
              <w:ind w:right="212"/>
              <w:jc w:val="right"/>
              <w:rPr>
                <w:rFonts w:asciiTheme="minorHAnsi" w:hAnsiTheme="minorHAnsi" w:cs="Arial"/>
                <w:sz w:val="18"/>
                <w:szCs w:val="18"/>
              </w:rPr>
            </w:pPr>
            <w:r w:rsidRPr="004A0387">
              <w:rPr>
                <w:rFonts w:asciiTheme="minorHAnsi" w:hAnsiTheme="minorHAnsi"/>
                <w:sz w:val="18"/>
                <w:szCs w:val="18"/>
              </w:rPr>
              <w:t>1.379</w:t>
            </w:r>
          </w:p>
        </w:tc>
      </w:tr>
      <w:tr w:rsidR="00663198" w:rsidRPr="004A0387" w:rsidTr="004A0387">
        <w:trPr>
          <w:trHeight w:val="20"/>
        </w:trPr>
        <w:tc>
          <w:tcPr>
            <w:tcW w:w="3319" w:type="dxa"/>
            <w:tcBorders>
              <w:top w:val="nil"/>
              <w:left w:val="single" w:sz="4" w:space="0" w:color="auto"/>
              <w:bottom w:val="single" w:sz="4" w:space="0" w:color="auto"/>
              <w:right w:val="single" w:sz="4" w:space="0" w:color="auto"/>
            </w:tcBorders>
            <w:shd w:val="clear" w:color="auto" w:fill="auto"/>
            <w:noWrap/>
            <w:vAlign w:val="center"/>
          </w:tcPr>
          <w:p w:rsidR="00663198" w:rsidRPr="004A0387" w:rsidRDefault="00663198" w:rsidP="004A0387">
            <w:pPr>
              <w:spacing w:before="20" w:after="20"/>
              <w:rPr>
                <w:rFonts w:asciiTheme="minorHAnsi" w:hAnsiTheme="minorHAnsi" w:cs="Arial"/>
                <w:sz w:val="18"/>
                <w:szCs w:val="18"/>
              </w:rPr>
            </w:pPr>
            <w:r w:rsidRPr="004A0387">
              <w:rPr>
                <w:rFonts w:asciiTheme="minorHAnsi" w:hAnsiTheme="minorHAnsi"/>
                <w:sz w:val="18"/>
                <w:szCs w:val="18"/>
              </w:rPr>
              <w:t>Teknikaria</w:t>
            </w:r>
          </w:p>
        </w:tc>
        <w:tc>
          <w:tcPr>
            <w:tcW w:w="1172" w:type="dxa"/>
            <w:tcBorders>
              <w:top w:val="nil"/>
              <w:left w:val="nil"/>
              <w:bottom w:val="single" w:sz="4" w:space="0" w:color="auto"/>
              <w:right w:val="single" w:sz="4" w:space="0" w:color="auto"/>
            </w:tcBorders>
            <w:shd w:val="clear" w:color="auto" w:fill="auto"/>
            <w:noWrap/>
            <w:vAlign w:val="center"/>
          </w:tcPr>
          <w:p w:rsidR="00663198" w:rsidRPr="004A0387" w:rsidRDefault="00663198" w:rsidP="004A0387">
            <w:pPr>
              <w:spacing w:before="20" w:after="20"/>
              <w:ind w:right="212"/>
              <w:jc w:val="right"/>
              <w:rPr>
                <w:rFonts w:asciiTheme="minorHAnsi" w:hAnsiTheme="minorHAnsi" w:cs="Arial"/>
                <w:sz w:val="18"/>
                <w:szCs w:val="18"/>
              </w:rPr>
            </w:pPr>
            <w:r w:rsidRPr="004A0387">
              <w:rPr>
                <w:rFonts w:asciiTheme="minorHAnsi" w:hAnsiTheme="minorHAnsi"/>
                <w:sz w:val="18"/>
                <w:szCs w:val="18"/>
              </w:rPr>
              <w:t>143,67</w:t>
            </w:r>
          </w:p>
        </w:tc>
        <w:tc>
          <w:tcPr>
            <w:tcW w:w="1134" w:type="dxa"/>
            <w:tcBorders>
              <w:top w:val="nil"/>
              <w:left w:val="nil"/>
              <w:bottom w:val="single" w:sz="4" w:space="0" w:color="auto"/>
              <w:right w:val="single" w:sz="4" w:space="0" w:color="auto"/>
            </w:tcBorders>
            <w:shd w:val="clear" w:color="auto" w:fill="auto"/>
            <w:vAlign w:val="center"/>
          </w:tcPr>
          <w:p w:rsidR="00663198" w:rsidRPr="004A0387" w:rsidRDefault="00663198" w:rsidP="004A0387">
            <w:pPr>
              <w:spacing w:before="20" w:after="20"/>
              <w:ind w:right="212"/>
              <w:jc w:val="right"/>
              <w:rPr>
                <w:rFonts w:asciiTheme="minorHAnsi" w:hAnsiTheme="minorHAnsi" w:cs="Arial"/>
                <w:sz w:val="18"/>
                <w:szCs w:val="18"/>
              </w:rPr>
            </w:pPr>
            <w:r w:rsidRPr="004A0387">
              <w:rPr>
                <w:rFonts w:asciiTheme="minorHAnsi" w:hAnsiTheme="minorHAnsi"/>
                <w:sz w:val="18"/>
                <w:szCs w:val="18"/>
              </w:rPr>
              <w:t>12</w:t>
            </w:r>
          </w:p>
        </w:tc>
        <w:tc>
          <w:tcPr>
            <w:tcW w:w="1378" w:type="dxa"/>
            <w:tcBorders>
              <w:top w:val="single" w:sz="4" w:space="0" w:color="auto"/>
              <w:left w:val="nil"/>
              <w:bottom w:val="single" w:sz="4" w:space="0" w:color="auto"/>
              <w:right w:val="single" w:sz="4" w:space="0" w:color="auto"/>
            </w:tcBorders>
            <w:vAlign w:val="center"/>
          </w:tcPr>
          <w:p w:rsidR="00663198" w:rsidRPr="004A0387" w:rsidRDefault="00663198" w:rsidP="004A0387">
            <w:pPr>
              <w:spacing w:before="20" w:after="20"/>
              <w:ind w:right="418"/>
              <w:jc w:val="right"/>
              <w:rPr>
                <w:rFonts w:asciiTheme="minorHAnsi" w:hAnsiTheme="minorHAnsi" w:cs="Arial"/>
                <w:sz w:val="18"/>
                <w:szCs w:val="18"/>
              </w:rPr>
            </w:pPr>
            <w:r w:rsidRPr="004A0387">
              <w:rPr>
                <w:rFonts w:asciiTheme="minorHAnsi" w:hAnsiTheme="minorHAnsi"/>
                <w:sz w:val="18"/>
                <w:szCs w:val="18"/>
              </w:rPr>
              <w:t>100</w:t>
            </w:r>
          </w:p>
        </w:tc>
        <w:tc>
          <w:tcPr>
            <w:tcW w:w="1175" w:type="dxa"/>
            <w:tcBorders>
              <w:top w:val="nil"/>
              <w:left w:val="single" w:sz="4" w:space="0" w:color="auto"/>
              <w:bottom w:val="single" w:sz="4" w:space="0" w:color="auto"/>
              <w:right w:val="single" w:sz="4" w:space="0" w:color="auto"/>
            </w:tcBorders>
            <w:shd w:val="clear" w:color="auto" w:fill="auto"/>
            <w:noWrap/>
            <w:vAlign w:val="center"/>
          </w:tcPr>
          <w:p w:rsidR="00663198" w:rsidRPr="004A0387" w:rsidRDefault="00663198" w:rsidP="004A0387">
            <w:pPr>
              <w:spacing w:before="20" w:after="20"/>
              <w:ind w:right="212"/>
              <w:jc w:val="right"/>
              <w:rPr>
                <w:rFonts w:asciiTheme="minorHAnsi" w:hAnsiTheme="minorHAnsi" w:cs="Arial"/>
                <w:sz w:val="18"/>
                <w:szCs w:val="18"/>
              </w:rPr>
            </w:pPr>
            <w:r w:rsidRPr="004A0387">
              <w:rPr>
                <w:rFonts w:asciiTheme="minorHAnsi" w:hAnsiTheme="minorHAnsi"/>
                <w:sz w:val="18"/>
                <w:szCs w:val="18"/>
              </w:rPr>
              <w:t>1.724</w:t>
            </w:r>
          </w:p>
        </w:tc>
      </w:tr>
      <w:tr w:rsidR="00663198" w:rsidRPr="004A0387" w:rsidTr="004A0387">
        <w:trPr>
          <w:trHeight w:val="20"/>
        </w:trPr>
        <w:tc>
          <w:tcPr>
            <w:tcW w:w="3319" w:type="dxa"/>
            <w:tcBorders>
              <w:top w:val="nil"/>
              <w:left w:val="single" w:sz="4" w:space="0" w:color="auto"/>
              <w:bottom w:val="single" w:sz="4" w:space="0" w:color="auto"/>
              <w:right w:val="single" w:sz="4" w:space="0" w:color="auto"/>
            </w:tcBorders>
            <w:shd w:val="clear" w:color="auto" w:fill="auto"/>
            <w:noWrap/>
            <w:vAlign w:val="center"/>
          </w:tcPr>
          <w:p w:rsidR="00663198" w:rsidRPr="004A0387" w:rsidRDefault="00663198" w:rsidP="004A0387">
            <w:pPr>
              <w:spacing w:before="20" w:after="20"/>
              <w:rPr>
                <w:rFonts w:asciiTheme="minorHAnsi" w:hAnsiTheme="minorHAnsi" w:cs="Arial"/>
                <w:sz w:val="18"/>
                <w:szCs w:val="18"/>
              </w:rPr>
            </w:pPr>
            <w:r w:rsidRPr="004A0387">
              <w:rPr>
                <w:rFonts w:asciiTheme="minorHAnsi" w:hAnsiTheme="minorHAnsi"/>
                <w:sz w:val="18"/>
                <w:szCs w:val="18"/>
              </w:rPr>
              <w:t>Teknikaria</w:t>
            </w:r>
          </w:p>
        </w:tc>
        <w:tc>
          <w:tcPr>
            <w:tcW w:w="1172" w:type="dxa"/>
            <w:tcBorders>
              <w:top w:val="nil"/>
              <w:left w:val="nil"/>
              <w:bottom w:val="single" w:sz="4" w:space="0" w:color="auto"/>
              <w:right w:val="single" w:sz="4" w:space="0" w:color="auto"/>
            </w:tcBorders>
            <w:shd w:val="clear" w:color="auto" w:fill="auto"/>
            <w:noWrap/>
            <w:vAlign w:val="center"/>
          </w:tcPr>
          <w:p w:rsidR="00663198" w:rsidRPr="004A0387" w:rsidRDefault="00663198" w:rsidP="004A0387">
            <w:pPr>
              <w:spacing w:before="20" w:after="20"/>
              <w:ind w:right="212"/>
              <w:jc w:val="right"/>
              <w:rPr>
                <w:rFonts w:asciiTheme="minorHAnsi" w:hAnsiTheme="minorHAnsi" w:cs="Arial"/>
                <w:sz w:val="18"/>
                <w:szCs w:val="18"/>
              </w:rPr>
            </w:pPr>
            <w:r w:rsidRPr="004A0387">
              <w:rPr>
                <w:rFonts w:asciiTheme="minorHAnsi" w:hAnsiTheme="minorHAnsi"/>
                <w:sz w:val="18"/>
                <w:szCs w:val="18"/>
              </w:rPr>
              <w:t>143,67</w:t>
            </w:r>
          </w:p>
        </w:tc>
        <w:tc>
          <w:tcPr>
            <w:tcW w:w="1134" w:type="dxa"/>
            <w:tcBorders>
              <w:top w:val="nil"/>
              <w:left w:val="nil"/>
              <w:bottom w:val="single" w:sz="4" w:space="0" w:color="auto"/>
              <w:right w:val="single" w:sz="4" w:space="0" w:color="auto"/>
            </w:tcBorders>
            <w:shd w:val="clear" w:color="auto" w:fill="auto"/>
            <w:vAlign w:val="center"/>
          </w:tcPr>
          <w:p w:rsidR="00663198" w:rsidRPr="004A0387" w:rsidRDefault="00663198" w:rsidP="004A0387">
            <w:pPr>
              <w:spacing w:before="20" w:after="20"/>
              <w:ind w:right="212"/>
              <w:jc w:val="right"/>
              <w:rPr>
                <w:rFonts w:asciiTheme="minorHAnsi" w:hAnsiTheme="minorHAnsi" w:cs="Arial"/>
                <w:sz w:val="18"/>
                <w:szCs w:val="18"/>
              </w:rPr>
            </w:pPr>
            <w:r w:rsidRPr="004A0387">
              <w:rPr>
                <w:rFonts w:asciiTheme="minorHAnsi" w:hAnsiTheme="minorHAnsi"/>
                <w:sz w:val="18"/>
                <w:szCs w:val="18"/>
              </w:rPr>
              <w:t>12</w:t>
            </w:r>
          </w:p>
        </w:tc>
        <w:tc>
          <w:tcPr>
            <w:tcW w:w="1378" w:type="dxa"/>
            <w:tcBorders>
              <w:top w:val="single" w:sz="4" w:space="0" w:color="auto"/>
              <w:left w:val="nil"/>
              <w:bottom w:val="single" w:sz="4" w:space="0" w:color="auto"/>
              <w:right w:val="single" w:sz="4" w:space="0" w:color="auto"/>
            </w:tcBorders>
            <w:vAlign w:val="center"/>
          </w:tcPr>
          <w:p w:rsidR="00663198" w:rsidRPr="004A0387" w:rsidRDefault="00663198" w:rsidP="004A0387">
            <w:pPr>
              <w:spacing w:before="20" w:after="20"/>
              <w:ind w:right="418"/>
              <w:jc w:val="right"/>
              <w:rPr>
                <w:rFonts w:asciiTheme="minorHAnsi" w:hAnsiTheme="minorHAnsi" w:cs="Arial"/>
                <w:sz w:val="18"/>
                <w:szCs w:val="18"/>
              </w:rPr>
            </w:pPr>
            <w:r w:rsidRPr="004A0387">
              <w:rPr>
                <w:rFonts w:asciiTheme="minorHAnsi" w:hAnsiTheme="minorHAnsi"/>
                <w:sz w:val="18"/>
                <w:szCs w:val="18"/>
              </w:rPr>
              <w:t>100</w:t>
            </w:r>
          </w:p>
        </w:tc>
        <w:tc>
          <w:tcPr>
            <w:tcW w:w="1175" w:type="dxa"/>
            <w:tcBorders>
              <w:top w:val="nil"/>
              <w:left w:val="single" w:sz="4" w:space="0" w:color="auto"/>
              <w:bottom w:val="single" w:sz="4" w:space="0" w:color="auto"/>
              <w:right w:val="single" w:sz="4" w:space="0" w:color="auto"/>
            </w:tcBorders>
            <w:shd w:val="clear" w:color="auto" w:fill="auto"/>
            <w:noWrap/>
            <w:vAlign w:val="center"/>
          </w:tcPr>
          <w:p w:rsidR="00663198" w:rsidRPr="004A0387" w:rsidRDefault="00663198" w:rsidP="004A0387">
            <w:pPr>
              <w:spacing w:before="20" w:after="20"/>
              <w:ind w:right="212"/>
              <w:jc w:val="right"/>
              <w:rPr>
                <w:rFonts w:asciiTheme="minorHAnsi" w:hAnsiTheme="minorHAnsi" w:cs="Arial"/>
                <w:sz w:val="18"/>
                <w:szCs w:val="18"/>
              </w:rPr>
            </w:pPr>
            <w:r w:rsidRPr="004A0387">
              <w:rPr>
                <w:rFonts w:asciiTheme="minorHAnsi" w:hAnsiTheme="minorHAnsi"/>
                <w:sz w:val="18"/>
                <w:szCs w:val="18"/>
              </w:rPr>
              <w:t>1.724</w:t>
            </w:r>
          </w:p>
        </w:tc>
      </w:tr>
      <w:tr w:rsidR="00663198" w:rsidRPr="004A0387" w:rsidTr="004A0387">
        <w:trPr>
          <w:trHeight w:val="20"/>
        </w:trPr>
        <w:tc>
          <w:tcPr>
            <w:tcW w:w="3319" w:type="dxa"/>
            <w:tcBorders>
              <w:top w:val="nil"/>
              <w:left w:val="single" w:sz="4" w:space="0" w:color="auto"/>
              <w:bottom w:val="single" w:sz="4" w:space="0" w:color="auto"/>
              <w:right w:val="single" w:sz="4" w:space="0" w:color="auto"/>
            </w:tcBorders>
            <w:shd w:val="clear" w:color="auto" w:fill="auto"/>
            <w:noWrap/>
            <w:vAlign w:val="center"/>
          </w:tcPr>
          <w:p w:rsidR="00663198" w:rsidRPr="004A0387" w:rsidRDefault="00663198" w:rsidP="004A0387">
            <w:pPr>
              <w:spacing w:before="20" w:after="20"/>
              <w:rPr>
                <w:rFonts w:asciiTheme="minorHAnsi" w:hAnsiTheme="minorHAnsi" w:cs="Arial"/>
                <w:sz w:val="18"/>
                <w:szCs w:val="18"/>
              </w:rPr>
            </w:pPr>
            <w:r w:rsidRPr="004A0387">
              <w:rPr>
                <w:rFonts w:asciiTheme="minorHAnsi" w:hAnsiTheme="minorHAnsi"/>
                <w:sz w:val="18"/>
                <w:szCs w:val="18"/>
              </w:rPr>
              <w:lastRenderedPageBreak/>
              <w:t>Teknikaria</w:t>
            </w:r>
          </w:p>
        </w:tc>
        <w:tc>
          <w:tcPr>
            <w:tcW w:w="1172" w:type="dxa"/>
            <w:tcBorders>
              <w:top w:val="nil"/>
              <w:left w:val="nil"/>
              <w:bottom w:val="single" w:sz="4" w:space="0" w:color="auto"/>
              <w:right w:val="single" w:sz="4" w:space="0" w:color="auto"/>
            </w:tcBorders>
            <w:shd w:val="clear" w:color="auto" w:fill="auto"/>
            <w:noWrap/>
            <w:vAlign w:val="center"/>
          </w:tcPr>
          <w:p w:rsidR="00663198" w:rsidRPr="004A0387" w:rsidRDefault="00663198" w:rsidP="004A0387">
            <w:pPr>
              <w:spacing w:before="20" w:after="20"/>
              <w:ind w:right="212"/>
              <w:jc w:val="right"/>
              <w:rPr>
                <w:rFonts w:asciiTheme="minorHAnsi" w:hAnsiTheme="minorHAnsi" w:cs="Arial"/>
                <w:sz w:val="18"/>
                <w:szCs w:val="18"/>
              </w:rPr>
            </w:pPr>
            <w:r w:rsidRPr="004A0387">
              <w:rPr>
                <w:rFonts w:asciiTheme="minorHAnsi" w:hAnsiTheme="minorHAnsi"/>
                <w:sz w:val="18"/>
                <w:szCs w:val="18"/>
              </w:rPr>
              <w:t>129,25</w:t>
            </w:r>
          </w:p>
        </w:tc>
        <w:tc>
          <w:tcPr>
            <w:tcW w:w="1134" w:type="dxa"/>
            <w:tcBorders>
              <w:top w:val="nil"/>
              <w:left w:val="nil"/>
              <w:bottom w:val="single" w:sz="4" w:space="0" w:color="auto"/>
              <w:right w:val="single" w:sz="4" w:space="0" w:color="auto"/>
            </w:tcBorders>
            <w:shd w:val="clear" w:color="auto" w:fill="auto"/>
            <w:vAlign w:val="center"/>
          </w:tcPr>
          <w:p w:rsidR="00663198" w:rsidRPr="004A0387" w:rsidRDefault="00663198" w:rsidP="004A0387">
            <w:pPr>
              <w:spacing w:before="20" w:after="20"/>
              <w:ind w:right="212"/>
              <w:jc w:val="right"/>
              <w:rPr>
                <w:rFonts w:asciiTheme="minorHAnsi" w:hAnsiTheme="minorHAnsi" w:cs="Arial"/>
                <w:sz w:val="18"/>
                <w:szCs w:val="18"/>
              </w:rPr>
            </w:pPr>
            <w:r w:rsidRPr="004A0387">
              <w:rPr>
                <w:rFonts w:asciiTheme="minorHAnsi" w:hAnsiTheme="minorHAnsi"/>
                <w:sz w:val="18"/>
                <w:szCs w:val="18"/>
              </w:rPr>
              <w:t>12</w:t>
            </w:r>
          </w:p>
        </w:tc>
        <w:tc>
          <w:tcPr>
            <w:tcW w:w="1378" w:type="dxa"/>
            <w:tcBorders>
              <w:top w:val="single" w:sz="4" w:space="0" w:color="auto"/>
              <w:left w:val="nil"/>
              <w:bottom w:val="single" w:sz="4" w:space="0" w:color="auto"/>
              <w:right w:val="single" w:sz="4" w:space="0" w:color="auto"/>
            </w:tcBorders>
            <w:vAlign w:val="center"/>
          </w:tcPr>
          <w:p w:rsidR="00663198" w:rsidRPr="004A0387" w:rsidRDefault="00663198" w:rsidP="004A0387">
            <w:pPr>
              <w:spacing w:before="20" w:after="20"/>
              <w:ind w:right="418"/>
              <w:jc w:val="right"/>
              <w:rPr>
                <w:rFonts w:asciiTheme="minorHAnsi" w:hAnsiTheme="minorHAnsi" w:cs="Arial"/>
                <w:sz w:val="18"/>
                <w:szCs w:val="18"/>
              </w:rPr>
            </w:pPr>
            <w:r w:rsidRPr="004A0387">
              <w:rPr>
                <w:rFonts w:asciiTheme="minorHAnsi" w:hAnsiTheme="minorHAnsi"/>
                <w:sz w:val="18"/>
                <w:szCs w:val="18"/>
              </w:rPr>
              <w:t>90</w:t>
            </w:r>
          </w:p>
        </w:tc>
        <w:tc>
          <w:tcPr>
            <w:tcW w:w="1175" w:type="dxa"/>
            <w:tcBorders>
              <w:top w:val="nil"/>
              <w:left w:val="single" w:sz="4" w:space="0" w:color="auto"/>
              <w:bottom w:val="single" w:sz="4" w:space="0" w:color="auto"/>
              <w:right w:val="single" w:sz="4" w:space="0" w:color="auto"/>
            </w:tcBorders>
            <w:shd w:val="clear" w:color="auto" w:fill="auto"/>
            <w:noWrap/>
            <w:vAlign w:val="center"/>
          </w:tcPr>
          <w:p w:rsidR="00663198" w:rsidRPr="004A0387" w:rsidRDefault="00663198" w:rsidP="004A0387">
            <w:pPr>
              <w:spacing w:before="20" w:after="20"/>
              <w:ind w:right="212"/>
              <w:jc w:val="right"/>
              <w:rPr>
                <w:rFonts w:asciiTheme="minorHAnsi" w:hAnsiTheme="minorHAnsi" w:cs="Arial"/>
                <w:sz w:val="18"/>
                <w:szCs w:val="18"/>
              </w:rPr>
            </w:pPr>
            <w:r w:rsidRPr="004A0387">
              <w:rPr>
                <w:rFonts w:asciiTheme="minorHAnsi" w:hAnsiTheme="minorHAnsi"/>
                <w:sz w:val="18"/>
                <w:szCs w:val="18"/>
              </w:rPr>
              <w:t>1.551</w:t>
            </w:r>
          </w:p>
        </w:tc>
      </w:tr>
      <w:tr w:rsidR="00663198" w:rsidRPr="004A0387" w:rsidTr="004A0387">
        <w:trPr>
          <w:trHeight w:val="20"/>
        </w:trPr>
        <w:tc>
          <w:tcPr>
            <w:tcW w:w="3319" w:type="dxa"/>
            <w:tcBorders>
              <w:top w:val="nil"/>
              <w:left w:val="single" w:sz="4" w:space="0" w:color="auto"/>
              <w:bottom w:val="single" w:sz="4" w:space="0" w:color="auto"/>
              <w:right w:val="single" w:sz="4" w:space="0" w:color="auto"/>
            </w:tcBorders>
            <w:shd w:val="clear" w:color="auto" w:fill="auto"/>
            <w:noWrap/>
            <w:vAlign w:val="center"/>
          </w:tcPr>
          <w:p w:rsidR="00663198" w:rsidRPr="004A0387" w:rsidRDefault="00663198" w:rsidP="004A0387">
            <w:pPr>
              <w:spacing w:before="20" w:after="20"/>
              <w:rPr>
                <w:rFonts w:asciiTheme="minorHAnsi" w:hAnsiTheme="minorHAnsi" w:cs="Arial"/>
                <w:sz w:val="18"/>
                <w:szCs w:val="18"/>
              </w:rPr>
            </w:pPr>
            <w:r w:rsidRPr="004A0387">
              <w:rPr>
                <w:rFonts w:asciiTheme="minorHAnsi" w:hAnsiTheme="minorHAnsi"/>
                <w:sz w:val="18"/>
                <w:szCs w:val="18"/>
              </w:rPr>
              <w:t>Lanerako prestatzeko terapeuta</w:t>
            </w:r>
          </w:p>
        </w:tc>
        <w:tc>
          <w:tcPr>
            <w:tcW w:w="1172" w:type="dxa"/>
            <w:tcBorders>
              <w:top w:val="nil"/>
              <w:left w:val="nil"/>
              <w:bottom w:val="single" w:sz="4" w:space="0" w:color="auto"/>
              <w:right w:val="single" w:sz="4" w:space="0" w:color="auto"/>
            </w:tcBorders>
            <w:shd w:val="clear" w:color="auto" w:fill="auto"/>
            <w:noWrap/>
            <w:vAlign w:val="center"/>
          </w:tcPr>
          <w:p w:rsidR="00663198" w:rsidRPr="004A0387" w:rsidRDefault="00663198" w:rsidP="004A0387">
            <w:pPr>
              <w:spacing w:before="20" w:after="20"/>
              <w:ind w:right="212"/>
              <w:jc w:val="right"/>
              <w:rPr>
                <w:rFonts w:asciiTheme="minorHAnsi" w:hAnsiTheme="minorHAnsi" w:cs="Arial"/>
                <w:sz w:val="18"/>
                <w:szCs w:val="18"/>
              </w:rPr>
            </w:pPr>
            <w:r w:rsidRPr="004A0387">
              <w:rPr>
                <w:rFonts w:asciiTheme="minorHAnsi" w:hAnsiTheme="minorHAnsi"/>
                <w:sz w:val="18"/>
                <w:szCs w:val="18"/>
              </w:rPr>
              <w:t>14,33</w:t>
            </w:r>
          </w:p>
        </w:tc>
        <w:tc>
          <w:tcPr>
            <w:tcW w:w="1134" w:type="dxa"/>
            <w:tcBorders>
              <w:top w:val="nil"/>
              <w:left w:val="nil"/>
              <w:bottom w:val="single" w:sz="4" w:space="0" w:color="auto"/>
              <w:right w:val="single" w:sz="4" w:space="0" w:color="auto"/>
            </w:tcBorders>
            <w:shd w:val="clear" w:color="auto" w:fill="auto"/>
            <w:vAlign w:val="center"/>
          </w:tcPr>
          <w:p w:rsidR="00663198" w:rsidRPr="004A0387" w:rsidRDefault="00663198" w:rsidP="004A0387">
            <w:pPr>
              <w:spacing w:before="20" w:after="20"/>
              <w:ind w:right="212"/>
              <w:jc w:val="right"/>
              <w:rPr>
                <w:rFonts w:asciiTheme="minorHAnsi" w:hAnsiTheme="minorHAnsi" w:cs="Arial"/>
                <w:sz w:val="18"/>
                <w:szCs w:val="18"/>
              </w:rPr>
            </w:pPr>
            <w:r w:rsidRPr="004A0387">
              <w:rPr>
                <w:rFonts w:asciiTheme="minorHAnsi" w:hAnsiTheme="minorHAnsi"/>
                <w:sz w:val="18"/>
                <w:szCs w:val="18"/>
              </w:rPr>
              <w:t>12</w:t>
            </w:r>
          </w:p>
        </w:tc>
        <w:tc>
          <w:tcPr>
            <w:tcW w:w="1378" w:type="dxa"/>
            <w:tcBorders>
              <w:top w:val="single" w:sz="4" w:space="0" w:color="auto"/>
              <w:left w:val="nil"/>
              <w:bottom w:val="single" w:sz="4" w:space="0" w:color="auto"/>
              <w:right w:val="single" w:sz="4" w:space="0" w:color="auto"/>
            </w:tcBorders>
            <w:vAlign w:val="center"/>
          </w:tcPr>
          <w:p w:rsidR="00663198" w:rsidRPr="004A0387" w:rsidRDefault="00663198" w:rsidP="004A0387">
            <w:pPr>
              <w:spacing w:before="20" w:after="20"/>
              <w:ind w:right="418"/>
              <w:jc w:val="right"/>
              <w:rPr>
                <w:rFonts w:asciiTheme="minorHAnsi" w:hAnsiTheme="minorHAnsi" w:cs="Arial"/>
                <w:sz w:val="18"/>
                <w:szCs w:val="18"/>
              </w:rPr>
            </w:pPr>
            <w:r w:rsidRPr="004A0387">
              <w:rPr>
                <w:rFonts w:asciiTheme="minorHAnsi" w:hAnsiTheme="minorHAnsi"/>
                <w:sz w:val="18"/>
                <w:szCs w:val="18"/>
              </w:rPr>
              <w:t>10</w:t>
            </w:r>
          </w:p>
        </w:tc>
        <w:tc>
          <w:tcPr>
            <w:tcW w:w="1175" w:type="dxa"/>
            <w:tcBorders>
              <w:top w:val="nil"/>
              <w:left w:val="single" w:sz="4" w:space="0" w:color="auto"/>
              <w:bottom w:val="single" w:sz="4" w:space="0" w:color="auto"/>
              <w:right w:val="single" w:sz="4" w:space="0" w:color="auto"/>
            </w:tcBorders>
            <w:shd w:val="clear" w:color="auto" w:fill="auto"/>
            <w:noWrap/>
            <w:vAlign w:val="center"/>
          </w:tcPr>
          <w:p w:rsidR="00663198" w:rsidRPr="004A0387" w:rsidRDefault="00663198" w:rsidP="004A0387">
            <w:pPr>
              <w:spacing w:before="20" w:after="20"/>
              <w:ind w:right="212"/>
              <w:jc w:val="right"/>
              <w:rPr>
                <w:rFonts w:asciiTheme="minorHAnsi" w:hAnsiTheme="minorHAnsi" w:cs="Arial"/>
                <w:sz w:val="18"/>
                <w:szCs w:val="18"/>
              </w:rPr>
            </w:pPr>
            <w:r w:rsidRPr="004A0387">
              <w:rPr>
                <w:rFonts w:asciiTheme="minorHAnsi" w:hAnsiTheme="minorHAnsi"/>
                <w:sz w:val="18"/>
                <w:szCs w:val="18"/>
              </w:rPr>
              <w:t>172</w:t>
            </w:r>
          </w:p>
        </w:tc>
      </w:tr>
      <w:tr w:rsidR="00663198" w:rsidRPr="004A0387" w:rsidTr="004A0387">
        <w:trPr>
          <w:trHeight w:val="20"/>
        </w:trPr>
        <w:tc>
          <w:tcPr>
            <w:tcW w:w="3319" w:type="dxa"/>
            <w:tcBorders>
              <w:top w:val="nil"/>
              <w:left w:val="single" w:sz="4" w:space="0" w:color="auto"/>
              <w:bottom w:val="single" w:sz="4" w:space="0" w:color="auto"/>
              <w:right w:val="single" w:sz="4" w:space="0" w:color="auto"/>
            </w:tcBorders>
            <w:shd w:val="clear" w:color="auto" w:fill="auto"/>
            <w:noWrap/>
            <w:vAlign w:val="center"/>
          </w:tcPr>
          <w:p w:rsidR="00663198" w:rsidRPr="004A0387" w:rsidRDefault="00663198" w:rsidP="004A0387">
            <w:pPr>
              <w:spacing w:before="20" w:after="20"/>
              <w:rPr>
                <w:rFonts w:asciiTheme="minorHAnsi" w:hAnsiTheme="minorHAnsi" w:cs="Arial"/>
                <w:sz w:val="18"/>
                <w:szCs w:val="18"/>
              </w:rPr>
            </w:pPr>
            <w:r w:rsidRPr="004A0387">
              <w:rPr>
                <w:rFonts w:asciiTheme="minorHAnsi" w:hAnsiTheme="minorHAnsi"/>
                <w:sz w:val="18"/>
                <w:szCs w:val="18"/>
              </w:rPr>
              <w:t xml:space="preserve">Garraioa </w:t>
            </w:r>
          </w:p>
        </w:tc>
        <w:tc>
          <w:tcPr>
            <w:tcW w:w="1172" w:type="dxa"/>
            <w:tcBorders>
              <w:top w:val="nil"/>
              <w:left w:val="nil"/>
              <w:bottom w:val="single" w:sz="4" w:space="0" w:color="auto"/>
              <w:right w:val="single" w:sz="4" w:space="0" w:color="auto"/>
            </w:tcBorders>
            <w:shd w:val="clear" w:color="auto" w:fill="auto"/>
            <w:noWrap/>
            <w:vAlign w:val="center"/>
          </w:tcPr>
          <w:p w:rsidR="00663198" w:rsidRPr="004A0387" w:rsidRDefault="00663198" w:rsidP="004A0387">
            <w:pPr>
              <w:spacing w:before="20" w:after="20"/>
              <w:ind w:right="212"/>
              <w:jc w:val="right"/>
              <w:rPr>
                <w:rFonts w:asciiTheme="minorHAnsi" w:hAnsiTheme="minorHAnsi" w:cs="Arial"/>
                <w:sz w:val="18"/>
                <w:szCs w:val="18"/>
              </w:rPr>
            </w:pPr>
            <w:r w:rsidRPr="004A0387">
              <w:rPr>
                <w:rFonts w:asciiTheme="minorHAnsi" w:hAnsiTheme="minorHAnsi"/>
                <w:sz w:val="18"/>
                <w:szCs w:val="18"/>
              </w:rPr>
              <w:t>35,92</w:t>
            </w:r>
          </w:p>
        </w:tc>
        <w:tc>
          <w:tcPr>
            <w:tcW w:w="1134" w:type="dxa"/>
            <w:tcBorders>
              <w:top w:val="nil"/>
              <w:left w:val="nil"/>
              <w:bottom w:val="single" w:sz="4" w:space="0" w:color="auto"/>
              <w:right w:val="single" w:sz="4" w:space="0" w:color="auto"/>
            </w:tcBorders>
            <w:shd w:val="clear" w:color="auto" w:fill="auto"/>
            <w:vAlign w:val="center"/>
          </w:tcPr>
          <w:p w:rsidR="00663198" w:rsidRPr="004A0387" w:rsidRDefault="00663198" w:rsidP="004A0387">
            <w:pPr>
              <w:spacing w:before="20" w:after="20"/>
              <w:ind w:right="212"/>
              <w:jc w:val="right"/>
              <w:rPr>
                <w:rFonts w:asciiTheme="minorHAnsi" w:hAnsiTheme="minorHAnsi" w:cs="Arial"/>
                <w:sz w:val="18"/>
                <w:szCs w:val="18"/>
              </w:rPr>
            </w:pPr>
            <w:r w:rsidRPr="004A0387">
              <w:rPr>
                <w:rFonts w:asciiTheme="minorHAnsi" w:hAnsiTheme="minorHAnsi"/>
                <w:sz w:val="18"/>
                <w:szCs w:val="18"/>
              </w:rPr>
              <w:t>12</w:t>
            </w:r>
          </w:p>
        </w:tc>
        <w:tc>
          <w:tcPr>
            <w:tcW w:w="1378" w:type="dxa"/>
            <w:tcBorders>
              <w:top w:val="single" w:sz="4" w:space="0" w:color="auto"/>
              <w:left w:val="nil"/>
              <w:bottom w:val="single" w:sz="4" w:space="0" w:color="auto"/>
              <w:right w:val="single" w:sz="4" w:space="0" w:color="auto"/>
            </w:tcBorders>
            <w:vAlign w:val="center"/>
          </w:tcPr>
          <w:p w:rsidR="00663198" w:rsidRPr="004A0387" w:rsidRDefault="00663198" w:rsidP="004A0387">
            <w:pPr>
              <w:spacing w:before="20" w:after="20"/>
              <w:ind w:right="418"/>
              <w:jc w:val="right"/>
              <w:rPr>
                <w:rFonts w:asciiTheme="minorHAnsi" w:hAnsiTheme="minorHAnsi" w:cs="Arial"/>
                <w:sz w:val="18"/>
                <w:szCs w:val="18"/>
              </w:rPr>
            </w:pPr>
            <w:r w:rsidRPr="004A0387">
              <w:rPr>
                <w:rFonts w:asciiTheme="minorHAnsi" w:hAnsiTheme="minorHAnsi"/>
                <w:sz w:val="18"/>
                <w:szCs w:val="18"/>
              </w:rPr>
              <w:t>25</w:t>
            </w:r>
          </w:p>
        </w:tc>
        <w:tc>
          <w:tcPr>
            <w:tcW w:w="1175" w:type="dxa"/>
            <w:tcBorders>
              <w:top w:val="nil"/>
              <w:left w:val="single" w:sz="4" w:space="0" w:color="auto"/>
              <w:bottom w:val="single" w:sz="4" w:space="0" w:color="auto"/>
              <w:right w:val="single" w:sz="4" w:space="0" w:color="auto"/>
            </w:tcBorders>
            <w:shd w:val="clear" w:color="auto" w:fill="auto"/>
            <w:noWrap/>
            <w:vAlign w:val="center"/>
          </w:tcPr>
          <w:p w:rsidR="00663198" w:rsidRPr="004A0387" w:rsidRDefault="00663198" w:rsidP="004A0387">
            <w:pPr>
              <w:spacing w:before="20" w:after="20"/>
              <w:ind w:right="212"/>
              <w:jc w:val="right"/>
              <w:rPr>
                <w:rFonts w:asciiTheme="minorHAnsi" w:hAnsiTheme="minorHAnsi" w:cs="Arial"/>
                <w:sz w:val="18"/>
                <w:szCs w:val="18"/>
              </w:rPr>
            </w:pPr>
            <w:r w:rsidRPr="004A0387">
              <w:rPr>
                <w:rFonts w:asciiTheme="minorHAnsi" w:hAnsiTheme="minorHAnsi"/>
                <w:sz w:val="18"/>
                <w:szCs w:val="18"/>
              </w:rPr>
              <w:t>431</w:t>
            </w:r>
          </w:p>
        </w:tc>
      </w:tr>
      <w:tr w:rsidR="00663198" w:rsidRPr="004A0387" w:rsidTr="004A0387">
        <w:trPr>
          <w:trHeight w:val="20"/>
        </w:trPr>
        <w:tc>
          <w:tcPr>
            <w:tcW w:w="3319" w:type="dxa"/>
            <w:tcBorders>
              <w:top w:val="nil"/>
              <w:left w:val="single" w:sz="4" w:space="0" w:color="auto"/>
              <w:bottom w:val="single" w:sz="4" w:space="0" w:color="auto"/>
              <w:right w:val="single" w:sz="4" w:space="0" w:color="auto"/>
            </w:tcBorders>
            <w:shd w:val="clear" w:color="auto" w:fill="auto"/>
            <w:noWrap/>
            <w:vAlign w:val="center"/>
          </w:tcPr>
          <w:p w:rsidR="00663198" w:rsidRPr="004A0387" w:rsidRDefault="00663198" w:rsidP="004A0387">
            <w:pPr>
              <w:spacing w:before="20" w:after="20"/>
              <w:rPr>
                <w:rFonts w:asciiTheme="minorHAnsi" w:hAnsiTheme="minorHAnsi" w:cs="Arial"/>
                <w:sz w:val="18"/>
                <w:szCs w:val="18"/>
              </w:rPr>
            </w:pPr>
            <w:r w:rsidRPr="004A0387">
              <w:rPr>
                <w:rFonts w:asciiTheme="minorHAnsi" w:hAnsiTheme="minorHAnsi"/>
                <w:sz w:val="18"/>
                <w:szCs w:val="18"/>
              </w:rPr>
              <w:t>Zerbitzu orokorrak eta sukaldea</w:t>
            </w:r>
          </w:p>
        </w:tc>
        <w:tc>
          <w:tcPr>
            <w:tcW w:w="1172" w:type="dxa"/>
            <w:tcBorders>
              <w:top w:val="nil"/>
              <w:left w:val="nil"/>
              <w:bottom w:val="single" w:sz="4" w:space="0" w:color="auto"/>
              <w:right w:val="single" w:sz="4" w:space="0" w:color="auto"/>
            </w:tcBorders>
            <w:shd w:val="clear" w:color="auto" w:fill="auto"/>
            <w:noWrap/>
            <w:vAlign w:val="center"/>
          </w:tcPr>
          <w:p w:rsidR="00663198" w:rsidRPr="004A0387" w:rsidRDefault="00663198" w:rsidP="004A0387">
            <w:pPr>
              <w:spacing w:before="20" w:after="20"/>
              <w:ind w:right="212"/>
              <w:jc w:val="right"/>
              <w:rPr>
                <w:rFonts w:asciiTheme="minorHAnsi" w:hAnsiTheme="minorHAnsi" w:cs="Arial"/>
                <w:sz w:val="18"/>
                <w:szCs w:val="18"/>
              </w:rPr>
            </w:pPr>
            <w:r w:rsidRPr="004A0387">
              <w:rPr>
                <w:rFonts w:asciiTheme="minorHAnsi" w:hAnsiTheme="minorHAnsi"/>
                <w:sz w:val="18"/>
                <w:szCs w:val="18"/>
              </w:rPr>
              <w:t>14,33</w:t>
            </w:r>
          </w:p>
        </w:tc>
        <w:tc>
          <w:tcPr>
            <w:tcW w:w="1134" w:type="dxa"/>
            <w:tcBorders>
              <w:top w:val="nil"/>
              <w:left w:val="nil"/>
              <w:bottom w:val="single" w:sz="4" w:space="0" w:color="auto"/>
              <w:right w:val="single" w:sz="4" w:space="0" w:color="auto"/>
            </w:tcBorders>
            <w:shd w:val="clear" w:color="auto" w:fill="auto"/>
            <w:vAlign w:val="center"/>
          </w:tcPr>
          <w:p w:rsidR="00663198" w:rsidRPr="004A0387" w:rsidRDefault="00663198" w:rsidP="004A0387">
            <w:pPr>
              <w:spacing w:before="20" w:after="20"/>
              <w:ind w:right="212"/>
              <w:jc w:val="right"/>
              <w:rPr>
                <w:rFonts w:asciiTheme="minorHAnsi" w:hAnsiTheme="minorHAnsi" w:cs="Arial"/>
                <w:sz w:val="18"/>
                <w:szCs w:val="18"/>
              </w:rPr>
            </w:pPr>
            <w:r w:rsidRPr="004A0387">
              <w:rPr>
                <w:rFonts w:asciiTheme="minorHAnsi" w:hAnsiTheme="minorHAnsi"/>
                <w:sz w:val="18"/>
                <w:szCs w:val="18"/>
              </w:rPr>
              <w:t>12</w:t>
            </w:r>
          </w:p>
        </w:tc>
        <w:tc>
          <w:tcPr>
            <w:tcW w:w="1378" w:type="dxa"/>
            <w:tcBorders>
              <w:top w:val="single" w:sz="4" w:space="0" w:color="auto"/>
              <w:left w:val="nil"/>
              <w:bottom w:val="single" w:sz="4" w:space="0" w:color="auto"/>
              <w:right w:val="single" w:sz="4" w:space="0" w:color="auto"/>
            </w:tcBorders>
            <w:vAlign w:val="center"/>
          </w:tcPr>
          <w:p w:rsidR="00663198" w:rsidRPr="004A0387" w:rsidRDefault="00663198" w:rsidP="004A0387">
            <w:pPr>
              <w:spacing w:before="20" w:after="20"/>
              <w:ind w:right="418"/>
              <w:jc w:val="right"/>
              <w:rPr>
                <w:rFonts w:asciiTheme="minorHAnsi" w:hAnsiTheme="minorHAnsi" w:cs="Arial"/>
                <w:sz w:val="18"/>
                <w:szCs w:val="18"/>
              </w:rPr>
            </w:pPr>
            <w:r w:rsidRPr="004A0387">
              <w:rPr>
                <w:rFonts w:asciiTheme="minorHAnsi" w:hAnsiTheme="minorHAnsi"/>
                <w:sz w:val="18"/>
                <w:szCs w:val="18"/>
              </w:rPr>
              <w:t>10</w:t>
            </w:r>
          </w:p>
        </w:tc>
        <w:tc>
          <w:tcPr>
            <w:tcW w:w="1175" w:type="dxa"/>
            <w:tcBorders>
              <w:top w:val="nil"/>
              <w:left w:val="single" w:sz="4" w:space="0" w:color="auto"/>
              <w:bottom w:val="single" w:sz="4" w:space="0" w:color="auto"/>
              <w:right w:val="single" w:sz="4" w:space="0" w:color="auto"/>
            </w:tcBorders>
            <w:shd w:val="clear" w:color="auto" w:fill="auto"/>
            <w:noWrap/>
            <w:vAlign w:val="center"/>
          </w:tcPr>
          <w:p w:rsidR="00663198" w:rsidRPr="004A0387" w:rsidRDefault="00663198" w:rsidP="004A0387">
            <w:pPr>
              <w:spacing w:before="20" w:after="20"/>
              <w:ind w:right="212"/>
              <w:jc w:val="right"/>
              <w:rPr>
                <w:rFonts w:asciiTheme="minorHAnsi" w:hAnsiTheme="minorHAnsi" w:cs="Arial"/>
                <w:sz w:val="18"/>
                <w:szCs w:val="18"/>
              </w:rPr>
            </w:pPr>
            <w:r w:rsidRPr="004A0387">
              <w:rPr>
                <w:rFonts w:asciiTheme="minorHAnsi" w:hAnsiTheme="minorHAnsi"/>
                <w:sz w:val="18"/>
                <w:szCs w:val="18"/>
              </w:rPr>
              <w:t>172</w:t>
            </w:r>
          </w:p>
        </w:tc>
      </w:tr>
    </w:tbl>
    <w:p w:rsidR="00A530D2" w:rsidRPr="004A0387" w:rsidRDefault="00A530D2" w:rsidP="00A530D2">
      <w:pPr>
        <w:tabs>
          <w:tab w:val="left" w:pos="5393"/>
          <w:tab w:val="left" w:pos="6969"/>
          <w:tab w:val="left" w:pos="7909"/>
        </w:tabs>
        <w:ind w:left="682"/>
        <w:rPr>
          <w:rFonts w:asciiTheme="minorHAnsi" w:hAnsiTheme="minorHAnsi" w:cs="Arial"/>
          <w:b/>
          <w:bCs/>
          <w:sz w:val="18"/>
          <w:szCs w:val="18"/>
        </w:rPr>
      </w:pPr>
    </w:p>
    <w:tbl>
      <w:tblPr>
        <w:tblW w:w="6287" w:type="dxa"/>
        <w:tblInd w:w="682" w:type="dxa"/>
        <w:tblBorders>
          <w:top w:val="single" w:sz="4" w:space="0" w:color="auto"/>
          <w:left w:val="single" w:sz="4" w:space="0" w:color="auto"/>
          <w:bottom w:val="single" w:sz="4" w:space="0" w:color="auto"/>
          <w:right w:val="single" w:sz="4" w:space="0" w:color="auto"/>
          <w:insideH w:val="single" w:sz="4" w:space="0" w:color="auto"/>
        </w:tblBorders>
        <w:tblCellMar>
          <w:left w:w="70" w:type="dxa"/>
          <w:right w:w="70" w:type="dxa"/>
        </w:tblCellMar>
        <w:tblLook w:val="04A0" w:firstRow="1" w:lastRow="0" w:firstColumn="1" w:lastColumn="0" w:noHBand="0" w:noVBand="1"/>
      </w:tblPr>
      <w:tblGrid>
        <w:gridCol w:w="4711"/>
        <w:gridCol w:w="1576"/>
      </w:tblGrid>
      <w:tr w:rsidR="00A530D2" w:rsidRPr="004A0387" w:rsidTr="004A0387">
        <w:trPr>
          <w:trHeight w:val="20"/>
        </w:trPr>
        <w:tc>
          <w:tcPr>
            <w:tcW w:w="4711" w:type="dxa"/>
            <w:shd w:val="clear" w:color="auto" w:fill="auto"/>
            <w:noWrap/>
            <w:vAlign w:val="center"/>
          </w:tcPr>
          <w:p w:rsidR="00A530D2" w:rsidRPr="004A0387" w:rsidRDefault="00A530D2" w:rsidP="004A0387">
            <w:pPr>
              <w:spacing w:before="20" w:after="20"/>
              <w:rPr>
                <w:rFonts w:asciiTheme="minorHAnsi" w:hAnsiTheme="minorHAnsi" w:cs="Arial"/>
                <w:b/>
                <w:bCs/>
                <w:sz w:val="18"/>
                <w:szCs w:val="18"/>
              </w:rPr>
            </w:pPr>
            <w:bookmarkStart w:id="0" w:name="_GoBack"/>
            <w:r w:rsidRPr="004A0387">
              <w:rPr>
                <w:rFonts w:asciiTheme="minorHAnsi" w:hAnsiTheme="minorHAnsi"/>
                <w:b/>
                <w:bCs/>
                <w:sz w:val="18"/>
                <w:szCs w:val="18"/>
              </w:rPr>
              <w:t xml:space="preserve">Profesionalak, guztira </w:t>
            </w:r>
          </w:p>
        </w:tc>
        <w:tc>
          <w:tcPr>
            <w:tcW w:w="1576" w:type="dxa"/>
            <w:shd w:val="clear" w:color="auto" w:fill="auto"/>
            <w:noWrap/>
            <w:vAlign w:val="center"/>
          </w:tcPr>
          <w:p w:rsidR="00A530D2" w:rsidRPr="004A0387" w:rsidRDefault="00A530D2" w:rsidP="004A0387">
            <w:pPr>
              <w:spacing w:before="20" w:after="20"/>
              <w:rPr>
                <w:rFonts w:asciiTheme="minorHAnsi" w:hAnsiTheme="minorHAnsi" w:cs="Arial"/>
                <w:b/>
                <w:bCs/>
                <w:sz w:val="18"/>
                <w:szCs w:val="18"/>
              </w:rPr>
            </w:pPr>
            <w:r w:rsidRPr="004A0387">
              <w:rPr>
                <w:rFonts w:asciiTheme="minorHAnsi" w:hAnsiTheme="minorHAnsi"/>
                <w:b/>
                <w:bCs/>
                <w:sz w:val="18"/>
                <w:szCs w:val="18"/>
              </w:rPr>
              <w:t>9</w:t>
            </w:r>
          </w:p>
        </w:tc>
      </w:tr>
      <w:tr w:rsidR="00A530D2" w:rsidRPr="004A0387" w:rsidTr="004A0387">
        <w:trPr>
          <w:trHeight w:val="20"/>
        </w:trPr>
        <w:tc>
          <w:tcPr>
            <w:tcW w:w="4711" w:type="dxa"/>
            <w:shd w:val="clear" w:color="auto" w:fill="auto"/>
            <w:noWrap/>
            <w:vAlign w:val="center"/>
          </w:tcPr>
          <w:p w:rsidR="00A530D2" w:rsidRPr="004A0387" w:rsidRDefault="00A530D2" w:rsidP="004A0387">
            <w:pPr>
              <w:spacing w:before="20" w:after="20"/>
              <w:rPr>
                <w:rFonts w:asciiTheme="minorHAnsi" w:hAnsiTheme="minorHAnsi" w:cs="Arial"/>
                <w:b/>
                <w:bCs/>
                <w:sz w:val="18"/>
                <w:szCs w:val="18"/>
              </w:rPr>
            </w:pPr>
            <w:r w:rsidRPr="004A0387">
              <w:rPr>
                <w:rFonts w:asciiTheme="minorHAnsi" w:hAnsiTheme="minorHAnsi"/>
                <w:b/>
                <w:bCs/>
                <w:sz w:val="18"/>
                <w:szCs w:val="18"/>
              </w:rPr>
              <w:t>Seihilekoko orduak, guztira</w:t>
            </w:r>
          </w:p>
        </w:tc>
        <w:tc>
          <w:tcPr>
            <w:tcW w:w="1576" w:type="dxa"/>
            <w:shd w:val="clear" w:color="auto" w:fill="auto"/>
            <w:noWrap/>
            <w:vAlign w:val="center"/>
          </w:tcPr>
          <w:p w:rsidR="00A530D2" w:rsidRPr="004A0387" w:rsidRDefault="00A530D2" w:rsidP="004A0387">
            <w:pPr>
              <w:spacing w:before="20" w:after="20"/>
              <w:rPr>
                <w:rFonts w:asciiTheme="minorHAnsi" w:hAnsiTheme="minorHAnsi" w:cs="Arial"/>
                <w:b/>
                <w:bCs/>
                <w:sz w:val="18"/>
                <w:szCs w:val="18"/>
              </w:rPr>
            </w:pPr>
            <w:r w:rsidRPr="004A0387">
              <w:rPr>
                <w:rFonts w:asciiTheme="minorHAnsi" w:hAnsiTheme="minorHAnsi"/>
                <w:b/>
                <w:bCs/>
                <w:sz w:val="18"/>
                <w:szCs w:val="18"/>
              </w:rPr>
              <w:t>4.093,5</w:t>
            </w:r>
          </w:p>
        </w:tc>
      </w:tr>
      <w:bookmarkEnd w:id="0"/>
    </w:tbl>
    <w:p w:rsidR="00D738DA" w:rsidRDefault="00D738DA" w:rsidP="00663198">
      <w:pPr>
        <w:spacing w:after="120" w:line="360" w:lineRule="auto"/>
        <w:jc w:val="both"/>
        <w:rPr>
          <w:rFonts w:ascii="Arial" w:hAnsi="Arial" w:cs="Arial"/>
        </w:rPr>
      </w:pPr>
    </w:p>
    <w:p w:rsidR="00663198" w:rsidRPr="00663198" w:rsidRDefault="00663198" w:rsidP="00663198">
      <w:pPr>
        <w:spacing w:after="120" w:line="360" w:lineRule="auto"/>
        <w:jc w:val="both"/>
        <w:rPr>
          <w:rFonts w:ascii="Arial" w:hAnsi="Arial" w:cs="Arial"/>
        </w:rPr>
      </w:pPr>
    </w:p>
    <w:p w:rsidR="00D738DA" w:rsidRDefault="00A530D2" w:rsidP="00663198">
      <w:pPr>
        <w:spacing w:after="120" w:line="360" w:lineRule="auto"/>
        <w:jc w:val="both"/>
        <w:rPr>
          <w:rFonts w:ascii="Arial" w:hAnsi="Arial" w:cs="Arial"/>
        </w:rPr>
      </w:pPr>
      <w:r>
        <w:rPr>
          <w:rFonts w:ascii="Arial" w:hAnsi="Arial"/>
          <w:b/>
        </w:rPr>
        <w:t>(5)</w:t>
      </w:r>
      <w:r>
        <w:rPr>
          <w:rFonts w:ascii="Arial" w:hAnsi="Arial"/>
        </w:rPr>
        <w:t xml:space="preserve"> “Gure Sustraiak” Baserri-eskola lanerako prestatzeko zentroak honako programa hauek eskaintzen ditu:</w:t>
      </w:r>
    </w:p>
    <w:p w:rsidR="00663198" w:rsidRPr="00663198" w:rsidRDefault="00663198" w:rsidP="00A624C5">
      <w:pPr>
        <w:numPr>
          <w:ilvl w:val="0"/>
          <w:numId w:val="9"/>
        </w:numPr>
        <w:spacing w:after="120" w:line="360" w:lineRule="auto"/>
        <w:ind w:left="426" w:hanging="426"/>
        <w:jc w:val="both"/>
        <w:rPr>
          <w:rFonts w:ascii="Arial" w:hAnsi="Arial" w:cs="Arial"/>
        </w:rPr>
      </w:pPr>
      <w:r>
        <w:rPr>
          <w:rFonts w:ascii="Arial" w:hAnsi="Arial"/>
          <w:b/>
        </w:rPr>
        <w:t>Pertsonekin esku hartzeko arloa.</w:t>
      </w:r>
    </w:p>
    <w:p w:rsidR="00663198" w:rsidRPr="00663198" w:rsidRDefault="00663198" w:rsidP="00A624C5">
      <w:pPr>
        <w:spacing w:after="120" w:line="360" w:lineRule="auto"/>
        <w:ind w:left="426"/>
        <w:jc w:val="both"/>
        <w:rPr>
          <w:rFonts w:ascii="Arial" w:hAnsi="Arial" w:cs="Arial"/>
        </w:rPr>
      </w:pPr>
      <w:r>
        <w:rPr>
          <w:rFonts w:ascii="Arial" w:hAnsi="Arial"/>
        </w:rPr>
        <w:t xml:space="preserve">Arlo honek hiru programa dauzka: Heziketako/lanerako prestatzeko eta lan arloko programa bat; autonomiari eta osasunari buruzko programa bat eta garapen pertsonal eta sozialeko programa bat. Programa horiek 12 tailer zehatzen bitartez garatzen dira; horietatik, 6 terapia </w:t>
      </w:r>
      <w:proofErr w:type="spellStart"/>
      <w:r>
        <w:rPr>
          <w:rFonts w:ascii="Arial" w:hAnsi="Arial"/>
        </w:rPr>
        <w:t>okupazionaleko</w:t>
      </w:r>
      <w:proofErr w:type="spellEnd"/>
      <w:r>
        <w:rPr>
          <w:rFonts w:ascii="Arial" w:hAnsi="Arial"/>
        </w:rPr>
        <w:t xml:space="preserve"> zerbitzuari dagozkio eta 5 doikuntza pertsonaleko eta sozialeko zerbitzuari. </w:t>
      </w:r>
    </w:p>
    <w:p w:rsidR="00663198" w:rsidRPr="00663198" w:rsidRDefault="00663198" w:rsidP="00A624C5">
      <w:pPr>
        <w:numPr>
          <w:ilvl w:val="0"/>
          <w:numId w:val="10"/>
        </w:numPr>
        <w:spacing w:before="240" w:after="120" w:line="360" w:lineRule="auto"/>
        <w:jc w:val="both"/>
        <w:rPr>
          <w:rFonts w:ascii="Arial" w:hAnsi="Arial" w:cs="Arial"/>
          <w:b/>
        </w:rPr>
      </w:pPr>
      <w:r>
        <w:rPr>
          <w:rFonts w:ascii="Arial" w:hAnsi="Arial"/>
          <w:b/>
        </w:rPr>
        <w:t>Heziketako/lanerako prestatzeko eta lan arloko programa</w:t>
      </w:r>
    </w:p>
    <w:p w:rsidR="00663198" w:rsidRPr="00663198" w:rsidRDefault="00663198" w:rsidP="00A624C5">
      <w:pPr>
        <w:spacing w:after="120" w:line="360" w:lineRule="auto"/>
        <w:ind w:left="709"/>
        <w:jc w:val="both"/>
        <w:rPr>
          <w:rFonts w:ascii="Arial" w:hAnsi="Arial" w:cs="Arial"/>
        </w:rPr>
      </w:pPr>
      <w:r>
        <w:rPr>
          <w:rFonts w:ascii="Arial" w:hAnsi="Arial"/>
        </w:rPr>
        <w:t xml:space="preserve">Modulu honen garapenean bilatuko da, besteak </w:t>
      </w:r>
      <w:proofErr w:type="spellStart"/>
      <w:r>
        <w:rPr>
          <w:rFonts w:ascii="Arial" w:hAnsi="Arial"/>
        </w:rPr>
        <w:t>beste</w:t>
      </w:r>
      <w:proofErr w:type="spellEnd"/>
      <w:r>
        <w:rPr>
          <w:rFonts w:ascii="Arial" w:hAnsi="Arial"/>
        </w:rPr>
        <w:t xml:space="preserve">, </w:t>
      </w:r>
      <w:proofErr w:type="spellStart"/>
      <w:r>
        <w:rPr>
          <w:rFonts w:ascii="Arial" w:hAnsi="Arial"/>
        </w:rPr>
        <w:t>desgaitasun</w:t>
      </w:r>
      <w:proofErr w:type="spellEnd"/>
      <w:r>
        <w:rPr>
          <w:rFonts w:ascii="Arial" w:hAnsi="Arial"/>
        </w:rPr>
        <w:t xml:space="preserve"> intelektuala duen edo jokabide- eta portaera-arazoak dituen pertsona lanerako prestatzeko zentroaren ingurune fisikoan eta sozialean egokitzea, eta egokitze hori modu egokian gerta dadila, eta pertsona hori gauza izan dadila bertan egiten diren jarduerak barneratzeko.</w:t>
      </w:r>
    </w:p>
    <w:p w:rsidR="00663198" w:rsidRPr="00663198" w:rsidRDefault="00663198" w:rsidP="00A624C5">
      <w:pPr>
        <w:spacing w:after="120" w:line="360" w:lineRule="auto"/>
        <w:ind w:left="709"/>
        <w:jc w:val="both"/>
        <w:rPr>
          <w:rFonts w:ascii="Arial" w:hAnsi="Arial" w:cs="Arial"/>
        </w:rPr>
      </w:pPr>
      <w:r>
        <w:rPr>
          <w:rFonts w:ascii="Arial" w:hAnsi="Arial"/>
        </w:rPr>
        <w:t>Programa horren barruan, honako tailer hauek eramanen dira aurrera:</w:t>
      </w:r>
    </w:p>
    <w:p w:rsidR="00663198" w:rsidRPr="00663198" w:rsidRDefault="00663198" w:rsidP="00A624C5">
      <w:pPr>
        <w:spacing w:after="120" w:line="360" w:lineRule="auto"/>
        <w:ind w:left="709"/>
        <w:jc w:val="both"/>
        <w:rPr>
          <w:rFonts w:ascii="Arial" w:hAnsi="Arial" w:cs="Arial"/>
        </w:rPr>
      </w:pPr>
      <w:r>
        <w:rPr>
          <w:rFonts w:ascii="Arial" w:hAnsi="Arial"/>
        </w:rPr>
        <w:t>-Orientaziorako eta lanerako gaikuntza hartzeko tailerra.</w:t>
      </w:r>
    </w:p>
    <w:p w:rsidR="00663198" w:rsidRPr="00663198" w:rsidRDefault="00663198" w:rsidP="00A624C5">
      <w:pPr>
        <w:spacing w:after="120" w:line="360" w:lineRule="auto"/>
        <w:ind w:left="709"/>
        <w:jc w:val="both"/>
        <w:rPr>
          <w:rFonts w:ascii="Arial" w:hAnsi="Arial" w:cs="Arial"/>
        </w:rPr>
      </w:pPr>
      <w:r>
        <w:rPr>
          <w:rFonts w:ascii="Arial" w:hAnsi="Arial"/>
        </w:rPr>
        <w:t>-Laneko tailerra.</w:t>
      </w:r>
    </w:p>
    <w:p w:rsidR="00663198" w:rsidRPr="00663198" w:rsidRDefault="00663198" w:rsidP="00A624C5">
      <w:pPr>
        <w:spacing w:after="120" w:line="360" w:lineRule="auto"/>
        <w:ind w:left="709"/>
        <w:jc w:val="both"/>
        <w:rPr>
          <w:rFonts w:ascii="Arial" w:hAnsi="Arial" w:cs="Arial"/>
        </w:rPr>
      </w:pPr>
      <w:r>
        <w:rPr>
          <w:rFonts w:ascii="Arial" w:hAnsi="Arial"/>
        </w:rPr>
        <w:t xml:space="preserve">-Banakako ibilbideen </w:t>
      </w:r>
      <w:proofErr w:type="spellStart"/>
      <w:r>
        <w:rPr>
          <w:rFonts w:ascii="Arial" w:hAnsi="Arial"/>
        </w:rPr>
        <w:t>enplegagarritasunerako</w:t>
      </w:r>
      <w:proofErr w:type="spellEnd"/>
      <w:r>
        <w:rPr>
          <w:rFonts w:ascii="Arial" w:hAnsi="Arial"/>
        </w:rPr>
        <w:t xml:space="preserve"> tailerra.</w:t>
      </w:r>
    </w:p>
    <w:p w:rsidR="00663198" w:rsidRPr="00663198" w:rsidRDefault="00663198" w:rsidP="00A624C5">
      <w:pPr>
        <w:spacing w:after="120" w:line="360" w:lineRule="auto"/>
        <w:ind w:left="709"/>
        <w:jc w:val="both"/>
        <w:rPr>
          <w:rFonts w:ascii="Arial" w:hAnsi="Arial" w:cs="Arial"/>
        </w:rPr>
      </w:pPr>
      <w:r>
        <w:rPr>
          <w:rFonts w:ascii="Arial" w:hAnsi="Arial"/>
        </w:rPr>
        <w:t>-Laguntza emateko eta enplegua bilatzeko tailerra.</w:t>
      </w:r>
    </w:p>
    <w:p w:rsidR="00663198" w:rsidRPr="00663198" w:rsidRDefault="00A624C5" w:rsidP="00A624C5">
      <w:pPr>
        <w:spacing w:after="120" w:line="360" w:lineRule="auto"/>
        <w:ind w:left="709"/>
        <w:jc w:val="both"/>
        <w:rPr>
          <w:rFonts w:ascii="Arial" w:hAnsi="Arial" w:cs="Arial"/>
        </w:rPr>
      </w:pPr>
      <w:r>
        <w:rPr>
          <w:rFonts w:ascii="Arial" w:hAnsi="Arial"/>
        </w:rPr>
        <w:t>-Ingurumen heziketako tailerra eta granjako tailerra.</w:t>
      </w:r>
    </w:p>
    <w:p w:rsidR="00D738DA" w:rsidRDefault="00A624C5" w:rsidP="00A624C5">
      <w:pPr>
        <w:spacing w:after="120" w:line="360" w:lineRule="auto"/>
        <w:ind w:left="709"/>
        <w:jc w:val="both"/>
        <w:rPr>
          <w:rFonts w:ascii="Arial" w:hAnsi="Arial" w:cs="Arial"/>
        </w:rPr>
      </w:pPr>
      <w:r>
        <w:rPr>
          <w:rFonts w:ascii="Arial" w:hAnsi="Arial"/>
        </w:rPr>
        <w:t>-Baratzeko eta lorezaintzako tailerra.</w:t>
      </w:r>
    </w:p>
    <w:p w:rsidR="00663198" w:rsidRPr="00663198" w:rsidRDefault="00663198" w:rsidP="00663198">
      <w:pPr>
        <w:numPr>
          <w:ilvl w:val="0"/>
          <w:numId w:val="10"/>
        </w:numPr>
        <w:spacing w:after="120" w:line="360" w:lineRule="auto"/>
        <w:jc w:val="both"/>
        <w:rPr>
          <w:rFonts w:ascii="Arial" w:hAnsi="Arial" w:cs="Arial"/>
          <w:b/>
        </w:rPr>
      </w:pPr>
      <w:r>
        <w:rPr>
          <w:rFonts w:ascii="Arial" w:hAnsi="Arial"/>
          <w:b/>
        </w:rPr>
        <w:lastRenderedPageBreak/>
        <w:t>Autonomia funtzionalari eta osasunari buruzko programa</w:t>
      </w:r>
    </w:p>
    <w:p w:rsidR="00776C9D" w:rsidRPr="00776C9D" w:rsidRDefault="00776C9D" w:rsidP="00776C9D">
      <w:pPr>
        <w:spacing w:after="120" w:line="360" w:lineRule="auto"/>
        <w:ind w:left="709"/>
        <w:jc w:val="both"/>
        <w:rPr>
          <w:rFonts w:ascii="Arial" w:hAnsi="Arial" w:cs="Arial"/>
        </w:rPr>
      </w:pPr>
      <w:r>
        <w:rPr>
          <w:rFonts w:ascii="Arial" w:hAnsi="Arial"/>
        </w:rPr>
        <w:t xml:space="preserve">Programa honek osatu nahi ditu ohitura kaltegarriei edo bestelako arrisku-faktoreei buruz egiten diren prebentzio-ekintzak, bizi-estilo osasungarriagoak sustatzera bideratutako ekintzen bitartez. </w:t>
      </w:r>
    </w:p>
    <w:p w:rsidR="00776C9D" w:rsidRPr="00776C9D" w:rsidRDefault="00776C9D" w:rsidP="00776C9D">
      <w:pPr>
        <w:spacing w:after="120" w:line="360" w:lineRule="auto"/>
        <w:ind w:left="709"/>
        <w:jc w:val="both"/>
        <w:rPr>
          <w:rFonts w:ascii="Arial" w:hAnsi="Arial" w:cs="Arial"/>
        </w:rPr>
      </w:pPr>
      <w:r>
        <w:rPr>
          <w:rFonts w:ascii="Arial" w:hAnsi="Arial"/>
        </w:rPr>
        <w:t>Horretarako, urtean zehar gai desberdinak lantzen dira: elikadura osasungarria, elikadura, higienea, atsedena, ariketa, aisialdi osasungarria, sexualitatearen bizipen segurua eta abar.</w:t>
      </w:r>
    </w:p>
    <w:p w:rsidR="00D738DA" w:rsidRDefault="00776C9D" w:rsidP="00776C9D">
      <w:pPr>
        <w:spacing w:after="120" w:line="360" w:lineRule="auto"/>
        <w:ind w:left="709"/>
        <w:jc w:val="both"/>
        <w:rPr>
          <w:rFonts w:ascii="Arial" w:hAnsi="Arial" w:cs="Arial"/>
        </w:rPr>
      </w:pPr>
      <w:r>
        <w:rPr>
          <w:rFonts w:ascii="Arial" w:hAnsi="Arial"/>
        </w:rPr>
        <w:t>Halaber, prestakuntza-ekintzak eginen dira bizi-estilo osasungarriak sustatzeko.</w:t>
      </w:r>
    </w:p>
    <w:p w:rsidR="00776C9D" w:rsidRPr="00776C9D" w:rsidRDefault="00776C9D" w:rsidP="00776C9D">
      <w:pPr>
        <w:numPr>
          <w:ilvl w:val="0"/>
          <w:numId w:val="10"/>
        </w:numPr>
        <w:spacing w:after="120" w:line="360" w:lineRule="auto"/>
        <w:jc w:val="both"/>
        <w:rPr>
          <w:rFonts w:ascii="Arial" w:hAnsi="Arial" w:cs="Arial"/>
          <w:b/>
        </w:rPr>
      </w:pPr>
      <w:r>
        <w:rPr>
          <w:rFonts w:ascii="Arial" w:hAnsi="Arial"/>
          <w:b/>
        </w:rPr>
        <w:t>Garapen pertsonal eta sozialeko programa.</w:t>
      </w:r>
    </w:p>
    <w:p w:rsidR="00663198" w:rsidRPr="00663198" w:rsidRDefault="00663198" w:rsidP="00776C9D">
      <w:pPr>
        <w:spacing w:after="120" w:line="360" w:lineRule="auto"/>
        <w:ind w:left="709"/>
        <w:jc w:val="both"/>
        <w:rPr>
          <w:rFonts w:ascii="Arial" w:hAnsi="Arial" w:cs="Arial"/>
        </w:rPr>
      </w:pPr>
      <w:r>
        <w:rPr>
          <w:rFonts w:ascii="Arial" w:hAnsi="Arial"/>
        </w:rPr>
        <w:t xml:space="preserve">Programa honetan behar diren laguntzen maila ebaluatuko da, kasuan-kasuan, </w:t>
      </w:r>
      <w:proofErr w:type="spellStart"/>
      <w:r>
        <w:rPr>
          <w:rFonts w:ascii="Arial" w:hAnsi="Arial"/>
        </w:rPr>
        <w:t>desgaitasun</w:t>
      </w:r>
      <w:proofErr w:type="spellEnd"/>
      <w:r>
        <w:rPr>
          <w:rFonts w:ascii="Arial" w:hAnsi="Arial"/>
        </w:rPr>
        <w:t xml:space="preserve"> intelektuala duen pertsonak </w:t>
      </w:r>
      <w:proofErr w:type="spellStart"/>
      <w:r>
        <w:rPr>
          <w:rFonts w:ascii="Arial" w:hAnsi="Arial"/>
        </w:rPr>
        <w:t>edo/eta</w:t>
      </w:r>
      <w:proofErr w:type="spellEnd"/>
      <w:r>
        <w:rPr>
          <w:rFonts w:ascii="Arial" w:hAnsi="Arial"/>
        </w:rPr>
        <w:t xml:space="preserve"> jokabide- edo portaera-arazoak dituenak eguneroko bizitzaren oinarrizko jarduerak eta tresna-jarduerak egin ahal ditzan ahal den autonomia-maila handienarekin. Laguntza horiek zehazteko, ikusiko da </w:t>
      </w:r>
      <w:proofErr w:type="spellStart"/>
      <w:r>
        <w:rPr>
          <w:rFonts w:ascii="Arial" w:hAnsi="Arial"/>
        </w:rPr>
        <w:t>desgaitasuna</w:t>
      </w:r>
      <w:proofErr w:type="spellEnd"/>
      <w:r>
        <w:rPr>
          <w:rFonts w:ascii="Arial" w:hAnsi="Arial"/>
        </w:rPr>
        <w:t xml:space="preserve"> duten pertsonak nola moldatzen diren jarduera horiek egiterakoan. Honako tailer hauek eginen dira: </w:t>
      </w:r>
    </w:p>
    <w:p w:rsidR="00663198" w:rsidRPr="00663198" w:rsidRDefault="00663198" w:rsidP="00A624C5">
      <w:pPr>
        <w:spacing w:after="120" w:line="360" w:lineRule="auto"/>
        <w:ind w:left="709"/>
        <w:jc w:val="both"/>
        <w:rPr>
          <w:rFonts w:ascii="Arial" w:hAnsi="Arial" w:cs="Arial"/>
        </w:rPr>
      </w:pPr>
      <w:r>
        <w:rPr>
          <w:rFonts w:ascii="Arial" w:hAnsi="Arial"/>
        </w:rPr>
        <w:t xml:space="preserve">-Estimulazioko eta mantentze </w:t>
      </w:r>
      <w:proofErr w:type="spellStart"/>
      <w:r>
        <w:rPr>
          <w:rFonts w:ascii="Arial" w:hAnsi="Arial"/>
        </w:rPr>
        <w:t>psiko-fisikoko</w:t>
      </w:r>
      <w:proofErr w:type="spellEnd"/>
      <w:r>
        <w:rPr>
          <w:rFonts w:ascii="Arial" w:hAnsi="Arial"/>
        </w:rPr>
        <w:t xml:space="preserve"> tailerra.</w:t>
      </w:r>
    </w:p>
    <w:p w:rsidR="00663198" w:rsidRPr="00663198" w:rsidRDefault="00663198" w:rsidP="00A624C5">
      <w:pPr>
        <w:spacing w:after="120" w:line="360" w:lineRule="auto"/>
        <w:ind w:left="709"/>
        <w:jc w:val="both"/>
        <w:rPr>
          <w:rFonts w:ascii="Arial" w:hAnsi="Arial" w:cs="Arial"/>
        </w:rPr>
      </w:pPr>
      <w:r>
        <w:rPr>
          <w:rFonts w:ascii="Arial" w:hAnsi="Arial"/>
        </w:rPr>
        <w:t>-Dolu- edo krisi-egoeretarako laguntza-tailerra.</w:t>
      </w:r>
    </w:p>
    <w:p w:rsidR="00663198" w:rsidRPr="00663198" w:rsidRDefault="00D738DA" w:rsidP="00A624C5">
      <w:pPr>
        <w:spacing w:after="120" w:line="360" w:lineRule="auto"/>
        <w:ind w:left="709"/>
        <w:jc w:val="both"/>
        <w:rPr>
          <w:rFonts w:ascii="Arial" w:hAnsi="Arial" w:cs="Arial"/>
        </w:rPr>
      </w:pPr>
      <w:r>
        <w:rPr>
          <w:rFonts w:ascii="Arial" w:hAnsi="Arial"/>
        </w:rPr>
        <w:t xml:space="preserve">-Tailer </w:t>
      </w:r>
      <w:proofErr w:type="spellStart"/>
      <w:r>
        <w:rPr>
          <w:rFonts w:ascii="Arial" w:hAnsi="Arial"/>
        </w:rPr>
        <w:t>psikosoziala</w:t>
      </w:r>
      <w:proofErr w:type="spellEnd"/>
      <w:r>
        <w:rPr>
          <w:rFonts w:ascii="Arial" w:hAnsi="Arial"/>
        </w:rPr>
        <w:t>.</w:t>
      </w:r>
    </w:p>
    <w:p w:rsidR="00663198" w:rsidRPr="00663198" w:rsidRDefault="00663198" w:rsidP="00A624C5">
      <w:pPr>
        <w:spacing w:after="120" w:line="360" w:lineRule="auto"/>
        <w:ind w:left="709"/>
        <w:jc w:val="both"/>
        <w:rPr>
          <w:rFonts w:ascii="Arial" w:hAnsi="Arial" w:cs="Arial"/>
        </w:rPr>
      </w:pPr>
      <w:r>
        <w:rPr>
          <w:rFonts w:ascii="Arial" w:hAnsi="Arial"/>
        </w:rPr>
        <w:t>-Autodeterminazioa eta parte-hartzea sustatzeko tailerra.</w:t>
      </w:r>
    </w:p>
    <w:p w:rsidR="00D738DA" w:rsidRDefault="00663198" w:rsidP="00A624C5">
      <w:pPr>
        <w:spacing w:after="120" w:line="360" w:lineRule="auto"/>
        <w:ind w:left="709"/>
        <w:jc w:val="both"/>
        <w:rPr>
          <w:rFonts w:ascii="Arial" w:hAnsi="Arial" w:cs="Arial"/>
        </w:rPr>
      </w:pPr>
      <w:r>
        <w:rPr>
          <w:rFonts w:ascii="Arial" w:hAnsi="Arial"/>
        </w:rPr>
        <w:t>-Heziketa sexualeko tailerra.</w:t>
      </w:r>
    </w:p>
    <w:p w:rsidR="00663198" w:rsidRPr="00663198" w:rsidRDefault="00663198" w:rsidP="00A624C5">
      <w:pPr>
        <w:numPr>
          <w:ilvl w:val="0"/>
          <w:numId w:val="9"/>
        </w:numPr>
        <w:spacing w:after="120" w:line="360" w:lineRule="auto"/>
        <w:ind w:left="426" w:hanging="426"/>
        <w:jc w:val="both"/>
        <w:rPr>
          <w:rFonts w:ascii="Arial" w:hAnsi="Arial" w:cs="Arial"/>
          <w:b/>
        </w:rPr>
      </w:pPr>
      <w:r>
        <w:rPr>
          <w:rFonts w:ascii="Arial" w:hAnsi="Arial"/>
          <w:b/>
        </w:rPr>
        <w:t>Familiako esku-hartzerako arloa.</w:t>
      </w:r>
    </w:p>
    <w:p w:rsidR="00D738DA" w:rsidRDefault="00C94842" w:rsidP="00A624C5">
      <w:pPr>
        <w:spacing w:after="120" w:line="360" w:lineRule="auto"/>
        <w:ind w:left="426"/>
        <w:jc w:val="both"/>
        <w:rPr>
          <w:rFonts w:ascii="Arial" w:hAnsi="Arial" w:cs="Arial"/>
        </w:rPr>
      </w:pPr>
      <w:r>
        <w:rPr>
          <w:rFonts w:ascii="Arial" w:hAnsi="Arial"/>
        </w:rPr>
        <w:t xml:space="preserve">Programa honetan landuko da (lanerako prestatzeko zentroko profesionalekin, familiarekin eta lanerako prestatzeko zentroan artatutako pertsonekin batera) familia-harremanari eustearen garrantzia </w:t>
      </w:r>
      <w:proofErr w:type="spellStart"/>
      <w:r>
        <w:rPr>
          <w:rFonts w:ascii="Arial" w:hAnsi="Arial"/>
        </w:rPr>
        <w:t>desgaitasuna</w:t>
      </w:r>
      <w:proofErr w:type="spellEnd"/>
      <w:r>
        <w:rPr>
          <w:rFonts w:ascii="Arial" w:hAnsi="Arial"/>
        </w:rPr>
        <w:t xml:space="preserve"> </w:t>
      </w:r>
      <w:proofErr w:type="spellStart"/>
      <w:r>
        <w:rPr>
          <w:rFonts w:ascii="Arial" w:hAnsi="Arial"/>
        </w:rPr>
        <w:t>edo/eta</w:t>
      </w:r>
      <w:proofErr w:type="spellEnd"/>
      <w:r>
        <w:rPr>
          <w:rFonts w:ascii="Arial" w:hAnsi="Arial"/>
        </w:rPr>
        <w:t xml:space="preserve"> jokabide- edo portaera-arazoak dituzten pertsonek ongizate </w:t>
      </w:r>
      <w:proofErr w:type="spellStart"/>
      <w:r>
        <w:rPr>
          <w:rFonts w:ascii="Arial" w:hAnsi="Arial"/>
        </w:rPr>
        <w:t>biopsikosozial</w:t>
      </w:r>
      <w:proofErr w:type="spellEnd"/>
      <w:r>
        <w:rPr>
          <w:rFonts w:ascii="Arial" w:hAnsi="Arial"/>
        </w:rPr>
        <w:t xml:space="preserve"> egokia lor dezaten.  </w:t>
      </w:r>
    </w:p>
    <w:p w:rsidR="00D738DA" w:rsidRDefault="00D738DA" w:rsidP="00A624C5">
      <w:pPr>
        <w:spacing w:after="120" w:line="360" w:lineRule="auto"/>
        <w:ind w:left="426"/>
        <w:jc w:val="both"/>
        <w:rPr>
          <w:rFonts w:ascii="Arial" w:hAnsi="Arial" w:cs="Arial"/>
        </w:rPr>
      </w:pPr>
    </w:p>
    <w:p w:rsidR="00663198" w:rsidRPr="00663198" w:rsidRDefault="00663198" w:rsidP="00663198">
      <w:pPr>
        <w:numPr>
          <w:ilvl w:val="0"/>
          <w:numId w:val="10"/>
        </w:numPr>
        <w:spacing w:after="120" w:line="360" w:lineRule="auto"/>
        <w:jc w:val="both"/>
        <w:rPr>
          <w:rFonts w:ascii="Arial" w:hAnsi="Arial" w:cs="Arial"/>
          <w:b/>
        </w:rPr>
      </w:pPr>
      <w:r>
        <w:rPr>
          <w:rFonts w:ascii="Arial" w:hAnsi="Arial"/>
          <w:b/>
        </w:rPr>
        <w:t>Orientabideko eta familiarekin lankidetzan jarduteko programak.</w:t>
      </w:r>
    </w:p>
    <w:p w:rsidR="00D738DA" w:rsidRDefault="00663198" w:rsidP="00A624C5">
      <w:pPr>
        <w:spacing w:after="120" w:line="360" w:lineRule="auto"/>
        <w:ind w:left="709"/>
        <w:jc w:val="both"/>
        <w:rPr>
          <w:rFonts w:ascii="Arial" w:hAnsi="Arial" w:cs="Arial"/>
        </w:rPr>
      </w:pPr>
      <w:r>
        <w:rPr>
          <w:rFonts w:ascii="Arial" w:hAnsi="Arial"/>
        </w:rPr>
        <w:t xml:space="preserve">Programa honen helburua da komunikazio eta koordinazio egokiak bermatzea lanerako prestatzeko zentroan artatutako pertsonen familiekin, lan sozial eta hezkuntzakoak </w:t>
      </w:r>
      <w:proofErr w:type="spellStart"/>
      <w:r>
        <w:rPr>
          <w:rFonts w:ascii="Arial" w:hAnsi="Arial"/>
        </w:rPr>
        <w:t>desgaitasun</w:t>
      </w:r>
      <w:proofErr w:type="spellEnd"/>
      <w:r>
        <w:rPr>
          <w:rFonts w:ascii="Arial" w:hAnsi="Arial"/>
        </w:rPr>
        <w:t xml:space="preserve"> intelektuala </w:t>
      </w:r>
      <w:proofErr w:type="spellStart"/>
      <w:r>
        <w:rPr>
          <w:rFonts w:ascii="Arial" w:hAnsi="Arial"/>
        </w:rPr>
        <w:t>edo/eta</w:t>
      </w:r>
      <w:proofErr w:type="spellEnd"/>
      <w:r>
        <w:rPr>
          <w:rFonts w:ascii="Arial" w:hAnsi="Arial"/>
        </w:rPr>
        <w:t xml:space="preserve"> jokabide- eta portaera-arazoak dituzten pertsonengan duen eragina optimizatzeko.</w:t>
      </w:r>
    </w:p>
    <w:p w:rsidR="00663198" w:rsidRPr="00663198" w:rsidRDefault="00663198" w:rsidP="00663198">
      <w:pPr>
        <w:numPr>
          <w:ilvl w:val="0"/>
          <w:numId w:val="10"/>
        </w:numPr>
        <w:spacing w:after="120" w:line="360" w:lineRule="auto"/>
        <w:jc w:val="both"/>
        <w:rPr>
          <w:rFonts w:ascii="Arial" w:hAnsi="Arial" w:cs="Arial"/>
          <w:b/>
        </w:rPr>
      </w:pPr>
      <w:r>
        <w:rPr>
          <w:rFonts w:ascii="Arial" w:hAnsi="Arial"/>
          <w:b/>
        </w:rPr>
        <w:t xml:space="preserve">Esku-hartzerako edo familiako bitartekaritzako programak </w:t>
      </w:r>
    </w:p>
    <w:p w:rsidR="00D738DA" w:rsidRDefault="00663198" w:rsidP="00A624C5">
      <w:pPr>
        <w:spacing w:after="120" w:line="360" w:lineRule="auto"/>
        <w:ind w:left="709"/>
        <w:jc w:val="both"/>
        <w:rPr>
          <w:rFonts w:ascii="Arial" w:hAnsi="Arial" w:cs="Arial"/>
        </w:rPr>
      </w:pPr>
      <w:r>
        <w:rPr>
          <w:rFonts w:ascii="Arial" w:hAnsi="Arial"/>
        </w:rPr>
        <w:t xml:space="preserve">Programa honen bitartez prestakuntza eta informazioa emanen zaie lanerako prestatzeko zentroan dauden eta </w:t>
      </w:r>
      <w:proofErr w:type="spellStart"/>
      <w:r>
        <w:rPr>
          <w:rFonts w:ascii="Arial" w:hAnsi="Arial"/>
        </w:rPr>
        <w:t>desgaitasun</w:t>
      </w:r>
      <w:proofErr w:type="spellEnd"/>
      <w:r>
        <w:rPr>
          <w:rFonts w:ascii="Arial" w:hAnsi="Arial"/>
        </w:rPr>
        <w:t xml:space="preserve"> intelektuala </w:t>
      </w:r>
      <w:proofErr w:type="spellStart"/>
      <w:r>
        <w:rPr>
          <w:rFonts w:ascii="Arial" w:hAnsi="Arial"/>
        </w:rPr>
        <w:t>edo/eta</w:t>
      </w:r>
      <w:proofErr w:type="spellEnd"/>
      <w:r>
        <w:rPr>
          <w:rFonts w:ascii="Arial" w:hAnsi="Arial"/>
        </w:rPr>
        <w:t xml:space="preserve"> jokabide- eta portaera-arazoak dituzten pertsonen familiei, beren senideei beharrizanei buruz eta </w:t>
      </w:r>
      <w:proofErr w:type="spellStart"/>
      <w:r>
        <w:rPr>
          <w:rFonts w:ascii="Arial" w:hAnsi="Arial"/>
        </w:rPr>
        <w:t>desgaitasuna</w:t>
      </w:r>
      <w:proofErr w:type="spellEnd"/>
      <w:r>
        <w:rPr>
          <w:rFonts w:ascii="Arial" w:hAnsi="Arial"/>
        </w:rPr>
        <w:t xml:space="preserve"> duten pertsonek beren gaitasunak ahal den guztian garatzeko behar dituzten laguntzak emateko moduari buruz. Halaber, beharrezkoa balitz, </w:t>
      </w:r>
      <w:proofErr w:type="spellStart"/>
      <w:r>
        <w:rPr>
          <w:rFonts w:ascii="Arial" w:hAnsi="Arial"/>
        </w:rPr>
        <w:t>desgaitasuna</w:t>
      </w:r>
      <w:proofErr w:type="spellEnd"/>
      <w:r>
        <w:rPr>
          <w:rFonts w:ascii="Arial" w:hAnsi="Arial"/>
        </w:rPr>
        <w:t xml:space="preserve"> </w:t>
      </w:r>
      <w:proofErr w:type="spellStart"/>
      <w:r>
        <w:rPr>
          <w:rFonts w:ascii="Arial" w:hAnsi="Arial"/>
        </w:rPr>
        <w:t>edo/eta</w:t>
      </w:r>
      <w:proofErr w:type="spellEnd"/>
      <w:r>
        <w:rPr>
          <w:rFonts w:ascii="Arial" w:hAnsi="Arial"/>
        </w:rPr>
        <w:t xml:space="preserve"> jokabide- eta portaera-arazoak dituzten pertsona horien aurrerabidea zailtzen edo eragozten dituzten gatazketan esku hartuko da.</w:t>
      </w:r>
    </w:p>
    <w:p w:rsidR="00663198" w:rsidRPr="00663198" w:rsidRDefault="00663198" w:rsidP="00A624C5">
      <w:pPr>
        <w:numPr>
          <w:ilvl w:val="0"/>
          <w:numId w:val="9"/>
        </w:numPr>
        <w:spacing w:after="120" w:line="360" w:lineRule="auto"/>
        <w:ind w:left="426" w:hanging="426"/>
        <w:jc w:val="both"/>
        <w:rPr>
          <w:rFonts w:ascii="Arial" w:hAnsi="Arial" w:cs="Arial"/>
          <w:b/>
        </w:rPr>
      </w:pPr>
      <w:r>
        <w:rPr>
          <w:rFonts w:ascii="Arial" w:hAnsi="Arial"/>
          <w:b/>
        </w:rPr>
        <w:t>Ingurumenean eta gizartean esku-hartzearen arloa.</w:t>
      </w:r>
    </w:p>
    <w:p w:rsidR="00D738DA" w:rsidRDefault="00663198" w:rsidP="00A624C5">
      <w:pPr>
        <w:spacing w:after="120" w:line="360" w:lineRule="auto"/>
        <w:ind w:left="426"/>
        <w:jc w:val="both"/>
        <w:rPr>
          <w:rFonts w:ascii="Arial" w:hAnsi="Arial" w:cs="Arial"/>
        </w:rPr>
      </w:pPr>
      <w:r>
        <w:rPr>
          <w:rFonts w:ascii="Arial" w:hAnsi="Arial"/>
        </w:rPr>
        <w:t xml:space="preserve">Programa honetan landuko da pertsona guztien gizarteko parte-hartzearen eta </w:t>
      </w:r>
      <w:proofErr w:type="spellStart"/>
      <w:r>
        <w:rPr>
          <w:rFonts w:ascii="Arial" w:hAnsi="Arial"/>
        </w:rPr>
        <w:t>inklusioaren</w:t>
      </w:r>
      <w:proofErr w:type="spellEnd"/>
      <w:r>
        <w:rPr>
          <w:rFonts w:ascii="Arial" w:hAnsi="Arial"/>
        </w:rPr>
        <w:t xml:space="preserve"> sustapena. Horretarako aukera-berdintasuna sustatzearen inguruko jarduerak eginen dira, ekintza positiboko neurriak hartuz, diskriminazio-sistemak ezabatuz eta herritarrak, oro har, sentsibilizatuz </w:t>
      </w:r>
      <w:proofErr w:type="spellStart"/>
      <w:r>
        <w:rPr>
          <w:rFonts w:ascii="Arial" w:hAnsi="Arial"/>
        </w:rPr>
        <w:t>desgaitasun</w:t>
      </w:r>
      <w:proofErr w:type="spellEnd"/>
      <w:r>
        <w:rPr>
          <w:rFonts w:ascii="Arial" w:hAnsi="Arial"/>
        </w:rPr>
        <w:t xml:space="preserve"> intelektuala </w:t>
      </w:r>
      <w:proofErr w:type="spellStart"/>
      <w:r>
        <w:rPr>
          <w:rFonts w:ascii="Arial" w:hAnsi="Arial"/>
        </w:rPr>
        <w:t>edo/eta</w:t>
      </w:r>
      <w:proofErr w:type="spellEnd"/>
      <w:r>
        <w:rPr>
          <w:rFonts w:ascii="Arial" w:hAnsi="Arial"/>
        </w:rPr>
        <w:t xml:space="preserve"> jokabide- eta portaera-arazoak dauzkaten pertsonek bizi duten egoera sozialari buruz. Honako hauek izanen dira arlo honetan aurrera eraman beharreko programak:</w:t>
      </w:r>
    </w:p>
    <w:p w:rsidR="00663198" w:rsidRPr="00663198" w:rsidRDefault="00663198" w:rsidP="00663198">
      <w:pPr>
        <w:numPr>
          <w:ilvl w:val="0"/>
          <w:numId w:val="10"/>
        </w:numPr>
        <w:spacing w:after="120" w:line="360" w:lineRule="auto"/>
        <w:jc w:val="both"/>
        <w:rPr>
          <w:rFonts w:ascii="Arial" w:hAnsi="Arial" w:cs="Arial"/>
          <w:b/>
        </w:rPr>
      </w:pPr>
      <w:r>
        <w:rPr>
          <w:rFonts w:ascii="Arial" w:hAnsi="Arial"/>
          <w:b/>
        </w:rPr>
        <w:t>Koordinazioko eta entitateekiko harremanetarako programa.</w:t>
      </w:r>
    </w:p>
    <w:p w:rsidR="00D738DA" w:rsidRDefault="00663198" w:rsidP="00A624C5">
      <w:pPr>
        <w:spacing w:after="120" w:line="360" w:lineRule="auto"/>
        <w:ind w:left="709"/>
        <w:jc w:val="both"/>
        <w:rPr>
          <w:rFonts w:ascii="Arial" w:hAnsi="Arial" w:cs="Arial"/>
        </w:rPr>
      </w:pPr>
      <w:r>
        <w:rPr>
          <w:rFonts w:ascii="Arial" w:hAnsi="Arial"/>
        </w:rPr>
        <w:t xml:space="preserve">Programa honen bitartez </w:t>
      </w:r>
      <w:proofErr w:type="spellStart"/>
      <w:r>
        <w:rPr>
          <w:rFonts w:ascii="Arial" w:hAnsi="Arial"/>
        </w:rPr>
        <w:t>desgaitasun</w:t>
      </w:r>
      <w:proofErr w:type="spellEnd"/>
      <w:r>
        <w:rPr>
          <w:rFonts w:ascii="Arial" w:hAnsi="Arial"/>
        </w:rPr>
        <w:t xml:space="preserve"> intelektuala </w:t>
      </w:r>
      <w:proofErr w:type="spellStart"/>
      <w:r>
        <w:rPr>
          <w:rFonts w:ascii="Arial" w:hAnsi="Arial"/>
        </w:rPr>
        <w:t>edo/eta</w:t>
      </w:r>
      <w:proofErr w:type="spellEnd"/>
      <w:r>
        <w:rPr>
          <w:rFonts w:ascii="Arial" w:hAnsi="Arial"/>
        </w:rPr>
        <w:t xml:space="preserve"> jokabide- eta portaera-arazoak dauzkaten eta lanerako prestatzeko zentroan artatzen diren pertsonek erabiltzen dituzten baliabide eta zerbitzuen arteko koordinazio egokia bermatu nahi da. </w:t>
      </w:r>
    </w:p>
    <w:p w:rsidR="00D738DA" w:rsidRDefault="00D738DA" w:rsidP="00A624C5">
      <w:pPr>
        <w:spacing w:after="120" w:line="360" w:lineRule="auto"/>
        <w:ind w:left="709"/>
        <w:jc w:val="both"/>
        <w:rPr>
          <w:rFonts w:ascii="Arial" w:hAnsi="Arial" w:cs="Arial"/>
        </w:rPr>
      </w:pPr>
    </w:p>
    <w:p w:rsidR="00663198" w:rsidRPr="00663198" w:rsidRDefault="00663198" w:rsidP="00663198">
      <w:pPr>
        <w:numPr>
          <w:ilvl w:val="0"/>
          <w:numId w:val="10"/>
        </w:numPr>
        <w:spacing w:after="120" w:line="360" w:lineRule="auto"/>
        <w:jc w:val="both"/>
        <w:rPr>
          <w:rFonts w:ascii="Arial" w:hAnsi="Arial" w:cs="Arial"/>
          <w:b/>
        </w:rPr>
      </w:pPr>
      <w:r>
        <w:rPr>
          <w:rFonts w:ascii="Arial" w:hAnsi="Arial"/>
          <w:b/>
        </w:rPr>
        <w:t>Kanpoko laguntzaileen programak.</w:t>
      </w:r>
    </w:p>
    <w:p w:rsidR="00D738DA" w:rsidRDefault="00663198" w:rsidP="00A624C5">
      <w:pPr>
        <w:spacing w:after="120" w:line="360" w:lineRule="auto"/>
        <w:ind w:left="709"/>
        <w:jc w:val="both"/>
        <w:rPr>
          <w:rFonts w:ascii="Arial" w:hAnsi="Arial" w:cs="Arial"/>
        </w:rPr>
      </w:pPr>
      <w:r>
        <w:rPr>
          <w:rFonts w:ascii="Arial" w:hAnsi="Arial"/>
        </w:rPr>
        <w:t xml:space="preserve">Programa honetan, </w:t>
      </w:r>
      <w:proofErr w:type="spellStart"/>
      <w:r>
        <w:rPr>
          <w:rFonts w:ascii="Arial" w:hAnsi="Arial"/>
        </w:rPr>
        <w:t>desgaitasun</w:t>
      </w:r>
      <w:proofErr w:type="spellEnd"/>
      <w:r>
        <w:rPr>
          <w:rFonts w:ascii="Arial" w:hAnsi="Arial"/>
        </w:rPr>
        <w:t xml:space="preserve"> intelektuala </w:t>
      </w:r>
      <w:proofErr w:type="spellStart"/>
      <w:r>
        <w:rPr>
          <w:rFonts w:ascii="Arial" w:hAnsi="Arial"/>
        </w:rPr>
        <w:t>edo/eta</w:t>
      </w:r>
      <w:proofErr w:type="spellEnd"/>
      <w:r>
        <w:rPr>
          <w:rFonts w:ascii="Arial" w:hAnsi="Arial"/>
        </w:rPr>
        <w:t xml:space="preserve"> jokabide- eta portaera-arazoak dauzkaten eta lanerako prestatzeko zentroan artatzen diren pertsonen intereseko gai berariazkoetan adituak diren laguntzaileen bisitak antolatu eta koordinatuko dira. Honako hauek izanen dira jarduera horiek, besteak </w:t>
      </w:r>
      <w:proofErr w:type="spellStart"/>
      <w:r>
        <w:rPr>
          <w:rFonts w:ascii="Arial" w:hAnsi="Arial"/>
        </w:rPr>
        <w:t>beste</w:t>
      </w:r>
      <w:proofErr w:type="spellEnd"/>
      <w:r>
        <w:rPr>
          <w:rFonts w:ascii="Arial" w:hAnsi="Arial"/>
        </w:rPr>
        <w:t>: ferratzea, triskilatzea, gazta egitea, eskualdeko nekazariei laguntza ematea, kirol-jarduerak, yoga eta abar.</w:t>
      </w:r>
    </w:p>
    <w:p w:rsidR="00663198" w:rsidRPr="00663198" w:rsidRDefault="00663198" w:rsidP="00663198">
      <w:pPr>
        <w:numPr>
          <w:ilvl w:val="0"/>
          <w:numId w:val="10"/>
        </w:numPr>
        <w:spacing w:after="120" w:line="360" w:lineRule="auto"/>
        <w:jc w:val="both"/>
        <w:rPr>
          <w:rFonts w:ascii="Arial" w:hAnsi="Arial" w:cs="Arial"/>
          <w:b/>
        </w:rPr>
      </w:pPr>
      <w:r>
        <w:rPr>
          <w:rFonts w:ascii="Arial" w:hAnsi="Arial"/>
          <w:b/>
        </w:rPr>
        <w:t>Lanerako prestatzeko zentroko langileen etengabeko prestakuntzarako programa.</w:t>
      </w:r>
    </w:p>
    <w:p w:rsidR="00D738DA" w:rsidRDefault="00663198" w:rsidP="00A624C5">
      <w:pPr>
        <w:spacing w:after="120" w:line="360" w:lineRule="auto"/>
        <w:ind w:left="709"/>
        <w:jc w:val="both"/>
        <w:rPr>
          <w:rFonts w:ascii="Arial" w:hAnsi="Arial" w:cs="Arial"/>
        </w:rPr>
      </w:pPr>
      <w:r>
        <w:rPr>
          <w:rFonts w:ascii="Arial" w:hAnsi="Arial"/>
        </w:rPr>
        <w:t>Programa honen bitartez sustatuko da lanerako prestatzeko zentroko profesionalen prestakuntza, haien lan sozial eta hezkuntzakoa hobeki bete dezaten. Horretarako, langileentzako etengabeko prestakuntzako programa garatuko da. Lanerako prestatzeko zentroan detektatutako beharrizan errealei erantzunen die egin beharreko prestakuntzak.</w:t>
      </w:r>
    </w:p>
    <w:p w:rsidR="00663198" w:rsidRPr="00663198" w:rsidRDefault="00663198" w:rsidP="00663198">
      <w:pPr>
        <w:numPr>
          <w:ilvl w:val="0"/>
          <w:numId w:val="10"/>
        </w:numPr>
        <w:spacing w:after="120" w:line="360" w:lineRule="auto"/>
        <w:jc w:val="both"/>
        <w:rPr>
          <w:rFonts w:ascii="Arial" w:hAnsi="Arial" w:cs="Arial"/>
          <w:b/>
        </w:rPr>
      </w:pPr>
      <w:r>
        <w:rPr>
          <w:rFonts w:ascii="Arial" w:hAnsi="Arial"/>
          <w:b/>
        </w:rPr>
        <w:t>Erkidegoan parte hartzeko eta esku hartzeko programa.</w:t>
      </w:r>
    </w:p>
    <w:p w:rsidR="00D738DA" w:rsidRDefault="00663198" w:rsidP="00A624C5">
      <w:pPr>
        <w:spacing w:after="120" w:line="360" w:lineRule="auto"/>
        <w:ind w:left="709"/>
        <w:jc w:val="both"/>
        <w:rPr>
          <w:rFonts w:ascii="Arial" w:hAnsi="Arial" w:cs="Arial"/>
        </w:rPr>
      </w:pPr>
      <w:r>
        <w:rPr>
          <w:rFonts w:ascii="Arial" w:hAnsi="Arial"/>
        </w:rPr>
        <w:t xml:space="preserve">Programa honen helburua izanen da </w:t>
      </w:r>
      <w:proofErr w:type="spellStart"/>
      <w:r>
        <w:rPr>
          <w:rFonts w:ascii="Arial" w:hAnsi="Arial"/>
        </w:rPr>
        <w:t>desgaitasuna</w:t>
      </w:r>
      <w:proofErr w:type="spellEnd"/>
      <w:r>
        <w:rPr>
          <w:rFonts w:ascii="Arial" w:hAnsi="Arial"/>
        </w:rPr>
        <w:t xml:space="preserve"> duten pertsonak eskualdean antolatzen diren zerbitzu edo ekitaldietara joan daitezen eta haietan parte har dezaten, haien irisgarritasuna zailtzen dituzten oztopoak kenduz edo gutxituz.</w:t>
      </w:r>
    </w:p>
    <w:p w:rsidR="00D738DA" w:rsidRDefault="0006150C" w:rsidP="00CA544A">
      <w:pPr>
        <w:spacing w:after="120" w:line="360" w:lineRule="auto"/>
        <w:jc w:val="both"/>
        <w:rPr>
          <w:rFonts w:ascii="Arial" w:hAnsi="Arial" w:cs="Arial"/>
        </w:rPr>
      </w:pPr>
      <w:r>
        <w:rPr>
          <w:rFonts w:ascii="Arial" w:hAnsi="Arial"/>
        </w:rPr>
        <w:t>Hori guztia jakinarazten dizut Nafarroako Parlamentuko Erregelamenduaren 194. artikulua betez.</w:t>
      </w:r>
    </w:p>
    <w:p w:rsidR="00D738DA" w:rsidRDefault="0006150C" w:rsidP="00CA544A">
      <w:pPr>
        <w:spacing w:after="120" w:line="360" w:lineRule="auto"/>
        <w:jc w:val="center"/>
        <w:outlineLvl w:val="0"/>
        <w:rPr>
          <w:rFonts w:ascii="Arial" w:hAnsi="Arial" w:cs="Arial"/>
        </w:rPr>
      </w:pPr>
      <w:r>
        <w:rPr>
          <w:rFonts w:ascii="Arial" w:hAnsi="Arial"/>
        </w:rPr>
        <w:t>Iruñean, 2018ko martxoaren 28an.</w:t>
      </w:r>
    </w:p>
    <w:p w:rsidR="00D738DA" w:rsidRPr="00D738DA" w:rsidRDefault="00D45F8B" w:rsidP="00D738DA">
      <w:pPr>
        <w:spacing w:after="120" w:line="360" w:lineRule="auto"/>
        <w:jc w:val="center"/>
        <w:rPr>
          <w:rFonts w:ascii="Arial" w:hAnsi="Arial" w:cs="Arial"/>
        </w:rPr>
      </w:pPr>
      <w:r>
        <w:rPr>
          <w:rFonts w:ascii="Arial" w:hAnsi="Arial"/>
        </w:rPr>
        <w:t>Eskubide Sozialetako kontseilaria: Miguel Laparra Navarro</w:t>
      </w:r>
    </w:p>
    <w:p w:rsidR="00D738DA" w:rsidRDefault="00D738DA" w:rsidP="00CA544A">
      <w:pPr>
        <w:spacing w:after="120" w:line="360" w:lineRule="auto"/>
        <w:jc w:val="both"/>
        <w:rPr>
          <w:rFonts w:ascii="Arial" w:hAnsi="Arial" w:cs="Arial"/>
        </w:rPr>
      </w:pPr>
    </w:p>
    <w:p w:rsidR="00D738DA" w:rsidRDefault="00D738DA" w:rsidP="00CA544A">
      <w:pPr>
        <w:spacing w:after="120" w:line="360" w:lineRule="auto"/>
        <w:jc w:val="both"/>
        <w:rPr>
          <w:rFonts w:ascii="Arial" w:hAnsi="Arial" w:cs="Arial"/>
        </w:rPr>
      </w:pPr>
    </w:p>
    <w:sectPr w:rsidR="00D738DA" w:rsidSect="00776C9D">
      <w:headerReference w:type="default" r:id="rId8"/>
      <w:pgSz w:w="11906" w:h="16838" w:code="9"/>
      <w:pgMar w:top="1588" w:right="1701" w:bottom="1276" w:left="1701" w:header="18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70E" w:rsidRDefault="003B070E">
      <w:r>
        <w:separator/>
      </w:r>
    </w:p>
  </w:endnote>
  <w:endnote w:type="continuationSeparator" w:id="0">
    <w:p w:rsidR="003B070E" w:rsidRDefault="003B0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70E" w:rsidRDefault="003B070E">
      <w:r>
        <w:separator/>
      </w:r>
    </w:p>
  </w:footnote>
  <w:footnote w:type="continuationSeparator" w:id="0">
    <w:p w:rsidR="003B070E" w:rsidRDefault="003B07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0D5" w:rsidRDefault="003770D5" w:rsidP="00360CD5">
    <w:pPr>
      <w:pStyle w:val="Encabezado"/>
      <w:jc w:val="center"/>
    </w:pPr>
  </w:p>
  <w:p w:rsidR="003770D5" w:rsidRDefault="003770D5" w:rsidP="00360CD5">
    <w:pPr>
      <w:pStyle w:val="Encabezado"/>
      <w:jc w:val="center"/>
    </w:pPr>
  </w:p>
  <w:p w:rsidR="003770D5" w:rsidRDefault="003770D5" w:rsidP="00360CD5">
    <w:pPr>
      <w:pStyle w:val="Encabezado"/>
      <w:jc w:val="center"/>
    </w:pPr>
  </w:p>
  <w:p w:rsidR="003770D5" w:rsidRDefault="003770D5" w:rsidP="00360CD5">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496CA3"/>
    <w:multiLevelType w:val="hybridMultilevel"/>
    <w:tmpl w:val="E722ADF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378A6F1D"/>
    <w:multiLevelType w:val="hybridMultilevel"/>
    <w:tmpl w:val="1758D950"/>
    <w:lvl w:ilvl="0" w:tplc="F11C4E54">
      <w:start w:val="1"/>
      <w:numFmt w:val="bullet"/>
      <w:lvlText w:val=""/>
      <w:lvlJc w:val="left"/>
      <w:pPr>
        <w:ind w:left="720" w:hanging="360"/>
      </w:pPr>
      <w:rPr>
        <w:rFonts w:ascii="Wingdings" w:hAnsi="Wingdings" w:hint="default"/>
        <w:sz w:val="16"/>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8F97A5A"/>
    <w:multiLevelType w:val="hybridMultilevel"/>
    <w:tmpl w:val="2D603E0C"/>
    <w:lvl w:ilvl="0" w:tplc="0C0A0001">
      <w:start w:val="1"/>
      <w:numFmt w:val="bullet"/>
      <w:lvlText w:val=""/>
      <w:lvlJc w:val="left"/>
      <w:pPr>
        <w:ind w:left="767" w:hanging="360"/>
      </w:pPr>
      <w:rPr>
        <w:rFonts w:ascii="Symbol" w:hAnsi="Symbol" w:hint="default"/>
      </w:rPr>
    </w:lvl>
    <w:lvl w:ilvl="1" w:tplc="0C0A0003" w:tentative="1">
      <w:start w:val="1"/>
      <w:numFmt w:val="bullet"/>
      <w:lvlText w:val="o"/>
      <w:lvlJc w:val="left"/>
      <w:pPr>
        <w:ind w:left="1487" w:hanging="360"/>
      </w:pPr>
      <w:rPr>
        <w:rFonts w:ascii="Courier New" w:hAnsi="Courier New" w:cs="Courier New" w:hint="default"/>
      </w:rPr>
    </w:lvl>
    <w:lvl w:ilvl="2" w:tplc="0C0A0005" w:tentative="1">
      <w:start w:val="1"/>
      <w:numFmt w:val="bullet"/>
      <w:lvlText w:val=""/>
      <w:lvlJc w:val="left"/>
      <w:pPr>
        <w:ind w:left="2207" w:hanging="360"/>
      </w:pPr>
      <w:rPr>
        <w:rFonts w:ascii="Wingdings" w:hAnsi="Wingdings" w:hint="default"/>
      </w:rPr>
    </w:lvl>
    <w:lvl w:ilvl="3" w:tplc="0C0A0001" w:tentative="1">
      <w:start w:val="1"/>
      <w:numFmt w:val="bullet"/>
      <w:lvlText w:val=""/>
      <w:lvlJc w:val="left"/>
      <w:pPr>
        <w:ind w:left="2927" w:hanging="360"/>
      </w:pPr>
      <w:rPr>
        <w:rFonts w:ascii="Symbol" w:hAnsi="Symbol" w:hint="default"/>
      </w:rPr>
    </w:lvl>
    <w:lvl w:ilvl="4" w:tplc="0C0A0003" w:tentative="1">
      <w:start w:val="1"/>
      <w:numFmt w:val="bullet"/>
      <w:lvlText w:val="o"/>
      <w:lvlJc w:val="left"/>
      <w:pPr>
        <w:ind w:left="3647" w:hanging="360"/>
      </w:pPr>
      <w:rPr>
        <w:rFonts w:ascii="Courier New" w:hAnsi="Courier New" w:cs="Courier New" w:hint="default"/>
      </w:rPr>
    </w:lvl>
    <w:lvl w:ilvl="5" w:tplc="0C0A0005" w:tentative="1">
      <w:start w:val="1"/>
      <w:numFmt w:val="bullet"/>
      <w:lvlText w:val=""/>
      <w:lvlJc w:val="left"/>
      <w:pPr>
        <w:ind w:left="4367" w:hanging="360"/>
      </w:pPr>
      <w:rPr>
        <w:rFonts w:ascii="Wingdings" w:hAnsi="Wingdings" w:hint="default"/>
      </w:rPr>
    </w:lvl>
    <w:lvl w:ilvl="6" w:tplc="0C0A0001" w:tentative="1">
      <w:start w:val="1"/>
      <w:numFmt w:val="bullet"/>
      <w:lvlText w:val=""/>
      <w:lvlJc w:val="left"/>
      <w:pPr>
        <w:ind w:left="5087" w:hanging="360"/>
      </w:pPr>
      <w:rPr>
        <w:rFonts w:ascii="Symbol" w:hAnsi="Symbol" w:hint="default"/>
      </w:rPr>
    </w:lvl>
    <w:lvl w:ilvl="7" w:tplc="0C0A0003" w:tentative="1">
      <w:start w:val="1"/>
      <w:numFmt w:val="bullet"/>
      <w:lvlText w:val="o"/>
      <w:lvlJc w:val="left"/>
      <w:pPr>
        <w:ind w:left="5807" w:hanging="360"/>
      </w:pPr>
      <w:rPr>
        <w:rFonts w:ascii="Courier New" w:hAnsi="Courier New" w:cs="Courier New" w:hint="default"/>
      </w:rPr>
    </w:lvl>
    <w:lvl w:ilvl="8" w:tplc="0C0A0005" w:tentative="1">
      <w:start w:val="1"/>
      <w:numFmt w:val="bullet"/>
      <w:lvlText w:val=""/>
      <w:lvlJc w:val="left"/>
      <w:pPr>
        <w:ind w:left="6527" w:hanging="360"/>
      </w:pPr>
      <w:rPr>
        <w:rFonts w:ascii="Wingdings" w:hAnsi="Wingdings" w:hint="default"/>
      </w:rPr>
    </w:lvl>
  </w:abstractNum>
  <w:abstractNum w:abstractNumId="3">
    <w:nsid w:val="39D27D0A"/>
    <w:multiLevelType w:val="hybridMultilevel"/>
    <w:tmpl w:val="5A30774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42BC7757"/>
    <w:multiLevelType w:val="hybridMultilevel"/>
    <w:tmpl w:val="1A80F1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AF54F20"/>
    <w:multiLevelType w:val="hybridMultilevel"/>
    <w:tmpl w:val="86469DEC"/>
    <w:lvl w:ilvl="0" w:tplc="BBBA6934">
      <w:start w:val="1"/>
      <w:numFmt w:val="bullet"/>
      <w:lvlText w:val=""/>
      <w:lvlJc w:val="left"/>
      <w:pPr>
        <w:tabs>
          <w:tab w:val="num" w:pos="-67"/>
        </w:tabs>
        <w:ind w:left="47" w:hanging="227"/>
      </w:pPr>
      <w:rPr>
        <w:rFonts w:ascii="Wingdings" w:hAnsi="Wingdings" w:hint="default"/>
        <w:color w:val="auto"/>
        <w:sz w:val="20"/>
        <w:szCs w:val="28"/>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6">
    <w:nsid w:val="4B8C7771"/>
    <w:multiLevelType w:val="hybridMultilevel"/>
    <w:tmpl w:val="491E99C8"/>
    <w:lvl w:ilvl="0" w:tplc="EEF844B6">
      <w:start w:val="9"/>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4C7E3670"/>
    <w:multiLevelType w:val="hybridMultilevel"/>
    <w:tmpl w:val="48F6844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6CED1337"/>
    <w:multiLevelType w:val="hybridMultilevel"/>
    <w:tmpl w:val="ACAA8B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764929DD"/>
    <w:multiLevelType w:val="hybridMultilevel"/>
    <w:tmpl w:val="93141232"/>
    <w:lvl w:ilvl="0" w:tplc="6368209C">
      <w:start w:val="1"/>
      <w:numFmt w:val="upp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0"/>
  </w:num>
  <w:num w:numId="3">
    <w:abstractNumId w:val="3"/>
  </w:num>
  <w:num w:numId="4">
    <w:abstractNumId w:val="6"/>
  </w:num>
  <w:num w:numId="5">
    <w:abstractNumId w:val="5"/>
  </w:num>
  <w:num w:numId="6">
    <w:abstractNumId w:val="1"/>
  </w:num>
  <w:num w:numId="7">
    <w:abstractNumId w:val="2"/>
  </w:num>
  <w:num w:numId="8">
    <w:abstractNumId w:val="4"/>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50C"/>
    <w:rsid w:val="00044BB4"/>
    <w:rsid w:val="00052058"/>
    <w:rsid w:val="0006150C"/>
    <w:rsid w:val="00065565"/>
    <w:rsid w:val="00072C7B"/>
    <w:rsid w:val="001207D5"/>
    <w:rsid w:val="0015056C"/>
    <w:rsid w:val="0019679B"/>
    <w:rsid w:val="001D2F3E"/>
    <w:rsid w:val="00225C7D"/>
    <w:rsid w:val="00241092"/>
    <w:rsid w:val="00252442"/>
    <w:rsid w:val="00332E76"/>
    <w:rsid w:val="00360CD5"/>
    <w:rsid w:val="003770D5"/>
    <w:rsid w:val="003860DD"/>
    <w:rsid w:val="003926A4"/>
    <w:rsid w:val="00394EE0"/>
    <w:rsid w:val="003B070E"/>
    <w:rsid w:val="003E7CAB"/>
    <w:rsid w:val="004477C4"/>
    <w:rsid w:val="00462A9A"/>
    <w:rsid w:val="004A0387"/>
    <w:rsid w:val="004D3ACF"/>
    <w:rsid w:val="0055627E"/>
    <w:rsid w:val="0056046D"/>
    <w:rsid w:val="0058384E"/>
    <w:rsid w:val="005D721D"/>
    <w:rsid w:val="005E5A1A"/>
    <w:rsid w:val="00625CDC"/>
    <w:rsid w:val="006345F0"/>
    <w:rsid w:val="00641778"/>
    <w:rsid w:val="00654982"/>
    <w:rsid w:val="00663198"/>
    <w:rsid w:val="00666A3F"/>
    <w:rsid w:val="007008C6"/>
    <w:rsid w:val="007130CC"/>
    <w:rsid w:val="0072343A"/>
    <w:rsid w:val="007477D1"/>
    <w:rsid w:val="007704FF"/>
    <w:rsid w:val="0077073F"/>
    <w:rsid w:val="007749E1"/>
    <w:rsid w:val="00776C9D"/>
    <w:rsid w:val="007A7B54"/>
    <w:rsid w:val="007E0158"/>
    <w:rsid w:val="0080339F"/>
    <w:rsid w:val="008230A2"/>
    <w:rsid w:val="00832DA8"/>
    <w:rsid w:val="008442C4"/>
    <w:rsid w:val="00865890"/>
    <w:rsid w:val="008A7332"/>
    <w:rsid w:val="008F0A77"/>
    <w:rsid w:val="00970F18"/>
    <w:rsid w:val="00980A6E"/>
    <w:rsid w:val="009A245D"/>
    <w:rsid w:val="009C1765"/>
    <w:rsid w:val="009D7AC7"/>
    <w:rsid w:val="00A530D2"/>
    <w:rsid w:val="00A624C5"/>
    <w:rsid w:val="00A90748"/>
    <w:rsid w:val="00AA3582"/>
    <w:rsid w:val="00AB306A"/>
    <w:rsid w:val="00B123A0"/>
    <w:rsid w:val="00B6563A"/>
    <w:rsid w:val="00B67C4B"/>
    <w:rsid w:val="00BF65B2"/>
    <w:rsid w:val="00C01B8F"/>
    <w:rsid w:val="00C517F4"/>
    <w:rsid w:val="00C703AD"/>
    <w:rsid w:val="00C94842"/>
    <w:rsid w:val="00CA544A"/>
    <w:rsid w:val="00CB0E0F"/>
    <w:rsid w:val="00CB1CBC"/>
    <w:rsid w:val="00CC0679"/>
    <w:rsid w:val="00CD7DE9"/>
    <w:rsid w:val="00CE5F5F"/>
    <w:rsid w:val="00D16EAB"/>
    <w:rsid w:val="00D2483A"/>
    <w:rsid w:val="00D32DC9"/>
    <w:rsid w:val="00D45F8B"/>
    <w:rsid w:val="00D738DA"/>
    <w:rsid w:val="00DC2615"/>
    <w:rsid w:val="00DD3F5C"/>
    <w:rsid w:val="00E023C6"/>
    <w:rsid w:val="00E179F4"/>
    <w:rsid w:val="00E20828"/>
    <w:rsid w:val="00E26C41"/>
    <w:rsid w:val="00E4466D"/>
    <w:rsid w:val="00E56279"/>
    <w:rsid w:val="00E6542D"/>
    <w:rsid w:val="00E7291A"/>
    <w:rsid w:val="00EA2D5B"/>
    <w:rsid w:val="00EB1387"/>
    <w:rsid w:val="00EB5135"/>
    <w:rsid w:val="00EC31C9"/>
    <w:rsid w:val="00EC3319"/>
    <w:rsid w:val="00EC60D9"/>
    <w:rsid w:val="00ED55BF"/>
    <w:rsid w:val="00ED756F"/>
    <w:rsid w:val="00F009D6"/>
    <w:rsid w:val="00F15BE5"/>
    <w:rsid w:val="00F263F9"/>
    <w:rsid w:val="00F3516B"/>
    <w:rsid w:val="00F50854"/>
    <w:rsid w:val="00FA6849"/>
    <w:rsid w:val="00FB7948"/>
    <w:rsid w:val="00FE6BFF"/>
    <w:rsid w:val="00FF2A39"/>
    <w:rsid w:val="00FF5E8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150C"/>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25C7D"/>
    <w:pPr>
      <w:tabs>
        <w:tab w:val="center" w:pos="4252"/>
        <w:tab w:val="right" w:pos="8504"/>
      </w:tabs>
    </w:pPr>
  </w:style>
  <w:style w:type="paragraph" w:styleId="Piedepgina">
    <w:name w:val="footer"/>
    <w:basedOn w:val="Normal"/>
    <w:rsid w:val="00225C7D"/>
    <w:pPr>
      <w:tabs>
        <w:tab w:val="center" w:pos="4252"/>
        <w:tab w:val="right" w:pos="8504"/>
      </w:tabs>
    </w:pPr>
  </w:style>
  <w:style w:type="character" w:styleId="Nmerodepgina">
    <w:name w:val="page number"/>
    <w:basedOn w:val="Fuentedeprrafopredeter"/>
    <w:rsid w:val="007A7B54"/>
  </w:style>
  <w:style w:type="paragraph" w:styleId="Textodeglobo">
    <w:name w:val="Balloon Text"/>
    <w:basedOn w:val="Normal"/>
    <w:link w:val="TextodegloboCar"/>
    <w:rsid w:val="00D32DC9"/>
    <w:rPr>
      <w:rFonts w:ascii="Tahoma" w:hAnsi="Tahoma" w:cs="Tahoma"/>
      <w:sz w:val="16"/>
      <w:szCs w:val="16"/>
    </w:rPr>
  </w:style>
  <w:style w:type="character" w:customStyle="1" w:styleId="TextodegloboCar">
    <w:name w:val="Texto de globo Car"/>
    <w:link w:val="Textodeglobo"/>
    <w:rsid w:val="00D32D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150C"/>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25C7D"/>
    <w:pPr>
      <w:tabs>
        <w:tab w:val="center" w:pos="4252"/>
        <w:tab w:val="right" w:pos="8504"/>
      </w:tabs>
    </w:pPr>
  </w:style>
  <w:style w:type="paragraph" w:styleId="Piedepgina">
    <w:name w:val="footer"/>
    <w:basedOn w:val="Normal"/>
    <w:rsid w:val="00225C7D"/>
    <w:pPr>
      <w:tabs>
        <w:tab w:val="center" w:pos="4252"/>
        <w:tab w:val="right" w:pos="8504"/>
      </w:tabs>
    </w:pPr>
  </w:style>
  <w:style w:type="character" w:styleId="Nmerodepgina">
    <w:name w:val="page number"/>
    <w:basedOn w:val="Fuentedeprrafopredeter"/>
    <w:rsid w:val="007A7B54"/>
  </w:style>
  <w:style w:type="paragraph" w:styleId="Textodeglobo">
    <w:name w:val="Balloon Text"/>
    <w:basedOn w:val="Normal"/>
    <w:link w:val="TextodegloboCar"/>
    <w:rsid w:val="00D32DC9"/>
    <w:rPr>
      <w:rFonts w:ascii="Tahoma" w:hAnsi="Tahoma" w:cs="Tahoma"/>
      <w:sz w:val="16"/>
      <w:szCs w:val="16"/>
    </w:rPr>
  </w:style>
  <w:style w:type="character" w:customStyle="1" w:styleId="TextodegloboCar">
    <w:name w:val="Texto de globo Car"/>
    <w:link w:val="Textodeglobo"/>
    <w:rsid w:val="00D32D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546545">
      <w:bodyDiv w:val="1"/>
      <w:marLeft w:val="0"/>
      <w:marRight w:val="0"/>
      <w:marTop w:val="0"/>
      <w:marBottom w:val="0"/>
      <w:divBdr>
        <w:top w:val="none" w:sz="0" w:space="0" w:color="auto"/>
        <w:left w:val="none" w:sz="0" w:space="0" w:color="auto"/>
        <w:bottom w:val="none" w:sz="0" w:space="0" w:color="auto"/>
        <w:right w:val="none" w:sz="0" w:space="0" w:color="auto"/>
      </w:divBdr>
    </w:div>
    <w:div w:id="513501375">
      <w:bodyDiv w:val="1"/>
      <w:marLeft w:val="0"/>
      <w:marRight w:val="0"/>
      <w:marTop w:val="0"/>
      <w:marBottom w:val="0"/>
      <w:divBdr>
        <w:top w:val="none" w:sz="0" w:space="0" w:color="auto"/>
        <w:left w:val="none" w:sz="0" w:space="0" w:color="auto"/>
        <w:bottom w:val="none" w:sz="0" w:space="0" w:color="auto"/>
        <w:right w:val="none" w:sz="0" w:space="0" w:color="auto"/>
      </w:divBdr>
    </w:div>
    <w:div w:id="103542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861</Words>
  <Characters>6675</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El Consejero de Derechos Sociales que suscribe, en relación a la petición de información solicitada por la parlamentaria Dña</vt:lpstr>
    </vt:vector>
  </TitlesOfParts>
  <Company>Gobierno de Navarra</Company>
  <LinksUpToDate>false</LinksUpToDate>
  <CharactersWithSpaces>7521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Consejero de Derechos Sociales que suscribe, en relación a la petición de información solicitada por la parlamentaria Dña</dc:title>
  <dc:creator>X040804</dc:creator>
  <cp:lastModifiedBy>De Santiago, Iñaki</cp:lastModifiedBy>
  <cp:revision>3</cp:revision>
  <cp:lastPrinted>2018-04-03T11:19:00Z</cp:lastPrinted>
  <dcterms:created xsi:type="dcterms:W3CDTF">2018-05-15T07:02:00Z</dcterms:created>
  <dcterms:modified xsi:type="dcterms:W3CDTF">2018-05-16T12:18:00Z</dcterms:modified>
</cp:coreProperties>
</file>