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consecuencias del Auto del Tribunal Supremo 5956/2017, de 4 de abril de 2018, por el que se inadmite el Recurso de Casación interpuesto por el Gobierno de Navarra contra la sentencia número 337/2017, de 5 de julio, de la Sala de lo Contencioso Administrativo del Tribunal Superior de Justicia de Navarra,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Educación.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día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del Grupo parlamentario de Unión del Pueblo Navarro (UPN), de conformidad con lo establecido en el reglamento de la Cámara, solicita respuesta a la siguiente pregunta para su contestación oral en Comisión: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¿Cuáles son las consecuencias del Auto del Tribunal Supremo 5956/2017, de 4 de abril de 2018, por el que se inadmite el Recurso de Casación interpuesto por el Gobierno de Navarra contra la sentencia número 337/2017, de 5 de julio, de la Sala de lo Contencioso Administrativo del Tribunal Superior de Justicia de Navarra, que anulaba la supresión de la lista preferente en las contrataciones de interinos en el Departamento de Educación?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15 de octubre de 2018 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