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Aranzazu Izurdiaga Osinaga andreak aurkeztutako galdera, jakiteko ea zer jarduketa aurreikusi diren honako erabaki hau betetzeko: Nafarroako Gobernua premiatzen da egiazko negoziazio-prozesu bat bultza dezan, gardena eta fede onean oinarritua, Tracasa eta Tracasa Instrumental enpresen zuzendaritzaren eta bi enpresa horietako langile-batzordeen 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Arantxa lzurdiaga Osinaga andreak,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Garapen Ekonomikorako Batzordeak honako erabaki hau onetsi zuen 2018ko urriaren 16an: Nafarroako Gobernua premiatzen da egiazko negoziazio-prozesu bat bultza dezan, gardena eta fede onean oinarritua, Tracasa eta Tracasa Instrumental enpresen zuzendaritzaren eta bi enpresa horietako langile-batzordeen 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dela-eta, honako galdera hau egiten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zer jarduketa abiaraziko du onetsitako erabakia betetzeko? Gobernuak harremanik izan al du edo harremanik al du enpresa batzordeekin?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Arantxa lzurdiaga Osinaga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