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azaroren 5ean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María Teresa Sáez Barrao andreak emakumeen kontrako indarkeriari aurre egiteko apirilaren 10eko 14/2015 Foru Legea aldatzen duen Foru Lege proposamena aurkeztu du.</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emakumeen kontrako indarkeriari aurre egiteko apirilaren 10eko 14/2015 Foru Legea aldatzen duen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2018ko azaroaren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w:t>
        <w:br w:type="textWrapping"/>
        <w:t xml:space="preserve">emakumeen kontrako indarkeriari aurre egiteko apirilaren 10eko 14/2015 Foru Legea aldatzen duena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Espainiako Konstituzioak 9.2 artikuluan ezartzen duenez, botere publikoak behartuta daude berdintasuna benetakoa eta eragingarria izan dadin bermatzera, eta, horretarako, hura galarazten edo eragozten duten traba guztiak kendu beharko dituzte. Konstituzioan jasotako oinarrizko eskubideen artean badira batzuk lotura estua dutenak emakumeen kontrako indarkeriarekin: pertsonaren duintasuna (10. artikulua); diskriminaziorik ez jasateko eskubidea (14. artikulua), bizirako eta osotasun fisiko nahiz psikikorako eskubidea (15. artikulua) eta askatasunerako eta segurtasunerako eskubidea (17. artikulua).</w:t>
      </w:r>
    </w:p>
    <w:p>
      <w:pPr>
        <w:pStyle w:val="0"/>
        <w:suppressAutoHyphens w:val="false"/>
        <w:rPr>
          <w:rStyle w:val="1"/>
        </w:rPr>
      </w:pPr>
      <w:r>
        <w:rPr>
          <w:rStyle w:val="1"/>
        </w:rPr>
        <w:t xml:space="preserve">Horrenbestez, erakundeek badaukate betebeharra emakumeen kontrako indarkeriari aurre egiteko; besteak beste, egungo araudia berrikusiz, lege berriak idatziz, horiek garatzeko eta egiaz aplikatzen direla ziurtatzeko bitartekoak ezarriz, bai eta haien eraginkortasuna aldian-aldian egiaztatuz, disfuntzioak dituzten alderdiak zuzentzearren.</w:t>
      </w:r>
    </w:p>
    <w:p>
      <w:pPr>
        <w:pStyle w:val="0"/>
        <w:suppressAutoHyphens w:val="false"/>
        <w:rPr>
          <w:rStyle w:val="1"/>
        </w:rPr>
      </w:pPr>
      <w:r>
        <w:rPr>
          <w:rStyle w:val="1"/>
        </w:rPr>
        <w:t xml:space="preserve">Betebehar horri erantzunez onetsi zen Emakumeen aurkako indarkeriari aurre egiteko apirilaren 10eko 14/2015 Foru Legea, zeinak biktimen/bizirik atera direnen defentsarako mekanismoen lehen sorta bat ezarri baitzuen.</w:t>
      </w:r>
    </w:p>
    <w:p>
      <w:pPr>
        <w:pStyle w:val="0"/>
        <w:suppressAutoHyphens w:val="false"/>
        <w:rPr>
          <w:rStyle w:val="1"/>
        </w:rPr>
      </w:pPr>
      <w:r>
        <w:rPr>
          <w:rStyle w:val="1"/>
        </w:rPr>
        <w:t xml:space="preserve">Halere, etengabe planteatzen dira agertoki berriak, emakume biktimen/bizirik atera direnen eskubideen bermeak indartzea ahalbidetzen dutenak; hori dela-eta, komenigarria da legea aldatzea.</w:t>
      </w:r>
    </w:p>
    <w:p>
      <w:pPr>
        <w:pStyle w:val="0"/>
        <w:suppressAutoHyphens w:val="false"/>
        <w:rPr>
          <w:rStyle w:val="1"/>
        </w:rPr>
      </w:pPr>
      <w:r>
        <w:rPr>
          <w:rStyle w:val="1"/>
        </w:rPr>
        <w:t xml:space="preserve">Zehazki, azken urteotan zenbait ekimen ari dira garatzen biktimei/bizirik atera direnei laguntza soziala eta psikologikoa eskaintzeko; esaterako, indarkeria matxistaren biktimei txakur bizkartzainen bidez laguntza emateko edo lagun egiteko proiektuak. Baliabide horiek esperantza-leiho bat irekitzen dute babesa behar duten zenbait emakumerentzat, eta neurri hori da, hain zuzen ere, segurtasun handiena ematen diena, indarkeria matxistaren aurkako borrokan espezializatutako erakundeek diotenez. Neurri hori osagarria eta kasuan-kasuan baloratzekoa da, eskariaz eta erabiltzailea nahiz txakurra baliozkotzeko beharrezkoak diren neurrien segurtasunaz gain.</w:t>
      </w:r>
    </w:p>
    <w:p>
      <w:pPr>
        <w:pStyle w:val="0"/>
        <w:suppressAutoHyphens w:val="false"/>
        <w:rPr>
          <w:rStyle w:val="1"/>
        </w:rPr>
      </w:pPr>
      <w:r>
        <w:rPr>
          <w:rStyle w:val="1"/>
        </w:rPr>
        <w:t xml:space="preserve">Laguntza-txakurrak biktimen babeserako neurri eraginkor gisa aintzat hartzeko xedez onesten da honako lege-aldaketa hau.</w:t>
      </w:r>
    </w:p>
    <w:p>
      <w:pPr>
        <w:pStyle w:val="0"/>
        <w:suppressAutoHyphens w:val="false"/>
        <w:rPr>
          <w:rStyle w:val="1"/>
        </w:rPr>
      </w:pPr>
      <w:r>
        <w:rPr>
          <w:rStyle w:val="1"/>
          <w:b w:val="true"/>
        </w:rPr>
        <w:t xml:space="preserve">Artikulu bakarra.</w:t>
      </w:r>
      <w:r>
        <w:rPr>
          <w:rStyle w:val="1"/>
        </w:rPr>
        <w:t xml:space="preserve"> Emakumeen kontrako indarkeriari aurre egiteko apirilaren 10eko 14/2015 Foru Legearen aldaketa.</w:t>
      </w:r>
    </w:p>
    <w:p>
      <w:pPr>
        <w:pStyle w:val="0"/>
        <w:suppressAutoHyphens w:val="false"/>
        <w:rPr>
          <w:rStyle w:val="1"/>
        </w:rPr>
      </w:pPr>
      <w:r>
        <w:rPr>
          <w:rStyle w:val="1"/>
        </w:rPr>
        <w:t xml:space="preserve">VII. tituluko –Poliziaren arreta eta babes eraginkorra– 61. artikuluaren 2. apartatua aldatzen da, halako moduan non honako testu hau izanen baitu:</w:t>
      </w:r>
    </w:p>
    <w:p>
      <w:pPr>
        <w:pStyle w:val="0"/>
        <w:suppressAutoHyphens w:val="false"/>
        <w:rPr>
          <w:rStyle w:val="1"/>
        </w:rPr>
      </w:pPr>
      <w:r>
        <w:rPr>
          <w:rStyle w:val="1"/>
        </w:rPr>
        <w:t xml:space="preserve">“2. Babes lanetan baliabide teknologikoak, zerbitzu polizialak eta emakumeen babesa eta babes neurri judizialen eraginkortasuna bermatzen duen beste edozein baliabide erabiliko dira. Emakumeen babesa ziurtatzeko neurri gisa ezarriko dira, halaber, indarkeria matxistaren biktimek erabilitako babes-txakurrak.</w:t>
      </w:r>
    </w:p>
    <w:p>
      <w:pPr>
        <w:pStyle w:val="0"/>
        <w:suppressAutoHyphens w:val="false"/>
        <w:rPr>
          <w:rStyle w:val="1"/>
        </w:rPr>
      </w:pPr>
      <w:r>
        <w:rPr>
          <w:rStyle w:val="1"/>
        </w:rPr>
        <w:t xml:space="preserve">Genero-indarkeriaren egoera batean edo hura jasateko arriskuan dauden emakumeentzako babesbideek helburu hauek dituzte:</w:t>
      </w:r>
    </w:p>
    <w:p>
      <w:pPr>
        <w:pStyle w:val="0"/>
        <w:suppressAutoHyphens w:val="false"/>
        <w:rPr>
          <w:rStyle w:val="1"/>
        </w:rPr>
      </w:pPr>
      <w:r>
        <w:rPr>
          <w:rStyle w:val="1"/>
        </w:rPr>
        <w:t xml:space="preserve">a) Etengabeko lokalizazioa eta komunikazioa erraztea.</w:t>
      </w:r>
    </w:p>
    <w:p>
      <w:pPr>
        <w:pStyle w:val="0"/>
        <w:suppressAutoHyphens w:val="false"/>
        <w:rPr>
          <w:rStyle w:val="1"/>
        </w:rPr>
      </w:pPr>
      <w:r>
        <w:rPr>
          <w:rStyle w:val="1"/>
        </w:rPr>
        <w:t xml:space="preserve">b) Urrunetik berehalako arreta ematea.</w:t>
      </w:r>
    </w:p>
    <w:p>
      <w:pPr>
        <w:pStyle w:val="0"/>
        <w:suppressAutoHyphens w:val="false"/>
        <w:rPr>
          <w:rStyle w:val="1"/>
        </w:rPr>
      </w:pPr>
      <w:r>
        <w:rPr>
          <w:rStyle w:val="1"/>
        </w:rPr>
        <w:t xml:space="preserve">c) Berehalako babes egokia ematea larrialdietan”.</w:t>
      </w:r>
    </w:p>
    <w:p>
      <w:pPr>
        <w:pStyle w:val="0"/>
        <w:suppressAutoHyphens w:val="false"/>
        <w:rPr>
          <w:rStyle w:val="1"/>
        </w:rPr>
      </w:pPr>
      <w:r>
        <w:rPr>
          <w:rStyle w:val="1"/>
          <w:b w:val="true"/>
        </w:rPr>
        <w:t xml:space="preserve">Xedapen iragankor bakarra.</w:t>
      </w:r>
      <w:r>
        <w:rPr>
          <w:rStyle w:val="1"/>
        </w:rPr>
        <w:t xml:space="preserve"> Erregelamendu bidezko garapena.</w:t>
      </w:r>
    </w:p>
    <w:p>
      <w:pPr>
        <w:pStyle w:val="0"/>
        <w:suppressAutoHyphens w:val="false"/>
        <w:rPr>
          <w:rStyle w:val="1"/>
        </w:rPr>
      </w:pPr>
      <w:r>
        <w:rPr>
          <w:rStyle w:val="1"/>
        </w:rPr>
        <w:t xml:space="preserve">Nafarroako Gobernuak foru lege hau aplikatzeko eta garatzeko behar diren xedapenak emanen ditu hiru hilabeteko gutxieneko epean, eta horretarako Nafarroako Berdintasunerako Institutuaren nahiz Gobernuaren bestelako erakunde eskudun batzuen laguntza izanen du.</w:t>
      </w:r>
    </w:p>
    <w:p>
      <w:pPr>
        <w:pStyle w:val="0"/>
        <w:suppressAutoHyphens w:val="false"/>
        <w:rPr>
          <w:rStyle w:val="1"/>
        </w:rPr>
      </w:pPr>
      <w:r>
        <w:rPr>
          <w:rStyle w:val="1"/>
        </w:rPr>
        <w:t xml:space="preserve">Halaber, txakur-trebakuntzaren eta genero-indarkeriaren arloko adituen aholkularitza ziurtatuko du.</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