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medidas de apoyo, coordinación y colaboración que se han puesto en marcha para el desarrollo del sector agroalimentario en la Ribera de Navarra,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-¿Qué nuevas medidas de apoyo, coordinación y colaboración con todos los organismos y entidades involucradas en el desarrollo del sector agroalimentario ha puesto en marcha el Gobierno de Navarra en la Ribera?</w:t>
      </w:r>
    </w:p>
    <w:p>
      <w:pPr>
        <w:pStyle w:val="0"/>
        <w:suppressAutoHyphens w:val="false"/>
        <w:rPr>
          <w:rStyle w:val="1"/>
        </w:rPr>
      </w:pPr>
      <w:r>
        <w:rPr>
          <w:rStyle w:val="1"/>
        </w:rPr>
        <w:t xml:space="preserve">Corella a 7 de noviembre de 2018</w:t>
      </w:r>
    </w:p>
    <w:p>
      <w:pPr>
        <w:pStyle w:val="0"/>
        <w:suppressAutoHyphens w:val="false"/>
        <w:rPr>
          <w:rStyle w:val="1"/>
          <w:spacing w:val="-3.841"/>
        </w:rPr>
      </w:pPr>
      <w:r>
        <w:rPr>
          <w:rStyle w:val="1"/>
          <w:spacing w:val="-3.84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