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noviembre de 2018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posibles consecuencias presupuestarias que puede conllevar la supresión de la compra de deuda pública por parte del BCE,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noviembre de 2018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Bildu-Nafarroa, al amparo de lo establecido en el Reglamento de la Cámara, realiza la siguiente pregunta para que sea respondida en el Pleno de la Cámara por el Gobierno de Navarra.</w:t>
      </w:r>
    </w:p>
    <w:p>
      <w:pPr>
        <w:pStyle w:val="0"/>
        <w:suppressAutoHyphens w:val="false"/>
        <w:rPr>
          <w:rStyle w:val="1"/>
        </w:rPr>
      </w:pPr>
      <w:r>
        <w:rPr>
          <w:rStyle w:val="1"/>
        </w:rPr>
        <w:t xml:space="preserve">• ¿Cuáles son las posibles consecuencias presupuestarias que puede conllevar la supresión de la compra de deuda pública por parte del BCE?</w:t>
      </w:r>
    </w:p>
    <w:p>
      <w:pPr>
        <w:pStyle w:val="0"/>
        <w:suppressAutoHyphens w:val="false"/>
        <w:rPr>
          <w:rStyle w:val="1"/>
        </w:rPr>
      </w:pPr>
      <w:r>
        <w:rPr>
          <w:rStyle w:val="1"/>
        </w:rPr>
        <w:t xml:space="preserve">En Iruñea, a 15 de noviembre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