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9A02F0" w:rsidRDefault="00FA495F" w:rsidP="00CB3A5E">
      <w:pPr>
        <w:pStyle w:val="EstiloPortada"/>
        <w:tabs>
          <w:tab w:val="left" w:pos="3969"/>
        </w:tabs>
        <w:ind w:left="3969" w:right="-58"/>
        <w:jc w:val="both"/>
        <w:rPr>
          <w:sz w:val="36"/>
          <w:szCs w:val="36"/>
        </w:rPr>
      </w:pPr>
      <w:r w:rsidRPr="009A02F0">
        <w:rPr>
          <w:rFonts w:ascii="Arial" w:hAnsi="Arial" w:cs="Arial"/>
          <w:noProof/>
          <w:color w:val="808080"/>
          <w:sz w:val="36"/>
          <w:szCs w:val="36"/>
          <w:lang w:val="es-ES" w:eastAsia="es-ES"/>
        </w:rPr>
        <mc:AlternateContent>
          <mc:Choice Requires="wps">
            <w:drawing>
              <wp:anchor distT="0" distB="0" distL="114300" distR="114300" simplePos="0" relativeHeight="251657728" behindDoc="0" locked="0" layoutInCell="1" allowOverlap="1" wp14:anchorId="284DE0C0" wp14:editId="4EB3E97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6A42CC" w:rsidRPr="003A7956" w:rsidRDefault="006A42CC" w:rsidP="004C3423">
                            <w:pPr>
                              <w:spacing w:after="0"/>
                              <w:ind w:firstLine="0"/>
                              <w:jc w:val="center"/>
                              <w:rPr>
                                <w:sz w:val="18"/>
                                <w:szCs w:val="18"/>
                                <w:lang w:val="es-ES"/>
                              </w:rPr>
                            </w:pPr>
                            <w:r w:rsidRPr="003A7956">
                              <w:rPr>
                                <w:sz w:val="18"/>
                                <w:szCs w:val="18"/>
                                <w:lang w:val="es-ES"/>
                              </w:rPr>
                              <w:t>CAMARA DE</w:t>
                            </w:r>
                          </w:p>
                          <w:p w:rsidR="006A42CC" w:rsidRPr="003A7956" w:rsidRDefault="006A42CC" w:rsidP="004C3423">
                            <w:pPr>
                              <w:spacing w:after="0"/>
                              <w:ind w:firstLine="0"/>
                              <w:jc w:val="center"/>
                              <w:rPr>
                                <w:sz w:val="18"/>
                                <w:szCs w:val="18"/>
                                <w:lang w:val="es-ES"/>
                              </w:rPr>
                            </w:pPr>
                            <w:r w:rsidRPr="003A7956">
                              <w:rPr>
                                <w:sz w:val="18"/>
                                <w:szCs w:val="18"/>
                                <w:lang w:val="es-ES"/>
                              </w:rPr>
                              <w:t>COMPTOS</w:t>
                            </w:r>
                          </w:p>
                          <w:p w:rsidR="006A42CC" w:rsidRPr="003A7956" w:rsidRDefault="006A42CC" w:rsidP="004C3423">
                            <w:pPr>
                              <w:spacing w:after="0"/>
                              <w:ind w:firstLine="0"/>
                              <w:jc w:val="center"/>
                              <w:rPr>
                                <w:sz w:val="18"/>
                                <w:szCs w:val="18"/>
                                <w:lang w:val="es-ES"/>
                              </w:rPr>
                            </w:pPr>
                            <w:r w:rsidRPr="003A7956">
                              <w:rPr>
                                <w:sz w:val="18"/>
                                <w:szCs w:val="18"/>
                                <w:lang w:val="es-ES"/>
                              </w:rPr>
                              <w:t>DE NAVARRA</w:t>
                            </w:r>
                          </w:p>
                          <w:p w:rsidR="006A42CC" w:rsidRPr="003A7956" w:rsidRDefault="006A42CC" w:rsidP="004C3423">
                            <w:pPr>
                              <w:spacing w:after="0"/>
                              <w:ind w:firstLine="0"/>
                              <w:jc w:val="center"/>
                              <w:rPr>
                                <w:color w:val="808080"/>
                                <w:sz w:val="18"/>
                                <w:szCs w:val="18"/>
                                <w:lang w:val="es-ES"/>
                              </w:rPr>
                            </w:pPr>
                            <w:r w:rsidRPr="003A7956">
                              <w:rPr>
                                <w:color w:val="808080"/>
                                <w:sz w:val="18"/>
                                <w:szCs w:val="18"/>
                                <w:lang w:val="es-ES"/>
                              </w:rPr>
                              <w:t>NAFARROAKO</w:t>
                            </w:r>
                          </w:p>
                          <w:p w:rsidR="006A42CC" w:rsidRPr="003A7956" w:rsidRDefault="006A42CC" w:rsidP="004C3423">
                            <w:pPr>
                              <w:spacing w:after="0"/>
                              <w:ind w:firstLine="0"/>
                              <w:jc w:val="center"/>
                              <w:rPr>
                                <w:color w:val="808080"/>
                                <w:sz w:val="18"/>
                                <w:szCs w:val="18"/>
                                <w:lang w:val="es-ES"/>
                              </w:rPr>
                            </w:pPr>
                            <w:r w:rsidRPr="003A7956">
                              <w:rPr>
                                <w:color w:val="808080"/>
                                <w:sz w:val="18"/>
                                <w:szCs w:val="18"/>
                                <w:lang w:val="es-ES"/>
                              </w:rPr>
                              <w:t>KONTUEN</w:t>
                            </w:r>
                          </w:p>
                          <w:p w:rsidR="006A42CC" w:rsidRPr="003A7956" w:rsidRDefault="006A42CC" w:rsidP="004C3423">
                            <w:pPr>
                              <w:spacing w:after="0"/>
                              <w:ind w:firstLine="0"/>
                              <w:jc w:val="center"/>
                              <w:rPr>
                                <w:color w:val="808080"/>
                                <w:sz w:val="18"/>
                                <w:szCs w:val="18"/>
                                <w:lang w:val="es-ES"/>
                              </w:rPr>
                            </w:pPr>
                            <w:r w:rsidRPr="003A7956">
                              <w:rPr>
                                <w:color w:val="808080"/>
                                <w:sz w:val="18"/>
                                <w:szCs w:val="18"/>
                                <w:lang w:val="es-ES"/>
                              </w:rPr>
                              <w:t>GANBERA</w:t>
                            </w:r>
                          </w:p>
                          <w:p w:rsidR="006A42CC" w:rsidRPr="002C7026" w:rsidRDefault="006A42CC"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6A42CC" w:rsidRPr="003A7956" w:rsidRDefault="006A42CC" w:rsidP="004C3423">
                      <w:pPr>
                        <w:spacing w:after="0"/>
                        <w:ind w:firstLine="0"/>
                        <w:jc w:val="center"/>
                        <w:rPr>
                          <w:sz w:val="18"/>
                          <w:szCs w:val="18"/>
                          <w:lang w:val="es-ES"/>
                        </w:rPr>
                      </w:pPr>
                      <w:r w:rsidRPr="003A7956">
                        <w:rPr>
                          <w:sz w:val="18"/>
                          <w:szCs w:val="18"/>
                          <w:lang w:val="es-ES"/>
                        </w:rPr>
                        <w:t>CAMARA DE</w:t>
                      </w:r>
                    </w:p>
                    <w:p w:rsidR="006A42CC" w:rsidRPr="003A7956" w:rsidRDefault="006A42CC" w:rsidP="004C3423">
                      <w:pPr>
                        <w:spacing w:after="0"/>
                        <w:ind w:firstLine="0"/>
                        <w:jc w:val="center"/>
                        <w:rPr>
                          <w:sz w:val="18"/>
                          <w:szCs w:val="18"/>
                          <w:lang w:val="es-ES"/>
                        </w:rPr>
                      </w:pPr>
                      <w:r w:rsidRPr="003A7956">
                        <w:rPr>
                          <w:sz w:val="18"/>
                          <w:szCs w:val="18"/>
                          <w:lang w:val="es-ES"/>
                        </w:rPr>
                        <w:t>COMPTOS</w:t>
                      </w:r>
                    </w:p>
                    <w:p w:rsidR="006A42CC" w:rsidRPr="003A7956" w:rsidRDefault="006A42CC" w:rsidP="004C3423">
                      <w:pPr>
                        <w:spacing w:after="0"/>
                        <w:ind w:firstLine="0"/>
                        <w:jc w:val="center"/>
                        <w:rPr>
                          <w:sz w:val="18"/>
                          <w:szCs w:val="18"/>
                          <w:lang w:val="es-ES"/>
                        </w:rPr>
                      </w:pPr>
                      <w:r w:rsidRPr="003A7956">
                        <w:rPr>
                          <w:sz w:val="18"/>
                          <w:szCs w:val="18"/>
                          <w:lang w:val="es-ES"/>
                        </w:rPr>
                        <w:t>DE NAVARRA</w:t>
                      </w:r>
                    </w:p>
                    <w:p w:rsidR="006A42CC" w:rsidRPr="003A7956" w:rsidRDefault="006A42CC" w:rsidP="004C3423">
                      <w:pPr>
                        <w:spacing w:after="0"/>
                        <w:ind w:firstLine="0"/>
                        <w:jc w:val="center"/>
                        <w:rPr>
                          <w:color w:val="808080"/>
                          <w:sz w:val="18"/>
                          <w:szCs w:val="18"/>
                          <w:lang w:val="es-ES"/>
                        </w:rPr>
                      </w:pPr>
                      <w:r w:rsidRPr="003A7956">
                        <w:rPr>
                          <w:color w:val="808080"/>
                          <w:sz w:val="18"/>
                          <w:szCs w:val="18"/>
                          <w:lang w:val="es-ES"/>
                        </w:rPr>
                        <w:t>NAFARROAKO</w:t>
                      </w:r>
                    </w:p>
                    <w:p w:rsidR="006A42CC" w:rsidRPr="003A7956" w:rsidRDefault="006A42CC" w:rsidP="004C3423">
                      <w:pPr>
                        <w:spacing w:after="0"/>
                        <w:ind w:firstLine="0"/>
                        <w:jc w:val="center"/>
                        <w:rPr>
                          <w:color w:val="808080"/>
                          <w:sz w:val="18"/>
                          <w:szCs w:val="18"/>
                          <w:lang w:val="es-ES"/>
                        </w:rPr>
                      </w:pPr>
                      <w:r w:rsidRPr="003A7956">
                        <w:rPr>
                          <w:color w:val="808080"/>
                          <w:sz w:val="18"/>
                          <w:szCs w:val="18"/>
                          <w:lang w:val="es-ES"/>
                        </w:rPr>
                        <w:t>KONTUEN</w:t>
                      </w:r>
                    </w:p>
                    <w:p w:rsidR="006A42CC" w:rsidRPr="003A7956" w:rsidRDefault="006A42CC" w:rsidP="004C3423">
                      <w:pPr>
                        <w:spacing w:after="0"/>
                        <w:ind w:firstLine="0"/>
                        <w:jc w:val="center"/>
                        <w:rPr>
                          <w:color w:val="808080"/>
                          <w:sz w:val="18"/>
                          <w:szCs w:val="18"/>
                          <w:lang w:val="es-ES"/>
                        </w:rPr>
                      </w:pPr>
                      <w:r w:rsidRPr="003A7956">
                        <w:rPr>
                          <w:color w:val="808080"/>
                          <w:sz w:val="18"/>
                          <w:szCs w:val="18"/>
                          <w:lang w:val="es-ES"/>
                        </w:rPr>
                        <w:t>GANBERA</w:t>
                      </w:r>
                    </w:p>
                    <w:p w:rsidR="006A42CC" w:rsidRPr="002C7026" w:rsidRDefault="006A42CC" w:rsidP="002C7026">
                      <w:pPr>
                        <w:spacing w:after="0"/>
                        <w:ind w:firstLine="0"/>
                        <w:jc w:val="center"/>
                        <w:rPr>
                          <w:rFonts w:ascii="Trajan" w:hAnsi="Trajan"/>
                          <w:color w:val="808080"/>
                          <w:sz w:val="18"/>
                          <w:szCs w:val="18"/>
                          <w:lang w:val="es-ES"/>
                        </w:rPr>
                      </w:pPr>
                    </w:p>
                  </w:txbxContent>
                </v:textbox>
              </v:shape>
            </w:pict>
          </mc:Fallback>
        </mc:AlternateContent>
      </w:r>
    </w:p>
    <w:p w:rsidR="00CB3A5E" w:rsidRDefault="00CB3A5E" w:rsidP="00CB3A5E">
      <w:pPr>
        <w:pStyle w:val="EstiloPortada"/>
        <w:ind w:left="3969"/>
        <w:rPr>
          <w:szCs w:val="60"/>
          <w:lang w:eastAsia="es-ES"/>
        </w:rPr>
      </w:pPr>
      <w:r w:rsidRPr="00B269C8">
        <w:rPr>
          <w:szCs w:val="60"/>
          <w:lang w:eastAsia="es-ES"/>
        </w:rPr>
        <w:t xml:space="preserve">Cuentas </w:t>
      </w:r>
      <w:r w:rsidR="00E42AD1">
        <w:rPr>
          <w:szCs w:val="60"/>
          <w:lang w:eastAsia="es-ES"/>
        </w:rPr>
        <w:t>g</w:t>
      </w:r>
      <w:r w:rsidRPr="00B269C8">
        <w:rPr>
          <w:szCs w:val="60"/>
          <w:lang w:eastAsia="es-ES"/>
        </w:rPr>
        <w:t xml:space="preserve">enerales </w:t>
      </w:r>
    </w:p>
    <w:p w:rsidR="001C3A32" w:rsidRPr="00CB3A5E" w:rsidRDefault="00CB3A5E" w:rsidP="00CB3A5E">
      <w:pPr>
        <w:pStyle w:val="texto"/>
        <w:ind w:left="3969" w:firstLine="0"/>
        <w:rPr>
          <w:b/>
          <w:spacing w:val="0"/>
          <w:sz w:val="60"/>
          <w:szCs w:val="60"/>
          <w:lang w:eastAsia="es-ES"/>
        </w:rPr>
      </w:pPr>
      <w:proofErr w:type="gramStart"/>
      <w:r w:rsidRPr="00CB3A5E">
        <w:rPr>
          <w:b/>
          <w:spacing w:val="0"/>
          <w:sz w:val="60"/>
          <w:szCs w:val="60"/>
          <w:lang w:eastAsia="es-ES"/>
        </w:rPr>
        <w:t>de</w:t>
      </w:r>
      <w:proofErr w:type="gramEnd"/>
      <w:r w:rsidRPr="00CB3A5E">
        <w:rPr>
          <w:b/>
          <w:spacing w:val="0"/>
          <w:sz w:val="60"/>
          <w:szCs w:val="60"/>
          <w:lang w:eastAsia="es-ES"/>
        </w:rPr>
        <w:t xml:space="preserve"> Navarra, 2017</w:t>
      </w: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893F56" w:rsidRDefault="00893F56" w:rsidP="00891D73">
      <w:pPr>
        <w:pStyle w:val="texto"/>
      </w:pPr>
    </w:p>
    <w:p w:rsidR="00893F56" w:rsidRPr="00204979" w:rsidRDefault="00893F56" w:rsidP="00891D73">
      <w:pPr>
        <w:pStyle w:val="texto"/>
      </w:pPr>
    </w:p>
    <w:p w:rsidR="001C3A32" w:rsidRPr="00204979" w:rsidRDefault="001C3A32" w:rsidP="00891D73">
      <w:pPr>
        <w:pStyle w:val="texto"/>
      </w:pPr>
    </w:p>
    <w:p w:rsidR="00844F74" w:rsidRPr="00204979" w:rsidRDefault="00844F74" w:rsidP="00891D73">
      <w:pPr>
        <w:pStyle w:val="texto"/>
      </w:pPr>
    </w:p>
    <w:p w:rsidR="00844F74" w:rsidRDefault="00844F74" w:rsidP="00891D73">
      <w:pPr>
        <w:pStyle w:val="texto"/>
      </w:pPr>
    </w:p>
    <w:p w:rsidR="009A5CE1" w:rsidRDefault="009A5CE1" w:rsidP="00891D73">
      <w:pPr>
        <w:pStyle w:val="texto"/>
      </w:pPr>
    </w:p>
    <w:p w:rsidR="009A5CE1" w:rsidRDefault="009A5CE1" w:rsidP="00891D73">
      <w:pPr>
        <w:pStyle w:val="texto"/>
      </w:pPr>
    </w:p>
    <w:p w:rsidR="009A5CE1" w:rsidRPr="00204979" w:rsidRDefault="009A5CE1" w:rsidP="00891D73">
      <w:pPr>
        <w:pStyle w:val="texto"/>
      </w:pPr>
    </w:p>
    <w:p w:rsidR="00716463" w:rsidRPr="001D4F09" w:rsidRDefault="00844C81" w:rsidP="009936FC">
      <w:pPr>
        <w:pStyle w:val="Fechaportada"/>
      </w:pPr>
      <w:r>
        <w:t>Noviembre</w:t>
      </w:r>
      <w:r w:rsidR="00893F56">
        <w:t xml:space="preserve"> de 2018</w:t>
      </w:r>
    </w:p>
    <w:p w:rsidR="008E3FFE" w:rsidRPr="001D4F09" w:rsidRDefault="008E3FFE" w:rsidP="00891D73">
      <w:pPr>
        <w:pStyle w:val="ndice"/>
        <w:rPr>
          <w:rFonts w:ascii="Times New Roman" w:hAnsi="Times New Roman"/>
        </w:rPr>
        <w:sectPr w:rsidR="008E3FFE" w:rsidRPr="001D4F09" w:rsidSect="0019660E">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CB3A5E" w:rsidRDefault="00CB3A5E" w:rsidP="00CB3A5E">
      <w:pPr>
        <w:pStyle w:val="ndice"/>
      </w:pPr>
      <w:r w:rsidRPr="00891D73">
        <w:lastRenderedPageBreak/>
        <w:t>Índice</w:t>
      </w:r>
    </w:p>
    <w:p w:rsidR="00CB3A5E" w:rsidRPr="004740FB" w:rsidRDefault="00CB3A5E" w:rsidP="00CB3A5E">
      <w:pPr>
        <w:pStyle w:val="ndice"/>
        <w:ind w:right="-156"/>
        <w:jc w:val="right"/>
        <w:rPr>
          <w:b w:val="0"/>
          <w:i/>
          <w:sz w:val="16"/>
          <w:szCs w:val="16"/>
        </w:rPr>
      </w:pPr>
      <w:r w:rsidRPr="004740FB">
        <w:rPr>
          <w:b w:val="0"/>
          <w:i/>
          <w:sz w:val="16"/>
          <w:szCs w:val="16"/>
        </w:rPr>
        <w:t>P</w:t>
      </w:r>
      <w:r>
        <w:rPr>
          <w:b w:val="0"/>
          <w:i/>
          <w:sz w:val="16"/>
          <w:szCs w:val="16"/>
        </w:rPr>
        <w:t>á</w:t>
      </w:r>
      <w:r w:rsidRPr="004740FB">
        <w:rPr>
          <w:b w:val="0"/>
          <w:i/>
          <w:sz w:val="16"/>
          <w:szCs w:val="16"/>
        </w:rPr>
        <w:t>gina</w:t>
      </w:r>
    </w:p>
    <w:p w:rsidR="006A42CC" w:rsidRDefault="0014728F" w:rsidP="0060319E">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530034651" w:history="1">
        <w:r w:rsidR="006A42CC" w:rsidRPr="002D412D">
          <w:rPr>
            <w:rStyle w:val="Hipervnculo"/>
            <w:noProof/>
          </w:rPr>
          <w:t>Resumen ejecutivo</w:t>
        </w:r>
        <w:r w:rsidR="006A42CC">
          <w:rPr>
            <w:noProof/>
            <w:webHidden/>
          </w:rPr>
          <w:tab/>
        </w:r>
        <w:r w:rsidR="006A42CC">
          <w:rPr>
            <w:noProof/>
            <w:webHidden/>
          </w:rPr>
          <w:fldChar w:fldCharType="begin"/>
        </w:r>
        <w:r w:rsidR="006A42CC">
          <w:rPr>
            <w:noProof/>
            <w:webHidden/>
          </w:rPr>
          <w:instrText xml:space="preserve"> PAGEREF _Toc530034651 \h </w:instrText>
        </w:r>
        <w:r w:rsidR="006A42CC">
          <w:rPr>
            <w:noProof/>
            <w:webHidden/>
          </w:rPr>
        </w:r>
        <w:r w:rsidR="006A42CC">
          <w:rPr>
            <w:noProof/>
            <w:webHidden/>
          </w:rPr>
          <w:fldChar w:fldCharType="separate"/>
        </w:r>
        <w:r w:rsidR="00261222">
          <w:rPr>
            <w:noProof/>
            <w:webHidden/>
          </w:rPr>
          <w:t>3</w:t>
        </w:r>
        <w:r w:rsidR="006A42CC">
          <w:rPr>
            <w:noProof/>
            <w:webHidden/>
          </w:rPr>
          <w:fldChar w:fldCharType="end"/>
        </w:r>
      </w:hyperlink>
    </w:p>
    <w:p w:rsidR="006A42CC" w:rsidRDefault="005A7397" w:rsidP="0060319E">
      <w:pPr>
        <w:pStyle w:val="TDC1"/>
        <w:rPr>
          <w:rFonts w:asciiTheme="minorHAnsi" w:eastAsiaTheme="minorEastAsia" w:hAnsiTheme="minorHAnsi" w:cstheme="minorBidi"/>
          <w:smallCaps w:val="0"/>
          <w:noProof/>
          <w:szCs w:val="22"/>
          <w:lang w:val="es-ES" w:eastAsia="es-ES"/>
        </w:rPr>
      </w:pPr>
      <w:hyperlink w:anchor="_Toc530034652" w:history="1">
        <w:r w:rsidR="006A42CC" w:rsidRPr="002D412D">
          <w:rPr>
            <w:rStyle w:val="Hipervnculo"/>
            <w:noProof/>
          </w:rPr>
          <w:t>I. Introducción</w:t>
        </w:r>
        <w:r w:rsidR="006A42CC">
          <w:rPr>
            <w:noProof/>
            <w:webHidden/>
          </w:rPr>
          <w:tab/>
        </w:r>
        <w:r w:rsidR="006A42CC">
          <w:rPr>
            <w:noProof/>
            <w:webHidden/>
          </w:rPr>
          <w:fldChar w:fldCharType="begin"/>
        </w:r>
        <w:r w:rsidR="006A42CC">
          <w:rPr>
            <w:noProof/>
            <w:webHidden/>
          </w:rPr>
          <w:instrText xml:space="preserve"> PAGEREF _Toc530034652 \h </w:instrText>
        </w:r>
        <w:r w:rsidR="006A42CC">
          <w:rPr>
            <w:noProof/>
            <w:webHidden/>
          </w:rPr>
        </w:r>
        <w:r w:rsidR="006A42CC">
          <w:rPr>
            <w:noProof/>
            <w:webHidden/>
          </w:rPr>
          <w:fldChar w:fldCharType="separate"/>
        </w:r>
        <w:r w:rsidR="00261222">
          <w:rPr>
            <w:noProof/>
            <w:webHidden/>
          </w:rPr>
          <w:t>5</w:t>
        </w:r>
        <w:r w:rsidR="006A42CC">
          <w:rPr>
            <w:noProof/>
            <w:webHidden/>
          </w:rPr>
          <w:fldChar w:fldCharType="end"/>
        </w:r>
      </w:hyperlink>
    </w:p>
    <w:p w:rsidR="006A42CC" w:rsidRDefault="005A7397" w:rsidP="0060319E">
      <w:pPr>
        <w:pStyle w:val="TDC1"/>
        <w:rPr>
          <w:rFonts w:asciiTheme="minorHAnsi" w:eastAsiaTheme="minorEastAsia" w:hAnsiTheme="minorHAnsi" w:cstheme="minorBidi"/>
          <w:smallCaps w:val="0"/>
          <w:noProof/>
          <w:szCs w:val="22"/>
          <w:lang w:val="es-ES" w:eastAsia="es-ES"/>
        </w:rPr>
      </w:pPr>
      <w:hyperlink w:anchor="_Toc530034653" w:history="1">
        <w:r w:rsidR="006A42CC" w:rsidRPr="002D412D">
          <w:rPr>
            <w:rStyle w:val="Hipervnculo"/>
            <w:noProof/>
          </w:rPr>
          <w:t>II. Delimitación del Sector Público Foral</w:t>
        </w:r>
        <w:r w:rsidR="006A42CC">
          <w:rPr>
            <w:noProof/>
            <w:webHidden/>
          </w:rPr>
          <w:tab/>
        </w:r>
        <w:r w:rsidR="006A42CC">
          <w:rPr>
            <w:noProof/>
            <w:webHidden/>
          </w:rPr>
          <w:fldChar w:fldCharType="begin"/>
        </w:r>
        <w:r w:rsidR="006A42CC">
          <w:rPr>
            <w:noProof/>
            <w:webHidden/>
          </w:rPr>
          <w:instrText xml:space="preserve"> PAGEREF _Toc530034653 \h </w:instrText>
        </w:r>
        <w:r w:rsidR="006A42CC">
          <w:rPr>
            <w:noProof/>
            <w:webHidden/>
          </w:rPr>
        </w:r>
        <w:r w:rsidR="006A42CC">
          <w:rPr>
            <w:noProof/>
            <w:webHidden/>
          </w:rPr>
          <w:fldChar w:fldCharType="separate"/>
        </w:r>
        <w:r w:rsidR="00261222">
          <w:rPr>
            <w:noProof/>
            <w:webHidden/>
          </w:rPr>
          <w:t>8</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54" w:history="1">
        <w:r w:rsidR="006A42CC" w:rsidRPr="002D412D">
          <w:rPr>
            <w:rStyle w:val="Hipervnculo"/>
            <w:noProof/>
          </w:rPr>
          <w:t>II.1. Sector Público Foral según la Ley Foral 13/2007, de 4 de abril, de la Hacienda Pública de Navarra</w:t>
        </w:r>
        <w:r w:rsidR="006A42CC">
          <w:rPr>
            <w:noProof/>
            <w:webHidden/>
          </w:rPr>
          <w:tab/>
        </w:r>
        <w:r w:rsidR="006A42CC">
          <w:rPr>
            <w:noProof/>
            <w:webHidden/>
          </w:rPr>
          <w:fldChar w:fldCharType="begin"/>
        </w:r>
        <w:r w:rsidR="006A42CC">
          <w:rPr>
            <w:noProof/>
            <w:webHidden/>
          </w:rPr>
          <w:instrText xml:space="preserve"> PAGEREF _Toc530034654 \h </w:instrText>
        </w:r>
        <w:r w:rsidR="006A42CC">
          <w:rPr>
            <w:noProof/>
            <w:webHidden/>
          </w:rPr>
        </w:r>
        <w:r w:rsidR="006A42CC">
          <w:rPr>
            <w:noProof/>
            <w:webHidden/>
          </w:rPr>
          <w:fldChar w:fldCharType="separate"/>
        </w:r>
        <w:r w:rsidR="00261222">
          <w:rPr>
            <w:noProof/>
            <w:webHidden/>
          </w:rPr>
          <w:t>8</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55" w:history="1">
        <w:r w:rsidR="006A42CC" w:rsidRPr="002D412D">
          <w:rPr>
            <w:rStyle w:val="Hipervnculo"/>
            <w:noProof/>
          </w:rPr>
          <w:t>II.2. Sector Administración Pública de Navarra según la Ley Orgánica 2/2012, de 27 de abril, de Estabilidad Presupuestaria y Sostenibilidad Financiera</w:t>
        </w:r>
        <w:r w:rsidR="006A42CC">
          <w:rPr>
            <w:noProof/>
            <w:webHidden/>
          </w:rPr>
          <w:tab/>
        </w:r>
        <w:r w:rsidR="006A42CC">
          <w:rPr>
            <w:noProof/>
            <w:webHidden/>
          </w:rPr>
          <w:fldChar w:fldCharType="begin"/>
        </w:r>
        <w:r w:rsidR="006A42CC">
          <w:rPr>
            <w:noProof/>
            <w:webHidden/>
          </w:rPr>
          <w:instrText xml:space="preserve"> PAGEREF _Toc530034655 \h </w:instrText>
        </w:r>
        <w:r w:rsidR="006A42CC">
          <w:rPr>
            <w:noProof/>
            <w:webHidden/>
          </w:rPr>
        </w:r>
        <w:r w:rsidR="006A42CC">
          <w:rPr>
            <w:noProof/>
            <w:webHidden/>
          </w:rPr>
          <w:fldChar w:fldCharType="separate"/>
        </w:r>
        <w:r w:rsidR="00261222">
          <w:rPr>
            <w:noProof/>
            <w:webHidden/>
          </w:rPr>
          <w:t>11</w:t>
        </w:r>
        <w:r w:rsidR="006A42CC">
          <w:rPr>
            <w:noProof/>
            <w:webHidden/>
          </w:rPr>
          <w:fldChar w:fldCharType="end"/>
        </w:r>
      </w:hyperlink>
    </w:p>
    <w:p w:rsidR="006A42CC" w:rsidRDefault="005A7397" w:rsidP="0060319E">
      <w:pPr>
        <w:pStyle w:val="TDC1"/>
        <w:rPr>
          <w:rFonts w:asciiTheme="minorHAnsi" w:eastAsiaTheme="minorEastAsia" w:hAnsiTheme="minorHAnsi" w:cstheme="minorBidi"/>
          <w:smallCaps w:val="0"/>
          <w:noProof/>
          <w:szCs w:val="22"/>
          <w:lang w:val="es-ES" w:eastAsia="es-ES"/>
        </w:rPr>
      </w:pPr>
      <w:hyperlink w:anchor="_Toc530034656" w:history="1">
        <w:r w:rsidR="006A42CC" w:rsidRPr="002D412D">
          <w:rPr>
            <w:rStyle w:val="Hipervnculo"/>
            <w:noProof/>
          </w:rPr>
          <w:t>III. Opinión</w:t>
        </w:r>
        <w:r w:rsidR="006A42CC">
          <w:rPr>
            <w:noProof/>
            <w:webHidden/>
          </w:rPr>
          <w:tab/>
        </w:r>
        <w:r w:rsidR="006A42CC">
          <w:rPr>
            <w:noProof/>
            <w:webHidden/>
          </w:rPr>
          <w:fldChar w:fldCharType="begin"/>
        </w:r>
        <w:r w:rsidR="006A42CC">
          <w:rPr>
            <w:noProof/>
            <w:webHidden/>
          </w:rPr>
          <w:instrText xml:space="preserve"> PAGEREF _Toc530034656 \h </w:instrText>
        </w:r>
        <w:r w:rsidR="006A42CC">
          <w:rPr>
            <w:noProof/>
            <w:webHidden/>
          </w:rPr>
        </w:r>
        <w:r w:rsidR="006A42CC">
          <w:rPr>
            <w:noProof/>
            <w:webHidden/>
          </w:rPr>
          <w:fldChar w:fldCharType="separate"/>
        </w:r>
        <w:r w:rsidR="00261222">
          <w:rPr>
            <w:noProof/>
            <w:webHidden/>
          </w:rPr>
          <w:t>13</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57" w:history="1">
        <w:r w:rsidR="006A42CC" w:rsidRPr="002D412D">
          <w:rPr>
            <w:rStyle w:val="Hipervnculo"/>
            <w:noProof/>
          </w:rPr>
          <w:t>III.1. Opinión de auditoría financiera sobre las cuentas anuales de 2017</w:t>
        </w:r>
        <w:r w:rsidR="006A42CC">
          <w:rPr>
            <w:noProof/>
            <w:webHidden/>
          </w:rPr>
          <w:tab/>
        </w:r>
        <w:r w:rsidR="006A42CC">
          <w:rPr>
            <w:noProof/>
            <w:webHidden/>
          </w:rPr>
          <w:fldChar w:fldCharType="begin"/>
        </w:r>
        <w:r w:rsidR="006A42CC">
          <w:rPr>
            <w:noProof/>
            <w:webHidden/>
          </w:rPr>
          <w:instrText xml:space="preserve"> PAGEREF _Toc530034657 \h </w:instrText>
        </w:r>
        <w:r w:rsidR="006A42CC">
          <w:rPr>
            <w:noProof/>
            <w:webHidden/>
          </w:rPr>
        </w:r>
        <w:r w:rsidR="006A42CC">
          <w:rPr>
            <w:noProof/>
            <w:webHidden/>
          </w:rPr>
          <w:fldChar w:fldCharType="separate"/>
        </w:r>
        <w:r w:rsidR="00261222">
          <w:rPr>
            <w:noProof/>
            <w:webHidden/>
          </w:rPr>
          <w:t>14</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58" w:history="1">
        <w:r w:rsidR="006A42CC" w:rsidRPr="002D412D">
          <w:rPr>
            <w:rStyle w:val="Hipervnculo"/>
            <w:noProof/>
          </w:rPr>
          <w:t>III.2. Opinión de fiscalización de cumplimiento de legalidad</w:t>
        </w:r>
        <w:r w:rsidR="006A42CC">
          <w:rPr>
            <w:noProof/>
            <w:webHidden/>
          </w:rPr>
          <w:tab/>
        </w:r>
        <w:r w:rsidR="006A42CC">
          <w:rPr>
            <w:noProof/>
            <w:webHidden/>
          </w:rPr>
          <w:fldChar w:fldCharType="begin"/>
        </w:r>
        <w:r w:rsidR="006A42CC">
          <w:rPr>
            <w:noProof/>
            <w:webHidden/>
          </w:rPr>
          <w:instrText xml:space="preserve"> PAGEREF _Toc530034658 \h </w:instrText>
        </w:r>
        <w:r w:rsidR="006A42CC">
          <w:rPr>
            <w:noProof/>
            <w:webHidden/>
          </w:rPr>
        </w:r>
        <w:r w:rsidR="006A42CC">
          <w:rPr>
            <w:noProof/>
            <w:webHidden/>
          </w:rPr>
          <w:fldChar w:fldCharType="separate"/>
        </w:r>
        <w:r w:rsidR="00261222">
          <w:rPr>
            <w:noProof/>
            <w:webHidden/>
          </w:rPr>
          <w:t>17</w:t>
        </w:r>
        <w:r w:rsidR="006A42CC">
          <w:rPr>
            <w:noProof/>
            <w:webHidden/>
          </w:rPr>
          <w:fldChar w:fldCharType="end"/>
        </w:r>
      </w:hyperlink>
    </w:p>
    <w:p w:rsidR="006A42CC" w:rsidRDefault="005A7397" w:rsidP="0060319E">
      <w:pPr>
        <w:pStyle w:val="TDC1"/>
        <w:rPr>
          <w:rFonts w:asciiTheme="minorHAnsi" w:eastAsiaTheme="minorEastAsia" w:hAnsiTheme="minorHAnsi" w:cstheme="minorBidi"/>
          <w:smallCaps w:val="0"/>
          <w:noProof/>
          <w:szCs w:val="22"/>
          <w:lang w:val="es-ES" w:eastAsia="es-ES"/>
        </w:rPr>
      </w:pPr>
      <w:hyperlink w:anchor="_Toc530034659" w:history="1">
        <w:r w:rsidR="006A42CC" w:rsidRPr="002D412D">
          <w:rPr>
            <w:rStyle w:val="Hipervnculo"/>
            <w:noProof/>
          </w:rPr>
          <w:t>IV. Resumen de las cuentas de la Administración de la Comunidad Foral y sus organismos autónomos, ejercicio 2017</w:t>
        </w:r>
        <w:r w:rsidR="006A42CC">
          <w:rPr>
            <w:noProof/>
            <w:webHidden/>
          </w:rPr>
          <w:tab/>
        </w:r>
        <w:r w:rsidR="006A42CC">
          <w:rPr>
            <w:noProof/>
            <w:webHidden/>
          </w:rPr>
          <w:fldChar w:fldCharType="begin"/>
        </w:r>
        <w:r w:rsidR="006A42CC">
          <w:rPr>
            <w:noProof/>
            <w:webHidden/>
          </w:rPr>
          <w:instrText xml:space="preserve"> PAGEREF _Toc530034659 \h </w:instrText>
        </w:r>
        <w:r w:rsidR="006A42CC">
          <w:rPr>
            <w:noProof/>
            <w:webHidden/>
          </w:rPr>
        </w:r>
        <w:r w:rsidR="006A42CC">
          <w:rPr>
            <w:noProof/>
            <w:webHidden/>
          </w:rPr>
          <w:fldChar w:fldCharType="separate"/>
        </w:r>
        <w:r w:rsidR="00261222">
          <w:rPr>
            <w:noProof/>
            <w:webHidden/>
          </w:rPr>
          <w:t>18</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60" w:history="1">
        <w:r w:rsidR="006A42CC" w:rsidRPr="002D412D">
          <w:rPr>
            <w:rStyle w:val="Hipervnculo"/>
            <w:noProof/>
          </w:rPr>
          <w:t>IV.1. Liquidación del presupuesto 2017</w:t>
        </w:r>
        <w:r w:rsidR="006A42CC">
          <w:rPr>
            <w:noProof/>
            <w:webHidden/>
          </w:rPr>
          <w:tab/>
        </w:r>
        <w:r w:rsidR="006A42CC">
          <w:rPr>
            <w:noProof/>
            <w:webHidden/>
          </w:rPr>
          <w:fldChar w:fldCharType="begin"/>
        </w:r>
        <w:r w:rsidR="006A42CC">
          <w:rPr>
            <w:noProof/>
            <w:webHidden/>
          </w:rPr>
          <w:instrText xml:space="preserve"> PAGEREF _Toc530034660 \h </w:instrText>
        </w:r>
        <w:r w:rsidR="006A42CC">
          <w:rPr>
            <w:noProof/>
            <w:webHidden/>
          </w:rPr>
        </w:r>
        <w:r w:rsidR="006A42CC">
          <w:rPr>
            <w:noProof/>
            <w:webHidden/>
          </w:rPr>
          <w:fldChar w:fldCharType="separate"/>
        </w:r>
        <w:r w:rsidR="00261222">
          <w:rPr>
            <w:noProof/>
            <w:webHidden/>
          </w:rPr>
          <w:t>18</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61" w:history="1">
        <w:r w:rsidR="006A42CC" w:rsidRPr="002D412D">
          <w:rPr>
            <w:rStyle w:val="Hipervnculo"/>
            <w:noProof/>
          </w:rPr>
          <w:t>IV.2. Resultado presupuestario 2017</w:t>
        </w:r>
        <w:r w:rsidR="006A42CC">
          <w:rPr>
            <w:noProof/>
            <w:webHidden/>
          </w:rPr>
          <w:tab/>
        </w:r>
        <w:r w:rsidR="006A42CC">
          <w:rPr>
            <w:noProof/>
            <w:webHidden/>
          </w:rPr>
          <w:fldChar w:fldCharType="begin"/>
        </w:r>
        <w:r w:rsidR="006A42CC">
          <w:rPr>
            <w:noProof/>
            <w:webHidden/>
          </w:rPr>
          <w:instrText xml:space="preserve"> PAGEREF _Toc530034661 \h </w:instrText>
        </w:r>
        <w:r w:rsidR="006A42CC">
          <w:rPr>
            <w:noProof/>
            <w:webHidden/>
          </w:rPr>
        </w:r>
        <w:r w:rsidR="006A42CC">
          <w:rPr>
            <w:noProof/>
            <w:webHidden/>
          </w:rPr>
          <w:fldChar w:fldCharType="separate"/>
        </w:r>
        <w:r w:rsidR="00261222">
          <w:rPr>
            <w:noProof/>
            <w:webHidden/>
          </w:rPr>
          <w:t>19</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62" w:history="1">
        <w:r w:rsidR="006A42CC" w:rsidRPr="002D412D">
          <w:rPr>
            <w:rStyle w:val="Hipervnculo"/>
            <w:noProof/>
          </w:rPr>
          <w:t>IV.3. Remanente de Tesorería a 31 de diciembre de 2017</w:t>
        </w:r>
        <w:r w:rsidR="006A42CC">
          <w:rPr>
            <w:noProof/>
            <w:webHidden/>
          </w:rPr>
          <w:tab/>
        </w:r>
        <w:r w:rsidR="006A42CC">
          <w:rPr>
            <w:noProof/>
            <w:webHidden/>
          </w:rPr>
          <w:fldChar w:fldCharType="begin"/>
        </w:r>
        <w:r w:rsidR="006A42CC">
          <w:rPr>
            <w:noProof/>
            <w:webHidden/>
          </w:rPr>
          <w:instrText xml:space="preserve"> PAGEREF _Toc530034662 \h </w:instrText>
        </w:r>
        <w:r w:rsidR="006A42CC">
          <w:rPr>
            <w:noProof/>
            <w:webHidden/>
          </w:rPr>
        </w:r>
        <w:r w:rsidR="006A42CC">
          <w:rPr>
            <w:noProof/>
            <w:webHidden/>
          </w:rPr>
          <w:fldChar w:fldCharType="separate"/>
        </w:r>
        <w:r w:rsidR="00261222">
          <w:rPr>
            <w:noProof/>
            <w:webHidden/>
          </w:rPr>
          <w:t>19</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63" w:history="1">
        <w:r w:rsidR="006A42CC" w:rsidRPr="002D412D">
          <w:rPr>
            <w:rStyle w:val="Hipervnculo"/>
            <w:noProof/>
          </w:rPr>
          <w:t>IV.4. Balance de situación a 31 de diciembre de 2017</w:t>
        </w:r>
        <w:r w:rsidR="006A42CC">
          <w:rPr>
            <w:noProof/>
            <w:webHidden/>
          </w:rPr>
          <w:tab/>
        </w:r>
        <w:r w:rsidR="006A42CC">
          <w:rPr>
            <w:noProof/>
            <w:webHidden/>
          </w:rPr>
          <w:fldChar w:fldCharType="begin"/>
        </w:r>
        <w:r w:rsidR="006A42CC">
          <w:rPr>
            <w:noProof/>
            <w:webHidden/>
          </w:rPr>
          <w:instrText xml:space="preserve"> PAGEREF _Toc530034663 \h </w:instrText>
        </w:r>
        <w:r w:rsidR="006A42CC">
          <w:rPr>
            <w:noProof/>
            <w:webHidden/>
          </w:rPr>
        </w:r>
        <w:r w:rsidR="006A42CC">
          <w:rPr>
            <w:noProof/>
            <w:webHidden/>
          </w:rPr>
          <w:fldChar w:fldCharType="separate"/>
        </w:r>
        <w:r w:rsidR="00261222">
          <w:rPr>
            <w:noProof/>
            <w:webHidden/>
          </w:rPr>
          <w:t>20</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64" w:history="1">
        <w:r w:rsidR="006A42CC" w:rsidRPr="002D412D">
          <w:rPr>
            <w:rStyle w:val="Hipervnculo"/>
            <w:noProof/>
          </w:rPr>
          <w:t>IV.5. Cuenta de Resultados 2017</w:t>
        </w:r>
        <w:r w:rsidR="006A42CC">
          <w:rPr>
            <w:noProof/>
            <w:webHidden/>
          </w:rPr>
          <w:tab/>
        </w:r>
        <w:r w:rsidR="006A42CC">
          <w:rPr>
            <w:noProof/>
            <w:webHidden/>
          </w:rPr>
          <w:fldChar w:fldCharType="begin"/>
        </w:r>
        <w:r w:rsidR="006A42CC">
          <w:rPr>
            <w:noProof/>
            <w:webHidden/>
          </w:rPr>
          <w:instrText xml:space="preserve"> PAGEREF _Toc530034664 \h </w:instrText>
        </w:r>
        <w:r w:rsidR="006A42CC">
          <w:rPr>
            <w:noProof/>
            <w:webHidden/>
          </w:rPr>
        </w:r>
        <w:r w:rsidR="006A42CC">
          <w:rPr>
            <w:noProof/>
            <w:webHidden/>
          </w:rPr>
          <w:fldChar w:fldCharType="separate"/>
        </w:r>
        <w:r w:rsidR="00261222">
          <w:rPr>
            <w:noProof/>
            <w:webHidden/>
          </w:rPr>
          <w:t>21</w:t>
        </w:r>
        <w:r w:rsidR="006A42CC">
          <w:rPr>
            <w:noProof/>
            <w:webHidden/>
          </w:rPr>
          <w:fldChar w:fldCharType="end"/>
        </w:r>
      </w:hyperlink>
    </w:p>
    <w:p w:rsidR="006A42CC" w:rsidRDefault="005A7397" w:rsidP="0060319E">
      <w:pPr>
        <w:pStyle w:val="TDC1"/>
        <w:rPr>
          <w:rFonts w:asciiTheme="minorHAnsi" w:eastAsiaTheme="minorEastAsia" w:hAnsiTheme="minorHAnsi" w:cstheme="minorBidi"/>
          <w:smallCaps w:val="0"/>
          <w:noProof/>
          <w:szCs w:val="22"/>
          <w:lang w:val="es-ES" w:eastAsia="es-ES"/>
        </w:rPr>
      </w:pPr>
      <w:hyperlink w:anchor="_Toc530034665" w:history="1">
        <w:r w:rsidR="006A42CC" w:rsidRPr="002D412D">
          <w:rPr>
            <w:rStyle w:val="Hipervnculo"/>
            <w:noProof/>
          </w:rPr>
          <w:t>V. Conclusiones y recomendaciones</w:t>
        </w:r>
        <w:r w:rsidR="006A42CC">
          <w:rPr>
            <w:noProof/>
            <w:webHidden/>
          </w:rPr>
          <w:tab/>
        </w:r>
        <w:r w:rsidR="006A42CC">
          <w:rPr>
            <w:noProof/>
            <w:webHidden/>
          </w:rPr>
          <w:fldChar w:fldCharType="begin"/>
        </w:r>
        <w:r w:rsidR="006A42CC">
          <w:rPr>
            <w:noProof/>
            <w:webHidden/>
          </w:rPr>
          <w:instrText xml:space="preserve"> PAGEREF _Toc530034665 \h </w:instrText>
        </w:r>
        <w:r w:rsidR="006A42CC">
          <w:rPr>
            <w:noProof/>
            <w:webHidden/>
          </w:rPr>
        </w:r>
        <w:r w:rsidR="006A42CC">
          <w:rPr>
            <w:noProof/>
            <w:webHidden/>
          </w:rPr>
          <w:fldChar w:fldCharType="separate"/>
        </w:r>
        <w:r w:rsidR="00261222">
          <w:rPr>
            <w:noProof/>
            <w:webHidden/>
          </w:rPr>
          <w:t>23</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66" w:history="1">
        <w:r w:rsidR="006A42CC" w:rsidRPr="002D412D">
          <w:rPr>
            <w:rStyle w:val="Hipervnculo"/>
            <w:noProof/>
          </w:rPr>
          <w:t>V.1. Presupuestos generales de Navarra 2017</w:t>
        </w:r>
        <w:r w:rsidR="006A42CC">
          <w:rPr>
            <w:noProof/>
            <w:webHidden/>
          </w:rPr>
          <w:tab/>
        </w:r>
        <w:r w:rsidR="006A42CC">
          <w:rPr>
            <w:noProof/>
            <w:webHidden/>
          </w:rPr>
          <w:fldChar w:fldCharType="begin"/>
        </w:r>
        <w:r w:rsidR="006A42CC">
          <w:rPr>
            <w:noProof/>
            <w:webHidden/>
          </w:rPr>
          <w:instrText xml:space="preserve"> PAGEREF _Toc530034666 \h </w:instrText>
        </w:r>
        <w:r w:rsidR="006A42CC">
          <w:rPr>
            <w:noProof/>
            <w:webHidden/>
          </w:rPr>
        </w:r>
        <w:r w:rsidR="006A42CC">
          <w:rPr>
            <w:noProof/>
            <w:webHidden/>
          </w:rPr>
          <w:fldChar w:fldCharType="separate"/>
        </w:r>
        <w:r w:rsidR="00261222">
          <w:rPr>
            <w:noProof/>
            <w:webHidden/>
          </w:rPr>
          <w:t>23</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67" w:history="1">
        <w:r w:rsidR="006A42CC" w:rsidRPr="002D412D">
          <w:rPr>
            <w:rStyle w:val="Hipervnculo"/>
            <w:noProof/>
          </w:rPr>
          <w:t>V.2. Situación económico-financiera de la ACFN y sus OOAA a 31 de diciembre de 2017</w:t>
        </w:r>
        <w:r w:rsidR="006A42CC">
          <w:rPr>
            <w:noProof/>
            <w:webHidden/>
          </w:rPr>
          <w:tab/>
        </w:r>
        <w:r w:rsidR="006A42CC">
          <w:rPr>
            <w:noProof/>
            <w:webHidden/>
          </w:rPr>
          <w:fldChar w:fldCharType="begin"/>
        </w:r>
        <w:r w:rsidR="006A42CC">
          <w:rPr>
            <w:noProof/>
            <w:webHidden/>
          </w:rPr>
          <w:instrText xml:space="preserve"> PAGEREF _Toc530034667 \h </w:instrText>
        </w:r>
        <w:r w:rsidR="006A42CC">
          <w:rPr>
            <w:noProof/>
            <w:webHidden/>
          </w:rPr>
        </w:r>
        <w:r w:rsidR="006A42CC">
          <w:rPr>
            <w:noProof/>
            <w:webHidden/>
          </w:rPr>
          <w:fldChar w:fldCharType="separate"/>
        </w:r>
        <w:r w:rsidR="00261222">
          <w:rPr>
            <w:noProof/>
            <w:webHidden/>
          </w:rPr>
          <w:t>28</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68" w:history="1">
        <w:r w:rsidR="006A42CC" w:rsidRPr="002D412D">
          <w:rPr>
            <w:rStyle w:val="Hipervnculo"/>
            <w:noProof/>
          </w:rPr>
          <w:t>V.3. Principios de estabilidad presupuestaria y sostenibilidad financiera.</w:t>
        </w:r>
        <w:r w:rsidR="006A42CC">
          <w:rPr>
            <w:noProof/>
            <w:webHidden/>
          </w:rPr>
          <w:tab/>
        </w:r>
        <w:r w:rsidR="006A42CC">
          <w:rPr>
            <w:noProof/>
            <w:webHidden/>
          </w:rPr>
          <w:fldChar w:fldCharType="begin"/>
        </w:r>
        <w:r w:rsidR="006A42CC">
          <w:rPr>
            <w:noProof/>
            <w:webHidden/>
          </w:rPr>
          <w:instrText xml:space="preserve"> PAGEREF _Toc530034668 \h </w:instrText>
        </w:r>
        <w:r w:rsidR="006A42CC">
          <w:rPr>
            <w:noProof/>
            <w:webHidden/>
          </w:rPr>
        </w:r>
        <w:r w:rsidR="006A42CC">
          <w:rPr>
            <w:noProof/>
            <w:webHidden/>
          </w:rPr>
          <w:fldChar w:fldCharType="separate"/>
        </w:r>
        <w:r w:rsidR="00261222">
          <w:rPr>
            <w:noProof/>
            <w:webHidden/>
          </w:rPr>
          <w:t>30</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69" w:history="1">
        <w:r w:rsidR="006A42CC" w:rsidRPr="002D412D">
          <w:rPr>
            <w:rStyle w:val="Hipervnculo"/>
            <w:noProof/>
          </w:rPr>
          <w:t>V.4. Cumplimiento de recomendaciones emitidas en informes anteriores de esta Cámara de Comptos</w:t>
        </w:r>
        <w:r w:rsidR="006A42CC">
          <w:rPr>
            <w:noProof/>
            <w:webHidden/>
          </w:rPr>
          <w:tab/>
        </w:r>
        <w:r w:rsidR="006A42CC">
          <w:rPr>
            <w:noProof/>
            <w:webHidden/>
          </w:rPr>
          <w:fldChar w:fldCharType="begin"/>
        </w:r>
        <w:r w:rsidR="006A42CC">
          <w:rPr>
            <w:noProof/>
            <w:webHidden/>
          </w:rPr>
          <w:instrText xml:space="preserve"> PAGEREF _Toc530034669 \h </w:instrText>
        </w:r>
        <w:r w:rsidR="006A42CC">
          <w:rPr>
            <w:noProof/>
            <w:webHidden/>
          </w:rPr>
        </w:r>
        <w:r w:rsidR="006A42CC">
          <w:rPr>
            <w:noProof/>
            <w:webHidden/>
          </w:rPr>
          <w:fldChar w:fldCharType="separate"/>
        </w:r>
        <w:r w:rsidR="00261222">
          <w:rPr>
            <w:noProof/>
            <w:webHidden/>
          </w:rPr>
          <w:t>35</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70" w:history="1">
        <w:r w:rsidR="006A42CC" w:rsidRPr="002D412D">
          <w:rPr>
            <w:rStyle w:val="Hipervnculo"/>
            <w:noProof/>
          </w:rPr>
          <w:t>V.5. Gastos de personal</w:t>
        </w:r>
        <w:r w:rsidR="006A42CC">
          <w:rPr>
            <w:noProof/>
            <w:webHidden/>
          </w:rPr>
          <w:tab/>
        </w:r>
        <w:r w:rsidR="006A42CC">
          <w:rPr>
            <w:noProof/>
            <w:webHidden/>
          </w:rPr>
          <w:fldChar w:fldCharType="begin"/>
        </w:r>
        <w:r w:rsidR="006A42CC">
          <w:rPr>
            <w:noProof/>
            <w:webHidden/>
          </w:rPr>
          <w:instrText xml:space="preserve"> PAGEREF _Toc530034670 \h </w:instrText>
        </w:r>
        <w:r w:rsidR="006A42CC">
          <w:rPr>
            <w:noProof/>
            <w:webHidden/>
          </w:rPr>
        </w:r>
        <w:r w:rsidR="006A42CC">
          <w:rPr>
            <w:noProof/>
            <w:webHidden/>
          </w:rPr>
          <w:fldChar w:fldCharType="separate"/>
        </w:r>
        <w:r w:rsidR="00261222">
          <w:rPr>
            <w:noProof/>
            <w:webHidden/>
          </w:rPr>
          <w:t>36</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71" w:history="1">
        <w:r w:rsidR="006A42CC" w:rsidRPr="002D412D">
          <w:rPr>
            <w:rStyle w:val="Hipervnculo"/>
            <w:noProof/>
          </w:rPr>
          <w:t>V.6. Gastos corrientes en bienes y servicios</w:t>
        </w:r>
        <w:r w:rsidR="006A42CC">
          <w:rPr>
            <w:noProof/>
            <w:webHidden/>
          </w:rPr>
          <w:tab/>
        </w:r>
        <w:r w:rsidR="006A42CC">
          <w:rPr>
            <w:noProof/>
            <w:webHidden/>
          </w:rPr>
          <w:fldChar w:fldCharType="begin"/>
        </w:r>
        <w:r w:rsidR="006A42CC">
          <w:rPr>
            <w:noProof/>
            <w:webHidden/>
          </w:rPr>
          <w:instrText xml:space="preserve"> PAGEREF _Toc530034671 \h </w:instrText>
        </w:r>
        <w:r w:rsidR="006A42CC">
          <w:rPr>
            <w:noProof/>
            <w:webHidden/>
          </w:rPr>
        </w:r>
        <w:r w:rsidR="006A42CC">
          <w:rPr>
            <w:noProof/>
            <w:webHidden/>
          </w:rPr>
          <w:fldChar w:fldCharType="separate"/>
        </w:r>
        <w:r w:rsidR="00261222">
          <w:rPr>
            <w:noProof/>
            <w:webHidden/>
          </w:rPr>
          <w:t>41</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72" w:history="1">
        <w:r w:rsidR="006A42CC" w:rsidRPr="002D412D">
          <w:rPr>
            <w:rStyle w:val="Hipervnculo"/>
            <w:noProof/>
          </w:rPr>
          <w:t>V.7. Gastos de transferencias corrientes y de capital</w:t>
        </w:r>
        <w:r w:rsidR="006A42CC">
          <w:rPr>
            <w:noProof/>
            <w:webHidden/>
          </w:rPr>
          <w:tab/>
        </w:r>
        <w:r w:rsidR="006A42CC">
          <w:rPr>
            <w:noProof/>
            <w:webHidden/>
          </w:rPr>
          <w:fldChar w:fldCharType="begin"/>
        </w:r>
        <w:r w:rsidR="006A42CC">
          <w:rPr>
            <w:noProof/>
            <w:webHidden/>
          </w:rPr>
          <w:instrText xml:space="preserve"> PAGEREF _Toc530034672 \h </w:instrText>
        </w:r>
        <w:r w:rsidR="006A42CC">
          <w:rPr>
            <w:noProof/>
            <w:webHidden/>
          </w:rPr>
        </w:r>
        <w:r w:rsidR="006A42CC">
          <w:rPr>
            <w:noProof/>
            <w:webHidden/>
          </w:rPr>
          <w:fldChar w:fldCharType="separate"/>
        </w:r>
        <w:r w:rsidR="00261222">
          <w:rPr>
            <w:noProof/>
            <w:webHidden/>
          </w:rPr>
          <w:t>48</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73" w:history="1">
        <w:r w:rsidR="006A42CC" w:rsidRPr="002D412D">
          <w:rPr>
            <w:rStyle w:val="Hipervnculo"/>
            <w:noProof/>
          </w:rPr>
          <w:t>V.8. Inversiones e inmovilizado no financiero</w:t>
        </w:r>
        <w:r w:rsidR="006A42CC">
          <w:rPr>
            <w:noProof/>
            <w:webHidden/>
          </w:rPr>
          <w:tab/>
        </w:r>
        <w:r w:rsidR="006A42CC">
          <w:rPr>
            <w:noProof/>
            <w:webHidden/>
          </w:rPr>
          <w:fldChar w:fldCharType="begin"/>
        </w:r>
        <w:r w:rsidR="006A42CC">
          <w:rPr>
            <w:noProof/>
            <w:webHidden/>
          </w:rPr>
          <w:instrText xml:space="preserve"> PAGEREF _Toc530034673 \h </w:instrText>
        </w:r>
        <w:r w:rsidR="006A42CC">
          <w:rPr>
            <w:noProof/>
            <w:webHidden/>
          </w:rPr>
        </w:r>
        <w:r w:rsidR="006A42CC">
          <w:rPr>
            <w:noProof/>
            <w:webHidden/>
          </w:rPr>
          <w:fldChar w:fldCharType="separate"/>
        </w:r>
        <w:r w:rsidR="00261222">
          <w:rPr>
            <w:noProof/>
            <w:webHidden/>
          </w:rPr>
          <w:t>53</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74" w:history="1">
        <w:r w:rsidR="006A42CC" w:rsidRPr="002D412D">
          <w:rPr>
            <w:rStyle w:val="Hipervnculo"/>
            <w:noProof/>
          </w:rPr>
          <w:t>V.9. Impuestos, tasas, precios públicos y otros ingresos</w:t>
        </w:r>
        <w:r w:rsidR="006A42CC">
          <w:rPr>
            <w:noProof/>
            <w:webHidden/>
          </w:rPr>
          <w:tab/>
        </w:r>
        <w:r w:rsidR="006A42CC">
          <w:rPr>
            <w:noProof/>
            <w:webHidden/>
          </w:rPr>
          <w:fldChar w:fldCharType="begin"/>
        </w:r>
        <w:r w:rsidR="006A42CC">
          <w:rPr>
            <w:noProof/>
            <w:webHidden/>
          </w:rPr>
          <w:instrText xml:space="preserve"> PAGEREF _Toc530034674 \h </w:instrText>
        </w:r>
        <w:r w:rsidR="006A42CC">
          <w:rPr>
            <w:noProof/>
            <w:webHidden/>
          </w:rPr>
        </w:r>
        <w:r w:rsidR="006A42CC">
          <w:rPr>
            <w:noProof/>
            <w:webHidden/>
          </w:rPr>
          <w:fldChar w:fldCharType="separate"/>
        </w:r>
        <w:r w:rsidR="00261222">
          <w:rPr>
            <w:noProof/>
            <w:webHidden/>
          </w:rPr>
          <w:t>60</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75" w:history="1">
        <w:r w:rsidR="006A42CC" w:rsidRPr="002D412D">
          <w:rPr>
            <w:rStyle w:val="Hipervnculo"/>
            <w:noProof/>
          </w:rPr>
          <w:t>V.10. Otros ingresos</w:t>
        </w:r>
        <w:r w:rsidR="006A42CC">
          <w:rPr>
            <w:noProof/>
            <w:webHidden/>
          </w:rPr>
          <w:tab/>
        </w:r>
        <w:r w:rsidR="006A42CC">
          <w:rPr>
            <w:noProof/>
            <w:webHidden/>
          </w:rPr>
          <w:fldChar w:fldCharType="begin"/>
        </w:r>
        <w:r w:rsidR="006A42CC">
          <w:rPr>
            <w:noProof/>
            <w:webHidden/>
          </w:rPr>
          <w:instrText xml:space="preserve"> PAGEREF _Toc530034675 \h </w:instrText>
        </w:r>
        <w:r w:rsidR="006A42CC">
          <w:rPr>
            <w:noProof/>
            <w:webHidden/>
          </w:rPr>
        </w:r>
        <w:r w:rsidR="006A42CC">
          <w:rPr>
            <w:noProof/>
            <w:webHidden/>
          </w:rPr>
          <w:fldChar w:fldCharType="separate"/>
        </w:r>
        <w:r w:rsidR="00261222">
          <w:rPr>
            <w:noProof/>
            <w:webHidden/>
          </w:rPr>
          <w:t>66</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76" w:history="1">
        <w:r w:rsidR="006A42CC" w:rsidRPr="002D412D">
          <w:rPr>
            <w:rStyle w:val="Hipervnculo"/>
            <w:noProof/>
          </w:rPr>
          <w:t>V.11. Deudores y acreedores a corto plazo</w:t>
        </w:r>
        <w:r w:rsidR="006A42CC">
          <w:rPr>
            <w:noProof/>
            <w:webHidden/>
          </w:rPr>
          <w:tab/>
        </w:r>
        <w:r w:rsidR="006A42CC">
          <w:rPr>
            <w:noProof/>
            <w:webHidden/>
          </w:rPr>
          <w:fldChar w:fldCharType="begin"/>
        </w:r>
        <w:r w:rsidR="006A42CC">
          <w:rPr>
            <w:noProof/>
            <w:webHidden/>
          </w:rPr>
          <w:instrText xml:space="preserve"> PAGEREF _Toc530034676 \h </w:instrText>
        </w:r>
        <w:r w:rsidR="006A42CC">
          <w:rPr>
            <w:noProof/>
            <w:webHidden/>
          </w:rPr>
        </w:r>
        <w:r w:rsidR="006A42CC">
          <w:rPr>
            <w:noProof/>
            <w:webHidden/>
          </w:rPr>
          <w:fldChar w:fldCharType="separate"/>
        </w:r>
        <w:r w:rsidR="00261222">
          <w:rPr>
            <w:noProof/>
            <w:webHidden/>
          </w:rPr>
          <w:t>68</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77" w:history="1">
        <w:r w:rsidR="006A42CC" w:rsidRPr="002D412D">
          <w:rPr>
            <w:rStyle w:val="Hipervnculo"/>
            <w:noProof/>
          </w:rPr>
          <w:t>V.12. Tesorería</w:t>
        </w:r>
        <w:r w:rsidR="006A42CC">
          <w:rPr>
            <w:noProof/>
            <w:webHidden/>
          </w:rPr>
          <w:tab/>
        </w:r>
        <w:r w:rsidR="006A42CC">
          <w:rPr>
            <w:noProof/>
            <w:webHidden/>
          </w:rPr>
          <w:fldChar w:fldCharType="begin"/>
        </w:r>
        <w:r w:rsidR="006A42CC">
          <w:rPr>
            <w:noProof/>
            <w:webHidden/>
          </w:rPr>
          <w:instrText xml:space="preserve"> PAGEREF _Toc530034677 \h </w:instrText>
        </w:r>
        <w:r w:rsidR="006A42CC">
          <w:rPr>
            <w:noProof/>
            <w:webHidden/>
          </w:rPr>
        </w:r>
        <w:r w:rsidR="006A42CC">
          <w:rPr>
            <w:noProof/>
            <w:webHidden/>
          </w:rPr>
          <w:fldChar w:fldCharType="separate"/>
        </w:r>
        <w:r w:rsidR="00261222">
          <w:rPr>
            <w:noProof/>
            <w:webHidden/>
          </w:rPr>
          <w:t>70</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78" w:history="1">
        <w:r w:rsidR="006A42CC" w:rsidRPr="002D412D">
          <w:rPr>
            <w:rStyle w:val="Hipervnculo"/>
            <w:noProof/>
            <w:lang w:val="es-ES"/>
          </w:rPr>
          <w:t>V.13. Endeudamiento y otras operaciones financieras</w:t>
        </w:r>
        <w:r w:rsidR="006A42CC">
          <w:rPr>
            <w:noProof/>
            <w:webHidden/>
          </w:rPr>
          <w:tab/>
        </w:r>
        <w:r w:rsidR="006A42CC">
          <w:rPr>
            <w:noProof/>
            <w:webHidden/>
          </w:rPr>
          <w:fldChar w:fldCharType="begin"/>
        </w:r>
        <w:r w:rsidR="006A42CC">
          <w:rPr>
            <w:noProof/>
            <w:webHidden/>
          </w:rPr>
          <w:instrText xml:space="preserve"> PAGEREF _Toc530034678 \h </w:instrText>
        </w:r>
        <w:r w:rsidR="006A42CC">
          <w:rPr>
            <w:noProof/>
            <w:webHidden/>
          </w:rPr>
        </w:r>
        <w:r w:rsidR="006A42CC">
          <w:rPr>
            <w:noProof/>
            <w:webHidden/>
          </w:rPr>
          <w:fldChar w:fldCharType="separate"/>
        </w:r>
        <w:r w:rsidR="00261222">
          <w:rPr>
            <w:noProof/>
            <w:webHidden/>
          </w:rPr>
          <w:t>71</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79" w:history="1">
        <w:r w:rsidR="006A42CC" w:rsidRPr="002D412D">
          <w:rPr>
            <w:rStyle w:val="Hipervnculo"/>
            <w:noProof/>
            <w:lang w:val="es-ES"/>
          </w:rPr>
          <w:t>V.14. Sociedades Públicas y Fundaciones Públicas</w:t>
        </w:r>
        <w:r w:rsidR="006A42CC">
          <w:rPr>
            <w:noProof/>
            <w:webHidden/>
          </w:rPr>
          <w:tab/>
        </w:r>
        <w:r w:rsidR="006A42CC">
          <w:rPr>
            <w:noProof/>
            <w:webHidden/>
          </w:rPr>
          <w:fldChar w:fldCharType="begin"/>
        </w:r>
        <w:r w:rsidR="006A42CC">
          <w:rPr>
            <w:noProof/>
            <w:webHidden/>
          </w:rPr>
          <w:instrText xml:space="preserve"> PAGEREF _Toc530034679 \h </w:instrText>
        </w:r>
        <w:r w:rsidR="006A42CC">
          <w:rPr>
            <w:noProof/>
            <w:webHidden/>
          </w:rPr>
        </w:r>
        <w:r w:rsidR="006A42CC">
          <w:rPr>
            <w:noProof/>
            <w:webHidden/>
          </w:rPr>
          <w:fldChar w:fldCharType="separate"/>
        </w:r>
        <w:r w:rsidR="00261222">
          <w:rPr>
            <w:noProof/>
            <w:webHidden/>
          </w:rPr>
          <w:t>76</w:t>
        </w:r>
        <w:r w:rsidR="006A42CC">
          <w:rPr>
            <w:noProof/>
            <w:webHidden/>
          </w:rPr>
          <w:fldChar w:fldCharType="end"/>
        </w:r>
      </w:hyperlink>
    </w:p>
    <w:p w:rsidR="006A42CC" w:rsidRDefault="005A7397" w:rsidP="0060319E">
      <w:pPr>
        <w:pStyle w:val="TDC2"/>
        <w:ind w:left="0"/>
        <w:rPr>
          <w:rFonts w:asciiTheme="minorHAnsi" w:eastAsiaTheme="minorEastAsia" w:hAnsiTheme="minorHAnsi" w:cstheme="minorBidi"/>
          <w:noProof/>
          <w:szCs w:val="22"/>
          <w:lang w:val="es-ES" w:eastAsia="es-ES"/>
        </w:rPr>
      </w:pPr>
      <w:hyperlink w:anchor="_Toc530034680" w:history="1">
        <w:r w:rsidR="006A42CC" w:rsidRPr="002D412D">
          <w:rPr>
            <w:rStyle w:val="Hipervnculo"/>
            <w:noProof/>
            <w:lang w:val="es-ES"/>
          </w:rPr>
          <w:t>V.15. Entorno tecnológico</w:t>
        </w:r>
        <w:r w:rsidR="006A42CC">
          <w:rPr>
            <w:noProof/>
            <w:webHidden/>
          </w:rPr>
          <w:tab/>
        </w:r>
        <w:r w:rsidR="006A42CC">
          <w:rPr>
            <w:noProof/>
            <w:webHidden/>
          </w:rPr>
          <w:fldChar w:fldCharType="begin"/>
        </w:r>
        <w:r w:rsidR="006A42CC">
          <w:rPr>
            <w:noProof/>
            <w:webHidden/>
          </w:rPr>
          <w:instrText xml:space="preserve"> PAGEREF _Toc530034680 \h </w:instrText>
        </w:r>
        <w:r w:rsidR="006A42CC">
          <w:rPr>
            <w:noProof/>
            <w:webHidden/>
          </w:rPr>
        </w:r>
        <w:r w:rsidR="006A42CC">
          <w:rPr>
            <w:noProof/>
            <w:webHidden/>
          </w:rPr>
          <w:fldChar w:fldCharType="separate"/>
        </w:r>
        <w:r w:rsidR="00261222">
          <w:rPr>
            <w:noProof/>
            <w:webHidden/>
          </w:rPr>
          <w:t>81</w:t>
        </w:r>
        <w:r w:rsidR="006A42CC">
          <w:rPr>
            <w:noProof/>
            <w:webHidden/>
          </w:rPr>
          <w:fldChar w:fldCharType="end"/>
        </w:r>
      </w:hyperlink>
    </w:p>
    <w:p w:rsidR="006A42CC" w:rsidRDefault="005A7397" w:rsidP="0060319E">
      <w:pPr>
        <w:pStyle w:val="TDC1"/>
        <w:rPr>
          <w:rFonts w:asciiTheme="minorHAnsi" w:eastAsiaTheme="minorEastAsia" w:hAnsiTheme="minorHAnsi" w:cstheme="minorBidi"/>
          <w:smallCaps w:val="0"/>
          <w:noProof/>
          <w:szCs w:val="22"/>
          <w:lang w:val="es-ES" w:eastAsia="es-ES"/>
        </w:rPr>
      </w:pPr>
      <w:hyperlink w:anchor="_Toc530034681" w:history="1">
        <w:r w:rsidR="006A42CC" w:rsidRPr="002D412D">
          <w:rPr>
            <w:rStyle w:val="Hipervnculo"/>
            <w:noProof/>
          </w:rPr>
          <w:t>Apéndice 1. Gasto público para promoción euskera</w:t>
        </w:r>
        <w:r w:rsidR="006A42CC">
          <w:rPr>
            <w:noProof/>
            <w:webHidden/>
          </w:rPr>
          <w:tab/>
        </w:r>
        <w:r w:rsidR="006A42CC">
          <w:rPr>
            <w:noProof/>
            <w:webHidden/>
          </w:rPr>
          <w:fldChar w:fldCharType="begin"/>
        </w:r>
        <w:r w:rsidR="006A42CC">
          <w:rPr>
            <w:noProof/>
            <w:webHidden/>
          </w:rPr>
          <w:instrText xml:space="preserve"> PAGEREF _Toc530034681 \h </w:instrText>
        </w:r>
        <w:r w:rsidR="006A42CC">
          <w:rPr>
            <w:noProof/>
            <w:webHidden/>
          </w:rPr>
        </w:r>
        <w:r w:rsidR="006A42CC">
          <w:rPr>
            <w:noProof/>
            <w:webHidden/>
          </w:rPr>
          <w:fldChar w:fldCharType="separate"/>
        </w:r>
        <w:r w:rsidR="00261222">
          <w:rPr>
            <w:noProof/>
            <w:webHidden/>
          </w:rPr>
          <w:t>83</w:t>
        </w:r>
        <w:r w:rsidR="006A42CC">
          <w:rPr>
            <w:noProof/>
            <w:webHidden/>
          </w:rPr>
          <w:fldChar w:fldCharType="end"/>
        </w:r>
      </w:hyperlink>
    </w:p>
    <w:p w:rsidR="006A42CC" w:rsidRDefault="005A7397" w:rsidP="0060319E">
      <w:pPr>
        <w:pStyle w:val="TDC1"/>
        <w:rPr>
          <w:rFonts w:asciiTheme="minorHAnsi" w:eastAsiaTheme="minorEastAsia" w:hAnsiTheme="minorHAnsi" w:cstheme="minorBidi"/>
          <w:smallCaps w:val="0"/>
          <w:noProof/>
          <w:szCs w:val="22"/>
          <w:lang w:val="es-ES" w:eastAsia="es-ES"/>
        </w:rPr>
      </w:pPr>
      <w:hyperlink w:anchor="_Toc530034682" w:history="1">
        <w:r w:rsidR="006A42CC" w:rsidRPr="002D412D">
          <w:rPr>
            <w:rStyle w:val="Hipervnculo"/>
            <w:noProof/>
          </w:rPr>
          <w:t>Apéndice 2. Centro de Recuperación de Fauna Salvaje de Ilundáin</w:t>
        </w:r>
        <w:r w:rsidR="006A42CC">
          <w:rPr>
            <w:noProof/>
            <w:webHidden/>
          </w:rPr>
          <w:tab/>
        </w:r>
        <w:r w:rsidR="006A42CC">
          <w:rPr>
            <w:noProof/>
            <w:webHidden/>
          </w:rPr>
          <w:fldChar w:fldCharType="begin"/>
        </w:r>
        <w:r w:rsidR="006A42CC">
          <w:rPr>
            <w:noProof/>
            <w:webHidden/>
          </w:rPr>
          <w:instrText xml:space="preserve"> PAGEREF _Toc530034682 \h </w:instrText>
        </w:r>
        <w:r w:rsidR="006A42CC">
          <w:rPr>
            <w:noProof/>
            <w:webHidden/>
          </w:rPr>
        </w:r>
        <w:r w:rsidR="006A42CC">
          <w:rPr>
            <w:noProof/>
            <w:webHidden/>
          </w:rPr>
          <w:fldChar w:fldCharType="separate"/>
        </w:r>
        <w:r w:rsidR="00261222">
          <w:rPr>
            <w:noProof/>
            <w:webHidden/>
          </w:rPr>
          <w:t>87</w:t>
        </w:r>
        <w:r w:rsidR="006A42CC">
          <w:rPr>
            <w:noProof/>
            <w:webHidden/>
          </w:rPr>
          <w:fldChar w:fldCharType="end"/>
        </w:r>
      </w:hyperlink>
    </w:p>
    <w:p w:rsidR="0060319E" w:rsidRDefault="0060319E" w:rsidP="0060319E">
      <w:pPr>
        <w:pStyle w:val="TDC1"/>
        <w:rPr>
          <w:rStyle w:val="Hipervnculo"/>
          <w:noProof/>
        </w:rPr>
      </w:pPr>
    </w:p>
    <w:p w:rsidR="006A42CC" w:rsidRDefault="005A7397" w:rsidP="0060319E">
      <w:pPr>
        <w:pStyle w:val="TDC1"/>
        <w:rPr>
          <w:rFonts w:asciiTheme="minorHAnsi" w:eastAsiaTheme="minorEastAsia" w:hAnsiTheme="minorHAnsi" w:cstheme="minorBidi"/>
          <w:smallCaps w:val="0"/>
          <w:noProof/>
          <w:szCs w:val="22"/>
          <w:lang w:val="es-ES" w:eastAsia="es-ES"/>
        </w:rPr>
      </w:pPr>
      <w:hyperlink w:anchor="_Toc530034683" w:history="1">
        <w:r w:rsidR="006A42CC" w:rsidRPr="002D412D">
          <w:rPr>
            <w:rStyle w:val="Hipervnculo"/>
            <w:bCs/>
            <w:noProof/>
          </w:rPr>
          <w:t>Alegaciones formuladas al informe provisional</w:t>
        </w:r>
      </w:hyperlink>
    </w:p>
    <w:p w:rsidR="006A42CC" w:rsidRDefault="005A7397" w:rsidP="0060319E">
      <w:pPr>
        <w:pStyle w:val="TDC1"/>
        <w:rPr>
          <w:rFonts w:asciiTheme="minorHAnsi" w:eastAsiaTheme="minorEastAsia" w:hAnsiTheme="minorHAnsi" w:cstheme="minorBidi"/>
          <w:smallCaps w:val="0"/>
          <w:noProof/>
          <w:szCs w:val="22"/>
          <w:lang w:val="es-ES" w:eastAsia="es-ES"/>
        </w:rPr>
      </w:pPr>
      <w:hyperlink w:anchor="_Toc530034684" w:history="1">
        <w:r w:rsidR="006A42CC" w:rsidRPr="002D412D">
          <w:rPr>
            <w:rStyle w:val="Hipervnculo"/>
            <w:noProof/>
          </w:rPr>
          <w:t>Contestación de la Cámara de Comptos a las alegaciones presentadas al informe provisional</w:t>
        </w:r>
      </w:hyperlink>
    </w:p>
    <w:p w:rsidR="006A42CC" w:rsidRDefault="005A7397" w:rsidP="0060319E">
      <w:pPr>
        <w:pStyle w:val="TDC1"/>
        <w:rPr>
          <w:rFonts w:asciiTheme="minorHAnsi" w:eastAsiaTheme="minorEastAsia" w:hAnsiTheme="minorHAnsi" w:cstheme="minorBidi"/>
          <w:smallCaps w:val="0"/>
          <w:noProof/>
          <w:szCs w:val="22"/>
          <w:lang w:val="es-ES" w:eastAsia="es-ES"/>
        </w:rPr>
      </w:pPr>
      <w:hyperlink w:anchor="_Toc530034685" w:history="1">
        <w:r w:rsidR="006A42CC" w:rsidRPr="002D412D">
          <w:rPr>
            <w:rStyle w:val="Hipervnculo"/>
            <w:noProof/>
          </w:rPr>
          <w:t>Resumen de la Memoria de la Cuenta General de 2017</w:t>
        </w:r>
      </w:hyperlink>
    </w:p>
    <w:p w:rsidR="00891D73" w:rsidRPr="00E703B6" w:rsidRDefault="0014728F" w:rsidP="00552D5E">
      <w:pPr>
        <w:pStyle w:val="texto"/>
      </w:pPr>
      <w:r>
        <w:fldChar w:fldCharType="end"/>
      </w:r>
    </w:p>
    <w:p w:rsidR="008E3FFE" w:rsidRDefault="008E3FFE" w:rsidP="00891D73">
      <w:pPr>
        <w:pStyle w:val="texto"/>
        <w:sectPr w:rsidR="008E3FFE" w:rsidSect="00160F66">
          <w:type w:val="oddPage"/>
          <w:pgSz w:w="11907" w:h="16840" w:code="9"/>
          <w:pgMar w:top="2109" w:right="1559" w:bottom="1644" w:left="1559" w:header="369" w:footer="402" w:gutter="0"/>
          <w:pgNumType w:start="3"/>
          <w:cols w:space="720"/>
          <w:docGrid w:linePitch="360"/>
        </w:sectPr>
      </w:pPr>
    </w:p>
    <w:p w:rsidR="008540B2" w:rsidRPr="001639F7" w:rsidRDefault="008540B2" w:rsidP="008540B2">
      <w:pPr>
        <w:pStyle w:val="atitulo1"/>
      </w:pPr>
      <w:bookmarkStart w:id="0" w:name="_Toc530034651"/>
      <w:bookmarkStart w:id="1" w:name="_Toc494270370"/>
      <w:bookmarkStart w:id="2" w:name="_Toc525907425"/>
      <w:r>
        <w:lastRenderedPageBreak/>
        <w:t>Resumen ejecutivo</w:t>
      </w:r>
      <w:bookmarkEnd w:id="0"/>
    </w:p>
    <w:p w:rsidR="008540B2" w:rsidRDefault="008540B2" w:rsidP="008540B2">
      <w:pPr>
        <w:pStyle w:val="texto"/>
      </w:pPr>
      <w:r w:rsidRPr="00624779">
        <w:t>La Cámara de Comptos</w:t>
      </w:r>
      <w:r>
        <w:t xml:space="preserve"> ha fiscalizado</w:t>
      </w:r>
      <w:r w:rsidRPr="00624779">
        <w:t xml:space="preserve"> las Cuentas Generales de Navarra</w:t>
      </w:r>
      <w:r>
        <w:t xml:space="preserve"> c</w:t>
      </w:r>
      <w:r>
        <w:t>o</w:t>
      </w:r>
      <w:r>
        <w:t>rrespondientes al ejercicio 2017.</w:t>
      </w:r>
      <w:r w:rsidRPr="00624779">
        <w:t xml:space="preserve"> </w:t>
      </w:r>
    </w:p>
    <w:p w:rsidR="00261ED0" w:rsidRDefault="00261ED0" w:rsidP="008540B2">
      <w:pPr>
        <w:pStyle w:val="texto"/>
      </w:pPr>
      <w:r>
        <w:t>Las principales conclusiones de nuestro trabajo son las siguientes:</w:t>
      </w:r>
    </w:p>
    <w:p w:rsidR="00261ED0" w:rsidRDefault="00B17FEA" w:rsidP="00A8447C">
      <w:pPr>
        <w:pStyle w:val="texto"/>
        <w:numPr>
          <w:ilvl w:val="0"/>
          <w:numId w:val="34"/>
        </w:numPr>
        <w:tabs>
          <w:tab w:val="clear" w:pos="2835"/>
          <w:tab w:val="clear" w:pos="3969"/>
          <w:tab w:val="clear" w:pos="5103"/>
          <w:tab w:val="clear" w:pos="6237"/>
          <w:tab w:val="clear" w:pos="7371"/>
          <w:tab w:val="center" w:pos="567"/>
        </w:tabs>
        <w:ind w:left="0" w:firstLine="284"/>
      </w:pPr>
      <w:r>
        <w:t>L</w:t>
      </w:r>
      <w:r w:rsidRPr="00F377C9">
        <w:t xml:space="preserve">as </w:t>
      </w:r>
      <w:r>
        <w:t>c</w:t>
      </w:r>
      <w:r w:rsidRPr="00F377C9">
        <w:t xml:space="preserve">uentas </w:t>
      </w:r>
      <w:r>
        <w:t>anu</w:t>
      </w:r>
      <w:r w:rsidRPr="00F377C9">
        <w:t xml:space="preserve">ales </w:t>
      </w:r>
      <w:r>
        <w:t>de la Administración de la Comunidad Foral de Nav</w:t>
      </w:r>
      <w:r>
        <w:t>a</w:t>
      </w:r>
      <w:r>
        <w:t>rra</w:t>
      </w:r>
      <w:r w:rsidRPr="00F377C9">
        <w:t xml:space="preserve"> y sus </w:t>
      </w:r>
      <w:r>
        <w:t xml:space="preserve">organismos autónomos </w:t>
      </w:r>
      <w:r w:rsidRPr="00F377C9">
        <w:t>a 31 de dici</w:t>
      </w:r>
      <w:r>
        <w:t>embre de 2017 reflejan fielmente, en sus aspectos significativos, la imagen de su patrimonio, de su situación f</w:t>
      </w:r>
      <w:r>
        <w:t>i</w:t>
      </w:r>
      <w:r>
        <w:t>nanciera y de sus r</w:t>
      </w:r>
      <w:r w:rsidRPr="00F377C9">
        <w:t>esultados económicos y presupuestarios</w:t>
      </w:r>
      <w:r>
        <w:t>, excepto por el efe</w:t>
      </w:r>
      <w:r>
        <w:t>c</w:t>
      </w:r>
      <w:r>
        <w:t>to de algunas salvedades relacionadas con la no aplicación de la totalidad de la normativa contenida en el Plan General de Contabilidad Pública, con el inve</w:t>
      </w:r>
      <w:r>
        <w:t>n</w:t>
      </w:r>
      <w:r>
        <w:t>tario y con el no registro de las obligaciones actuariales generadas por el mo</w:t>
      </w:r>
      <w:r>
        <w:t>n</w:t>
      </w:r>
      <w:r>
        <w:t>tepío.</w:t>
      </w:r>
    </w:p>
    <w:p w:rsidR="00261ED0" w:rsidRDefault="00B17FEA" w:rsidP="00A8447C">
      <w:pPr>
        <w:pStyle w:val="texto"/>
        <w:numPr>
          <w:ilvl w:val="0"/>
          <w:numId w:val="34"/>
        </w:numPr>
        <w:tabs>
          <w:tab w:val="clear" w:pos="2835"/>
          <w:tab w:val="clear" w:pos="3969"/>
          <w:tab w:val="clear" w:pos="5103"/>
          <w:tab w:val="clear" w:pos="6237"/>
          <w:tab w:val="clear" w:pos="7371"/>
          <w:tab w:val="center" w:pos="567"/>
        </w:tabs>
        <w:ind w:left="0" w:firstLine="284"/>
      </w:pPr>
      <w:r>
        <w:t>L</w:t>
      </w:r>
      <w:r w:rsidRPr="00F377C9">
        <w:t>as actividades, operaciones presupuestarias y financieras y la inform</w:t>
      </w:r>
      <w:r w:rsidRPr="00F377C9">
        <w:t>a</w:t>
      </w:r>
      <w:r w:rsidRPr="00F377C9">
        <w:t xml:space="preserve">ción reflejada en las </w:t>
      </w:r>
      <w:r>
        <w:t>c</w:t>
      </w:r>
      <w:r w:rsidRPr="00F377C9">
        <w:t xml:space="preserve">uentas </w:t>
      </w:r>
      <w:r>
        <w:t>anu</w:t>
      </w:r>
      <w:r w:rsidRPr="00F377C9">
        <w:t>ales del ejercicio 201</w:t>
      </w:r>
      <w:r>
        <w:t>7, teniendo en cuenta el alcance del trabajo realizado,</w:t>
      </w:r>
      <w:r w:rsidRPr="00F377C9">
        <w:t xml:space="preserve"> resultan conformes, en todos los aspectos signif</w:t>
      </w:r>
      <w:r w:rsidRPr="00F377C9">
        <w:t>i</w:t>
      </w:r>
      <w:r w:rsidRPr="00F377C9">
        <w:t xml:space="preserve">cativos, con la normativa aplicable a la gestión de </w:t>
      </w:r>
      <w:r>
        <w:t>los fondos públicos, a exce</w:t>
      </w:r>
      <w:r>
        <w:t>p</w:t>
      </w:r>
      <w:r>
        <w:t xml:space="preserve">ción de </w:t>
      </w:r>
      <w:r w:rsidR="002A36B6">
        <w:t>la salvedad relativa al gasto abonado por prestaciones con contrato</w:t>
      </w:r>
      <w:r w:rsidR="00D350D1">
        <w:t>s</w:t>
      </w:r>
      <w:r w:rsidR="002A36B6">
        <w:t xml:space="preserve"> c</w:t>
      </w:r>
      <w:r w:rsidR="002A36B6">
        <w:t>u</w:t>
      </w:r>
      <w:r w:rsidR="002A36B6">
        <w:t>ya vigencia ha finalizado</w:t>
      </w:r>
      <w:r w:rsidR="00844C81">
        <w:t xml:space="preserve"> o sin soporte contractual</w:t>
      </w:r>
      <w:r w:rsidR="002A36B6">
        <w:t>.</w:t>
      </w:r>
    </w:p>
    <w:p w:rsidR="00261ED0" w:rsidRDefault="00137822" w:rsidP="00A8447C">
      <w:pPr>
        <w:pStyle w:val="texto"/>
        <w:numPr>
          <w:ilvl w:val="0"/>
          <w:numId w:val="34"/>
        </w:numPr>
        <w:tabs>
          <w:tab w:val="clear" w:pos="2835"/>
          <w:tab w:val="clear" w:pos="3969"/>
          <w:tab w:val="clear" w:pos="5103"/>
          <w:tab w:val="clear" w:pos="6237"/>
          <w:tab w:val="clear" w:pos="7371"/>
          <w:tab w:val="center" w:pos="567"/>
        </w:tabs>
        <w:ind w:left="0" w:firstLine="284"/>
      </w:pPr>
      <w:r>
        <w:t>La Comunidad Foral de Navarra ha cumplido con las reglas de estabilidad presupuestaria y sostenibilidad financiera a excepción de la relacionada con la regla de gasto.</w:t>
      </w:r>
    </w:p>
    <w:p w:rsidR="00261ED0" w:rsidRDefault="008C0AF1" w:rsidP="00A8447C">
      <w:pPr>
        <w:pStyle w:val="texto"/>
        <w:numPr>
          <w:ilvl w:val="0"/>
          <w:numId w:val="34"/>
        </w:numPr>
        <w:tabs>
          <w:tab w:val="clear" w:pos="2835"/>
          <w:tab w:val="clear" w:pos="3969"/>
          <w:tab w:val="clear" w:pos="5103"/>
          <w:tab w:val="clear" w:pos="6237"/>
          <w:tab w:val="clear" w:pos="7371"/>
          <w:tab w:val="center" w:pos="567"/>
        </w:tabs>
        <w:ind w:left="0" w:firstLine="284"/>
      </w:pPr>
      <w:r>
        <w:t>L</w:t>
      </w:r>
      <w:r w:rsidR="00137822">
        <w:t>a situación econ</w:t>
      </w:r>
      <w:r>
        <w:t>ómico-financiera de</w:t>
      </w:r>
      <w:r w:rsidR="00137822">
        <w:t xml:space="preserve"> la Administración de la Comunidad Foral presenta una clara mejoría en la mayoría de sus indicadores, motivada en parte por la actualización de la aportación del Convenio con el Estado y por los efectos de la reforma </w:t>
      </w:r>
      <w:r w:rsidR="00137822" w:rsidRPr="006A42CC">
        <w:t>fiscal</w:t>
      </w:r>
      <w:r w:rsidR="00B27691" w:rsidRPr="006A42CC">
        <w:t xml:space="preserve"> de 2016</w:t>
      </w:r>
      <w:r w:rsidR="00137822" w:rsidRPr="006A42CC">
        <w:t xml:space="preserve">, si </w:t>
      </w:r>
      <w:r w:rsidR="00137822">
        <w:t>bien</w:t>
      </w:r>
      <w:r w:rsidR="00137822" w:rsidRPr="00F377C9">
        <w:t xml:space="preserve"> se sigue caracterizando por la n</w:t>
      </w:r>
      <w:r w:rsidR="00137822" w:rsidRPr="00F377C9">
        <w:t>e</w:t>
      </w:r>
      <w:r w:rsidR="00137822" w:rsidRPr="00F377C9">
        <w:t xml:space="preserve">cesidad de acudir a la financiación externa para hacer frente a los vencimientos de anteriores pasivos financieros; este mayor endeudamiento </w:t>
      </w:r>
      <w:r w:rsidR="00137822">
        <w:t>implica una d</w:t>
      </w:r>
      <w:r w:rsidR="00137822">
        <w:t>e</w:t>
      </w:r>
      <w:r w:rsidR="00137822">
        <w:t>pendencia significativa tanto del calendario de amortización de la deuda como de la evolución de los tipos de interés de los mercados financieros</w:t>
      </w:r>
      <w:r w:rsidR="00137822" w:rsidRPr="00261ED0">
        <w:rPr>
          <w:color w:val="FF0000"/>
        </w:rPr>
        <w:t>.</w:t>
      </w:r>
    </w:p>
    <w:p w:rsidR="00261ED0" w:rsidRDefault="00112457" w:rsidP="00A8447C">
      <w:pPr>
        <w:pStyle w:val="texto"/>
        <w:numPr>
          <w:ilvl w:val="0"/>
          <w:numId w:val="34"/>
        </w:numPr>
        <w:tabs>
          <w:tab w:val="clear" w:pos="2835"/>
          <w:tab w:val="clear" w:pos="3969"/>
          <w:tab w:val="clear" w:pos="5103"/>
          <w:tab w:val="clear" w:pos="6237"/>
          <w:tab w:val="clear" w:pos="7371"/>
          <w:tab w:val="center" w:pos="567"/>
        </w:tabs>
        <w:ind w:left="0" w:firstLine="284"/>
      </w:pPr>
      <w:r w:rsidRPr="00112457">
        <w:t xml:space="preserve">La </w:t>
      </w:r>
      <w:r w:rsidR="00261ED0">
        <w:t>carga financiera se ha incrementado en los últimos cinco años, si bien experimenta una bajada del 26 por ciento respecto a 2016. El calendario de amortización de la deuda implica que el 41 por ciento del total se debe amort</w:t>
      </w:r>
      <w:r w:rsidR="00261ED0">
        <w:t>i</w:t>
      </w:r>
      <w:r w:rsidR="00261ED0">
        <w:t>zar antes de 2023, destacando además que un 15 por ciento adicional se tendrá que abonar en 2024.</w:t>
      </w:r>
      <w:r>
        <w:t xml:space="preserve"> </w:t>
      </w:r>
      <w:r w:rsidR="00261ED0">
        <w:t xml:space="preserve">En relación con la deuda a largo plazo, en marzo de 2018 </w:t>
      </w:r>
      <w:proofErr w:type="spellStart"/>
      <w:r w:rsidR="00261ED0">
        <w:t>Standard&amp;Poor´s</w:t>
      </w:r>
      <w:proofErr w:type="spellEnd"/>
      <w:r w:rsidR="00261ED0">
        <w:t xml:space="preserve"> otorgó a Navarra la calificación de “A con perspectiva posit</w:t>
      </w:r>
      <w:r w:rsidR="00261ED0">
        <w:t>i</w:t>
      </w:r>
      <w:r w:rsidR="00261ED0">
        <w:t>va”</w:t>
      </w:r>
      <w:r w:rsidR="00B27691">
        <w:t>,</w:t>
      </w:r>
      <w:r w:rsidR="00261ED0">
        <w:t xml:space="preserve"> nivel máximo permitido.</w:t>
      </w:r>
    </w:p>
    <w:p w:rsidR="00261ED0" w:rsidRDefault="00137822" w:rsidP="00A8447C">
      <w:pPr>
        <w:pStyle w:val="texto"/>
        <w:numPr>
          <w:ilvl w:val="0"/>
          <w:numId w:val="34"/>
        </w:numPr>
        <w:tabs>
          <w:tab w:val="clear" w:pos="2835"/>
          <w:tab w:val="clear" w:pos="3969"/>
          <w:tab w:val="clear" w:pos="5103"/>
          <w:tab w:val="clear" w:pos="6237"/>
          <w:tab w:val="clear" w:pos="7371"/>
          <w:tab w:val="center" w:pos="567"/>
        </w:tabs>
        <w:ind w:left="0" w:firstLine="284"/>
      </w:pPr>
      <w:r>
        <w:t>En relación con el personal destacamos que se está produciendo una situ</w:t>
      </w:r>
      <w:r>
        <w:t>a</w:t>
      </w:r>
      <w:r>
        <w:t>ción preocupante</w:t>
      </w:r>
      <w:r w:rsidR="00112457">
        <w:t>,</w:t>
      </w:r>
      <w:r>
        <w:t xml:space="preserve"> caracterizada por un</w:t>
      </w:r>
      <w:r w:rsidR="00112457">
        <w:t>a variación neta negativa significativa del número de altas y bajas en el personal fijo, que supone un</w:t>
      </w:r>
      <w:r>
        <w:t xml:space="preserve"> descenso del </w:t>
      </w:r>
      <w:r w:rsidRPr="00261ED0">
        <w:rPr>
          <w:lang w:val="es-ES"/>
        </w:rPr>
        <w:t>n</w:t>
      </w:r>
      <w:r w:rsidRPr="00261ED0">
        <w:rPr>
          <w:lang w:val="es-ES"/>
        </w:rPr>
        <w:t>ú</w:t>
      </w:r>
      <w:r w:rsidRPr="00261ED0">
        <w:rPr>
          <w:lang w:val="es-ES"/>
        </w:rPr>
        <w:lastRenderedPageBreak/>
        <w:t>mero de plazas fijas y un aumento del número de vacantes; además</w:t>
      </w:r>
      <w:r w:rsidR="00BF69DE">
        <w:rPr>
          <w:lang w:val="es-ES"/>
        </w:rPr>
        <w:t>,</w:t>
      </w:r>
      <w:r w:rsidRPr="00261ED0">
        <w:rPr>
          <w:lang w:val="es-ES"/>
        </w:rPr>
        <w:t xml:space="preserve"> las bajas de personal fijo no se están cubriendo y las necesidades estructurales y permane</w:t>
      </w:r>
      <w:r w:rsidRPr="00261ED0">
        <w:rPr>
          <w:lang w:val="es-ES"/>
        </w:rPr>
        <w:t>n</w:t>
      </w:r>
      <w:r w:rsidRPr="00261ED0">
        <w:rPr>
          <w:lang w:val="es-ES"/>
        </w:rPr>
        <w:t>tes se ocupan con personal temporal; esto provoca que se haya incrementado la temporalidad en el empleo</w:t>
      </w:r>
      <w:r w:rsidR="00BF69DE">
        <w:rPr>
          <w:lang w:val="es-ES"/>
        </w:rPr>
        <w:t>,</w:t>
      </w:r>
      <w:r w:rsidRPr="00261ED0">
        <w:rPr>
          <w:lang w:val="es-ES"/>
        </w:rPr>
        <w:t xml:space="preserve"> alcanzando </w:t>
      </w:r>
      <w:r w:rsidR="008C0AF1" w:rsidRPr="00261ED0">
        <w:rPr>
          <w:lang w:val="es-ES"/>
        </w:rPr>
        <w:t xml:space="preserve">a 31 de diciembre de 2017 un índice del 45 por ciento, </w:t>
      </w:r>
      <w:r w:rsidR="00B27691">
        <w:rPr>
          <w:lang w:val="es-ES"/>
        </w:rPr>
        <w:t>porcentaje</w:t>
      </w:r>
      <w:r w:rsidR="008C0AF1" w:rsidRPr="00261ED0">
        <w:rPr>
          <w:lang w:val="es-ES"/>
        </w:rPr>
        <w:t xml:space="preserve"> que consideramos</w:t>
      </w:r>
      <w:r w:rsidRPr="00261ED0">
        <w:rPr>
          <w:lang w:val="es-ES"/>
        </w:rPr>
        <w:t xml:space="preserve"> excesi</w:t>
      </w:r>
      <w:r w:rsidR="008C0AF1" w:rsidRPr="00261ED0">
        <w:rPr>
          <w:lang w:val="es-ES"/>
        </w:rPr>
        <w:t>v</w:t>
      </w:r>
      <w:r w:rsidR="00BF69DE">
        <w:rPr>
          <w:lang w:val="es-ES"/>
        </w:rPr>
        <w:t>o</w:t>
      </w:r>
      <w:r w:rsidRPr="00261ED0">
        <w:rPr>
          <w:lang w:val="es-ES"/>
        </w:rPr>
        <w:t xml:space="preserve"> y preocupante, </w:t>
      </w:r>
      <w:r w:rsidR="008C0AF1" w:rsidRPr="00261ED0">
        <w:rPr>
          <w:lang w:val="es-ES"/>
        </w:rPr>
        <w:t>y que i</w:t>
      </w:r>
      <w:r w:rsidR="008C0AF1" w:rsidRPr="00261ED0">
        <w:rPr>
          <w:lang w:val="es-ES"/>
        </w:rPr>
        <w:t>m</w:t>
      </w:r>
      <w:r w:rsidR="008C0AF1" w:rsidRPr="00261ED0">
        <w:rPr>
          <w:lang w:val="es-ES"/>
        </w:rPr>
        <w:t xml:space="preserve">plica </w:t>
      </w:r>
      <w:r w:rsidRPr="00261ED0">
        <w:rPr>
          <w:lang w:val="es-ES"/>
        </w:rPr>
        <w:t>una cierta descapitalización del factor humano</w:t>
      </w:r>
      <w:r w:rsidR="004A0FE4">
        <w:rPr>
          <w:lang w:val="es-ES"/>
        </w:rPr>
        <w:t xml:space="preserve">. Asimismo se aprecia un </w:t>
      </w:r>
      <w:r w:rsidRPr="00261ED0">
        <w:rPr>
          <w:lang w:val="es-ES"/>
        </w:rPr>
        <w:t>envejecimiento</w:t>
      </w:r>
      <w:r w:rsidR="004A0FE4">
        <w:rPr>
          <w:lang w:val="es-ES"/>
        </w:rPr>
        <w:t xml:space="preserve"> progresivo y preocupante</w:t>
      </w:r>
      <w:r w:rsidRPr="00261ED0">
        <w:rPr>
          <w:lang w:val="es-ES"/>
        </w:rPr>
        <w:t xml:space="preserve"> de la planti</w:t>
      </w:r>
      <w:r w:rsidR="004A0FE4">
        <w:rPr>
          <w:lang w:val="es-ES"/>
        </w:rPr>
        <w:t>lla</w:t>
      </w:r>
      <w:r w:rsidR="00CF1188">
        <w:rPr>
          <w:lang w:val="es-ES"/>
        </w:rPr>
        <w:t xml:space="preserve"> con </w:t>
      </w:r>
      <w:r w:rsidR="004A0FE4">
        <w:rPr>
          <w:lang w:val="es-ES"/>
        </w:rPr>
        <w:t xml:space="preserve">las repercusiones que esto </w:t>
      </w:r>
      <w:r w:rsidR="00CF1188">
        <w:rPr>
          <w:lang w:val="es-ES"/>
        </w:rPr>
        <w:t>conlleva.</w:t>
      </w:r>
      <w:r w:rsidR="004A0FE4">
        <w:rPr>
          <w:lang w:val="es-ES"/>
        </w:rPr>
        <w:t xml:space="preserve"> </w:t>
      </w:r>
      <w:r w:rsidR="00BF69DE">
        <w:rPr>
          <w:lang w:val="es-ES"/>
        </w:rPr>
        <w:t>En este sentido, el 51 por ciento del personal superaba en 2017 los 50 años.</w:t>
      </w:r>
    </w:p>
    <w:p w:rsidR="008C0AF1" w:rsidRPr="00261ED0" w:rsidRDefault="008C0AF1" w:rsidP="00A8447C">
      <w:pPr>
        <w:pStyle w:val="texto"/>
        <w:numPr>
          <w:ilvl w:val="0"/>
          <w:numId w:val="34"/>
        </w:numPr>
        <w:tabs>
          <w:tab w:val="clear" w:pos="2835"/>
          <w:tab w:val="clear" w:pos="3969"/>
          <w:tab w:val="clear" w:pos="5103"/>
          <w:tab w:val="clear" w:pos="6237"/>
          <w:tab w:val="clear" w:pos="7371"/>
          <w:tab w:val="center" w:pos="567"/>
        </w:tabs>
        <w:ind w:left="0" w:firstLine="284"/>
      </w:pPr>
      <w:r w:rsidRPr="00261ED0">
        <w:rPr>
          <w:lang w:val="es-ES"/>
        </w:rPr>
        <w:t>El gasto en inversiones, si bien en 2017 se observa un incremento del 40 por ciento respecto a 2016, sigue siendo bajo y supone el 44 por ciento del que existió en 2010.</w:t>
      </w:r>
    </w:p>
    <w:p w:rsidR="00112457" w:rsidRDefault="00112457" w:rsidP="00137822">
      <w:pPr>
        <w:pStyle w:val="texto"/>
        <w:rPr>
          <w:lang w:val="es-ES"/>
        </w:rPr>
      </w:pPr>
    </w:p>
    <w:p w:rsidR="008C0AF1" w:rsidRPr="00B01865" w:rsidRDefault="008C0AF1" w:rsidP="00137822">
      <w:pPr>
        <w:pStyle w:val="texto"/>
        <w:rPr>
          <w:lang w:val="es-ES"/>
        </w:rPr>
      </w:pPr>
      <w:r>
        <w:rPr>
          <w:lang w:val="es-ES"/>
        </w:rPr>
        <w:t xml:space="preserve"> </w:t>
      </w:r>
    </w:p>
    <w:p w:rsidR="00137822" w:rsidRPr="00137822" w:rsidRDefault="00137822" w:rsidP="00137822">
      <w:pPr>
        <w:pStyle w:val="texto"/>
        <w:spacing w:after="240"/>
        <w:rPr>
          <w:lang w:val="es-ES"/>
        </w:rPr>
      </w:pPr>
    </w:p>
    <w:p w:rsidR="00137822" w:rsidRDefault="00137822" w:rsidP="00B17FEA">
      <w:pPr>
        <w:pStyle w:val="texto"/>
      </w:pPr>
    </w:p>
    <w:p w:rsidR="00B17FEA" w:rsidRDefault="00B17FEA" w:rsidP="00B17FEA">
      <w:pPr>
        <w:pStyle w:val="texto"/>
      </w:pPr>
    </w:p>
    <w:p w:rsidR="00B17FEA" w:rsidRDefault="00B17FEA" w:rsidP="00B17FEA">
      <w:pPr>
        <w:pStyle w:val="texto"/>
      </w:pPr>
    </w:p>
    <w:p w:rsidR="00B17FEA" w:rsidRPr="00624779" w:rsidRDefault="00B17FEA" w:rsidP="008540B2">
      <w:pPr>
        <w:pStyle w:val="texto"/>
      </w:pPr>
    </w:p>
    <w:p w:rsidR="008540B2" w:rsidRDefault="008540B2">
      <w:pPr>
        <w:spacing w:after="0"/>
        <w:ind w:firstLine="0"/>
        <w:jc w:val="left"/>
        <w:rPr>
          <w:rFonts w:ascii="Arial" w:hAnsi="Arial"/>
          <w:b/>
          <w:color w:val="000000"/>
          <w:kern w:val="28"/>
          <w:sz w:val="25"/>
          <w:szCs w:val="26"/>
        </w:rPr>
      </w:pPr>
      <w:r>
        <w:br w:type="page"/>
      </w:r>
    </w:p>
    <w:p w:rsidR="00CB3A5E" w:rsidRPr="001639F7" w:rsidRDefault="00CB3A5E" w:rsidP="00CB3A5E">
      <w:pPr>
        <w:pStyle w:val="atitulo1"/>
      </w:pPr>
      <w:bookmarkStart w:id="3" w:name="_Toc530034652"/>
      <w:r w:rsidRPr="001639F7">
        <w:lastRenderedPageBreak/>
        <w:t>I. Introducción</w:t>
      </w:r>
      <w:bookmarkEnd w:id="1"/>
      <w:bookmarkEnd w:id="2"/>
      <w:bookmarkEnd w:id="3"/>
      <w:r w:rsidRPr="001639F7">
        <w:t xml:space="preserve"> </w:t>
      </w:r>
    </w:p>
    <w:p w:rsidR="00CB3A5E" w:rsidRPr="00624779" w:rsidRDefault="00CB3A5E" w:rsidP="00CB3A5E">
      <w:pPr>
        <w:pStyle w:val="texto"/>
      </w:pPr>
      <w:r w:rsidRPr="00624779">
        <w:t>La Cámara de Comptos, en cumplimiento de su Ley Foral reguladora 19/1984, de 20 de diciembre, y de acuerdo con su programa de actuación para 201</w:t>
      </w:r>
      <w:r>
        <w:t>8</w:t>
      </w:r>
      <w:r w:rsidRPr="00624779">
        <w:t xml:space="preserve">, </w:t>
      </w:r>
      <w:r>
        <w:t>debe fiscalizar</w:t>
      </w:r>
      <w:r w:rsidRPr="00624779">
        <w:t xml:space="preserve"> las Cuentas Generales de Navarra</w:t>
      </w:r>
      <w:r>
        <w:t>, que comprenden las cuentas de las entidades que conforman el sector público foral</w:t>
      </w:r>
      <w:r w:rsidRPr="00624779">
        <w:t xml:space="preserve">. </w:t>
      </w:r>
    </w:p>
    <w:p w:rsidR="00CB3A5E" w:rsidRDefault="00CB3A5E" w:rsidP="00CB3A5E">
      <w:pPr>
        <w:pStyle w:val="texto"/>
      </w:pPr>
      <w:r>
        <w:t>Hemos realizado la fiscalización de regularidad de las cuentas anuales de la Administración de la Comunidad Foral de Navarra (ACFN en adelante) y sus organismos autónomos (OOAA en adelante) correspondientes al ejercicio 2017 que comprenden todas las operaciones presupuestarias, patrimoniales y de tes</w:t>
      </w:r>
      <w:r>
        <w:t>o</w:t>
      </w:r>
      <w:r>
        <w:t>rería llevadas a cabo durante el ejercicio, y constan, fundamentalmente, de los siguientes documentos:</w:t>
      </w:r>
    </w:p>
    <w:p w:rsidR="00CB3A5E" w:rsidRPr="005D7232"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La liquidación de presupuestos</w:t>
      </w:r>
      <w:r w:rsidRPr="005D7232">
        <w:rPr>
          <w:rFonts w:cs="Arial"/>
        </w:rPr>
        <w:t>.</w:t>
      </w:r>
    </w:p>
    <w:p w:rsidR="00CB3A5E"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El balance de situación</w:t>
      </w:r>
      <w:r w:rsidRPr="005D7232">
        <w:rPr>
          <w:rFonts w:cs="Arial"/>
        </w:rPr>
        <w:t>.</w:t>
      </w:r>
    </w:p>
    <w:p w:rsidR="00CB3A5E"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La cuenta del resultado económico-patrimonial.</w:t>
      </w:r>
    </w:p>
    <w:p w:rsidR="00CB3A5E" w:rsidRPr="005D7232"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 xml:space="preserve">Una memoria global que amplia y comenta la información contenida en los estados anteriores. </w:t>
      </w:r>
    </w:p>
    <w:p w:rsidR="00CB3A5E" w:rsidRDefault="00CB3A5E" w:rsidP="00CB3A5E">
      <w:pPr>
        <w:pStyle w:val="texto"/>
      </w:pPr>
      <w:r>
        <w:t xml:space="preserve">El objetivo de la fiscalización </w:t>
      </w:r>
      <w:r w:rsidR="002E36B8">
        <w:t xml:space="preserve">financiera </w:t>
      </w:r>
      <w:r>
        <w:t>es expresar nuestra opinión acerca de si las cuentas anuales de la ACFN y sus OOAA del ejercicio 2017 reflejan, en todos los aspectos significativos, la imagen fiel del patrimonio, de la liqu</w:t>
      </w:r>
      <w:r>
        <w:t>i</w:t>
      </w:r>
      <w:r>
        <w:t>dación del presupuesto y de la situación financiera a 31 de diciembre de 2017, así como del resultado económico patrimonial correspondiente al ejercicio anual terminado en dicha fecha, de conformidad con el marco normativo de i</w:t>
      </w:r>
      <w:r>
        <w:t>n</w:t>
      </w:r>
      <w:r>
        <w:t>formación financiera pública que resulta de aplicación y, en particular, con los principios y criterios contables contenidos en el mismo.</w:t>
      </w:r>
    </w:p>
    <w:p w:rsidR="00CB3A5E" w:rsidRDefault="00CB3A5E" w:rsidP="00CB3A5E">
      <w:pPr>
        <w:pStyle w:val="texto"/>
      </w:pPr>
      <w:r>
        <w:t>Conjuntamente con la auditoría financiera de las cuentas anuales hemos pl</w:t>
      </w:r>
      <w:r>
        <w:t>a</w:t>
      </w:r>
      <w:r>
        <w:t>nificado y ejecutado una fiscalización de cumplimiento de la legalidad para emitir una opinión sobre si las actividades, operaciones presupuestarias y f</w:t>
      </w:r>
      <w:r>
        <w:t>i</w:t>
      </w:r>
      <w:r>
        <w:t>nancieras realizadas por la ACFN y sus OOAA durante el ejercicio, y la info</w:t>
      </w:r>
      <w:r>
        <w:t>r</w:t>
      </w:r>
      <w:r>
        <w:t>mación reflejada en las cuentas anuales del ejercicio 2017 resultan conformes en todos los aspectos significativos con las normas aplicables a la gestión de los fondos públicos.</w:t>
      </w:r>
    </w:p>
    <w:p w:rsidR="002E36B8" w:rsidRDefault="002E36B8" w:rsidP="00CB3A5E">
      <w:pPr>
        <w:pStyle w:val="texto"/>
      </w:pPr>
      <w:r>
        <w:t>Otro objetivo de la fiscalización que hemos llevado a cabo ha sido la realiz</w:t>
      </w:r>
      <w:r>
        <w:t>a</w:t>
      </w:r>
      <w:r>
        <w:t>ción del seguimiento de las recomendaciones efectuadas en informes anteriores sobre las Cuentas Generales de Navarra.</w:t>
      </w:r>
    </w:p>
    <w:p w:rsidR="00CB3A5E" w:rsidRPr="00624779" w:rsidRDefault="00CB3A5E" w:rsidP="00CB3A5E">
      <w:pPr>
        <w:pStyle w:val="texto"/>
      </w:pPr>
      <w:r w:rsidRPr="00624779">
        <w:t xml:space="preserve">El marco normativo que resulta aplicable </w:t>
      </w:r>
      <w:r>
        <w:t>a la ACFN</w:t>
      </w:r>
      <w:r w:rsidRPr="00624779">
        <w:t xml:space="preserve"> en 201</w:t>
      </w:r>
      <w:r>
        <w:t>7</w:t>
      </w:r>
      <w:r w:rsidRPr="00624779">
        <w:t xml:space="preserve"> está constitu</w:t>
      </w:r>
      <w:r w:rsidRPr="00624779">
        <w:t>i</w:t>
      </w:r>
      <w:r w:rsidRPr="00624779">
        <w:t>do fundamentalmente por:</w:t>
      </w:r>
    </w:p>
    <w:p w:rsidR="00CB3A5E" w:rsidRPr="00624779" w:rsidRDefault="00CB3A5E" w:rsidP="00CB3A5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4F0B2B">
        <w:rPr>
          <w:rFonts w:cs="Arial"/>
        </w:rPr>
        <w:t>Ley Foral 24/2016, de 28 de diciembre, de Presupuestos Generales de N</w:t>
      </w:r>
      <w:r w:rsidRPr="004F0B2B">
        <w:rPr>
          <w:rFonts w:cs="Arial"/>
        </w:rPr>
        <w:t>a</w:t>
      </w:r>
      <w:r w:rsidRPr="004F0B2B">
        <w:rPr>
          <w:rFonts w:cs="Arial"/>
        </w:rPr>
        <w:t>varra para el año 2017</w:t>
      </w:r>
      <w:r w:rsidRPr="00624779">
        <w:rPr>
          <w:rFonts w:cs="Arial"/>
        </w:rPr>
        <w:t>.</w:t>
      </w:r>
    </w:p>
    <w:p w:rsidR="00CB3A5E" w:rsidRPr="00624779" w:rsidRDefault="00CB3A5E" w:rsidP="00CB3A5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624779">
        <w:rPr>
          <w:rFonts w:cs="Arial"/>
        </w:rPr>
        <w:lastRenderedPageBreak/>
        <w:t>Ley Foral 13/2007, de 4 de abril, de la Hacienda Pública de Navarra.</w:t>
      </w:r>
    </w:p>
    <w:p w:rsidR="00CB3A5E" w:rsidRPr="00624779" w:rsidRDefault="00CB3A5E" w:rsidP="00CB3A5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624779">
        <w:rPr>
          <w:rFonts w:cs="Arial"/>
        </w:rPr>
        <w:t xml:space="preserve">Ley Foral 13/2000, de 14 de diciembre, General Tributaria de Navarra. </w:t>
      </w:r>
    </w:p>
    <w:p w:rsidR="00CB3A5E" w:rsidRPr="00624779" w:rsidRDefault="00CB3A5E" w:rsidP="00CB3A5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624779">
        <w:rPr>
          <w:rFonts w:cs="Arial"/>
        </w:rPr>
        <w:t>Ley 28/1990, por la que se aprueba el Convenio Económico entre el Estado y la Comunidad Foral de Navarra.</w:t>
      </w:r>
    </w:p>
    <w:p w:rsidR="00CB3A5E" w:rsidRPr="00624779" w:rsidRDefault="00CB3A5E" w:rsidP="00CB3A5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624779">
        <w:rPr>
          <w:rFonts w:cs="Arial"/>
        </w:rPr>
        <w:t>Ley Orgánica 2/2012, de 27 de abril, de Estabilidad Presupuestaria y de Sostenibilidad Financiera</w:t>
      </w:r>
      <w:r>
        <w:rPr>
          <w:rFonts w:cs="Arial"/>
        </w:rPr>
        <w:t xml:space="preserve"> (</w:t>
      </w:r>
      <w:proofErr w:type="spellStart"/>
      <w:r>
        <w:rPr>
          <w:rFonts w:cs="Arial"/>
        </w:rPr>
        <w:t>LOEPySF</w:t>
      </w:r>
      <w:proofErr w:type="spellEnd"/>
      <w:r>
        <w:rPr>
          <w:rFonts w:cs="Arial"/>
        </w:rPr>
        <w:t xml:space="preserve"> en adelante)</w:t>
      </w:r>
      <w:r w:rsidRPr="00624779">
        <w:rPr>
          <w:rFonts w:cs="Arial"/>
        </w:rPr>
        <w:t>.</w:t>
      </w:r>
    </w:p>
    <w:p w:rsidR="00CB3A5E" w:rsidRPr="00624779" w:rsidRDefault="00CB3A5E" w:rsidP="00CB3A5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4F0B2B">
        <w:rPr>
          <w:rFonts w:cs="Arial"/>
        </w:rPr>
        <w:t xml:space="preserve">Orden Foral 84/2017, de 22 de junio, del </w:t>
      </w:r>
      <w:r w:rsidR="005D255D">
        <w:rPr>
          <w:rFonts w:cs="Arial"/>
        </w:rPr>
        <w:t>c</w:t>
      </w:r>
      <w:r w:rsidRPr="004F0B2B">
        <w:rPr>
          <w:rFonts w:cs="Arial"/>
        </w:rPr>
        <w:t>onsejero de Hacienda y Política Financiera, por la que se aprueban las normas reguladoras del cierre y liquid</w:t>
      </w:r>
      <w:r w:rsidRPr="004F0B2B">
        <w:rPr>
          <w:rFonts w:cs="Arial"/>
        </w:rPr>
        <w:t>a</w:t>
      </w:r>
      <w:r w:rsidRPr="004F0B2B">
        <w:rPr>
          <w:rFonts w:cs="Arial"/>
        </w:rPr>
        <w:t xml:space="preserve">ción de los presupuestos generales de Navarra y de las </w:t>
      </w:r>
      <w:r w:rsidR="00057BCA">
        <w:rPr>
          <w:rFonts w:cs="Arial"/>
        </w:rPr>
        <w:t>c</w:t>
      </w:r>
      <w:r w:rsidRPr="004F0B2B">
        <w:rPr>
          <w:rFonts w:cs="Arial"/>
        </w:rPr>
        <w:t xml:space="preserve">uentas de </w:t>
      </w:r>
      <w:r w:rsidR="00057BCA">
        <w:rPr>
          <w:rFonts w:cs="Arial"/>
        </w:rPr>
        <w:t>b</w:t>
      </w:r>
      <w:r w:rsidRPr="004F0B2B">
        <w:rPr>
          <w:rFonts w:cs="Arial"/>
        </w:rPr>
        <w:t>alance del ejercicio del año 2017 y la apertura del ejercicio 2018</w:t>
      </w:r>
      <w:r w:rsidRPr="00624779">
        <w:rPr>
          <w:rFonts w:cs="Arial"/>
        </w:rPr>
        <w:t>.</w:t>
      </w:r>
    </w:p>
    <w:p w:rsidR="00CB3A5E" w:rsidRPr="00624779" w:rsidRDefault="00CB3A5E" w:rsidP="00CB3A5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sidRPr="00624779">
        <w:rPr>
          <w:rFonts w:cs="Arial"/>
        </w:rPr>
        <w:t>Normativa sectorial vigente.</w:t>
      </w:r>
    </w:p>
    <w:p w:rsidR="00CB3A5E" w:rsidRDefault="00CB3A5E" w:rsidP="00CB3A5E">
      <w:pPr>
        <w:pStyle w:val="texto"/>
      </w:pPr>
      <w:r w:rsidRPr="00624779">
        <w:t>El informe se estructura en c</w:t>
      </w:r>
      <w:r>
        <w:t>inc</w:t>
      </w:r>
      <w:r w:rsidRPr="00624779">
        <w:t>o epígrafes, incluyendo esta introducción. El segundo</w:t>
      </w:r>
      <w:r>
        <w:t xml:space="preserve"> contiene la delimitación del sector público foral y el tercero</w:t>
      </w:r>
      <w:r w:rsidRPr="00624779">
        <w:t xml:space="preserve"> indica nuestra opinión financiera y de cumplimiento de legalidad sobre las </w:t>
      </w:r>
      <w:r>
        <w:t>cuentas anuales</w:t>
      </w:r>
      <w:r w:rsidRPr="00624779">
        <w:t xml:space="preserve"> de</w:t>
      </w:r>
      <w:r>
        <w:t xml:space="preserve"> la ACFN y sus OOAA</w:t>
      </w:r>
      <w:r w:rsidRPr="00624779">
        <w:t xml:space="preserve"> correspondientes al ejercicio de 201</w:t>
      </w:r>
      <w:r>
        <w:t>7</w:t>
      </w:r>
      <w:r w:rsidRPr="00624779">
        <w:t xml:space="preserve">; el </w:t>
      </w:r>
      <w:r>
        <w:t>cuarto</w:t>
      </w:r>
      <w:r w:rsidRPr="00624779">
        <w:t xml:space="preserve"> contiene un resumen de los principales estados contables</w:t>
      </w:r>
      <w:r w:rsidR="005D255D">
        <w:t>;</w:t>
      </w:r>
      <w:r>
        <w:t xml:space="preserve"> y en el quinto,</w:t>
      </w:r>
      <w:r w:rsidRPr="00624779">
        <w:t xml:space="preserve"> incluimos un conjunto de conclusiones y </w:t>
      </w:r>
      <w:r>
        <w:t>recomendaciones</w:t>
      </w:r>
      <w:r w:rsidRPr="00624779">
        <w:t xml:space="preserve"> obtenidas del trab</w:t>
      </w:r>
      <w:r w:rsidRPr="00624779">
        <w:t>a</w:t>
      </w:r>
      <w:r w:rsidRPr="00624779">
        <w:t>jo realizado sobre</w:t>
      </w:r>
      <w:r>
        <w:t>: la</w:t>
      </w:r>
      <w:r w:rsidRPr="00624779">
        <w:t xml:space="preserve"> situación presupuestaria y financiera</w:t>
      </w:r>
      <w:r>
        <w:t xml:space="preserve"> de la ACFN</w:t>
      </w:r>
      <w:r w:rsidRPr="00624779">
        <w:t xml:space="preserve"> a 31 de diciembre de 201</w:t>
      </w:r>
      <w:r>
        <w:t>7</w:t>
      </w:r>
      <w:r w:rsidRPr="00624779">
        <w:t>, el cumplimiento de los principios de estabilidad presupue</w:t>
      </w:r>
      <w:r w:rsidRPr="00624779">
        <w:t>s</w:t>
      </w:r>
      <w:r w:rsidRPr="00624779">
        <w:t>taria y sostenibilidad financiera, el seguimiento de las recomendaciones princ</w:t>
      </w:r>
      <w:r w:rsidRPr="00624779">
        <w:t>i</w:t>
      </w:r>
      <w:r w:rsidRPr="00624779">
        <w:t>pales de informes anteriores de esta Cámara, otras áreas de gestión relevantes, y sobre el sector público empresarial y fundacional.</w:t>
      </w:r>
      <w:r>
        <w:t xml:space="preserve"> </w:t>
      </w:r>
    </w:p>
    <w:p w:rsidR="00CB3A5E" w:rsidRDefault="00CB3A5E" w:rsidP="00CB3A5E">
      <w:pPr>
        <w:pStyle w:val="texto"/>
        <w:spacing w:before="120"/>
      </w:pPr>
      <w:r>
        <w:t>El informe incluye</w:t>
      </w:r>
      <w:r w:rsidR="005D255D">
        <w:t>,</w:t>
      </w:r>
      <w:r>
        <w:t xml:space="preserve"> además</w:t>
      </w:r>
      <w:r w:rsidR="005D255D">
        <w:t>,</w:t>
      </w:r>
      <w:r>
        <w:t xml:space="preserve"> dos apéndices en los que se exponen las concl</w:t>
      </w:r>
      <w:r>
        <w:t>u</w:t>
      </w:r>
      <w:r w:rsidR="002E36B8">
        <w:t xml:space="preserve">siones del análisis </w:t>
      </w:r>
      <w:r>
        <w:t xml:space="preserve">realizado en respuesta a dos peticiones recibidas </w:t>
      </w:r>
      <w:r w:rsidR="002E36B8">
        <w:t>que</w:t>
      </w:r>
      <w:r>
        <w:t xml:space="preserve"> esta Cámara</w:t>
      </w:r>
      <w:r w:rsidR="002E36B8">
        <w:t xml:space="preserve"> consideró oportuno incluir en el alcance de este trabajo</w:t>
      </w:r>
      <w:r>
        <w:t>:</w:t>
      </w:r>
    </w:p>
    <w:p w:rsidR="00CB3A5E" w:rsidRPr="00624779" w:rsidRDefault="00CB3A5E" w:rsidP="00CB3A5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Análisis del gasto público destinado a diversas organizaciones privadas y a la financiación de eventos para la promoción del euskera.</w:t>
      </w:r>
    </w:p>
    <w:p w:rsidR="00CB3A5E" w:rsidRPr="00624779" w:rsidRDefault="00CB3A5E" w:rsidP="00CB3A5E">
      <w:pPr>
        <w:pStyle w:val="texto"/>
        <w:numPr>
          <w:ilvl w:val="0"/>
          <w:numId w:val="2"/>
        </w:numPr>
        <w:tabs>
          <w:tab w:val="clear" w:pos="1948"/>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rFonts w:cs="Arial"/>
        </w:rPr>
        <w:t xml:space="preserve">Fiscalización de las subvenciones y costes del Centro de Recuperación de Fauna Salvaje </w:t>
      </w:r>
      <w:proofErr w:type="spellStart"/>
      <w:r>
        <w:rPr>
          <w:rFonts w:cs="Arial"/>
        </w:rPr>
        <w:t>Ilundáin</w:t>
      </w:r>
      <w:proofErr w:type="spellEnd"/>
      <w:r w:rsidRPr="00624779">
        <w:rPr>
          <w:rFonts w:cs="Arial"/>
        </w:rPr>
        <w:t>.</w:t>
      </w:r>
    </w:p>
    <w:p w:rsidR="00CB3A5E" w:rsidRPr="00624779" w:rsidRDefault="00CB3A5E" w:rsidP="00CB3A5E">
      <w:pPr>
        <w:pStyle w:val="texto"/>
      </w:pPr>
      <w:r>
        <w:t>Finalmente, e</w:t>
      </w:r>
      <w:r w:rsidRPr="00624779">
        <w:t>l informe se acompaña de un r</w:t>
      </w:r>
      <w:r>
        <w:t>esumen de la memoria sobre las C</w:t>
      </w:r>
      <w:r w:rsidRPr="00624779">
        <w:t xml:space="preserve">uentas </w:t>
      </w:r>
      <w:r>
        <w:t>G</w:t>
      </w:r>
      <w:r w:rsidRPr="00624779">
        <w:t>enerales de Navarra correspondiente al ejercicio de 201</w:t>
      </w:r>
      <w:r>
        <w:t>7</w:t>
      </w:r>
      <w:r w:rsidRPr="00624779">
        <w:t xml:space="preserve"> elaborada por el Departamento de Hacienda y Política Financiera del Gobierno de Nav</w:t>
      </w:r>
      <w:r w:rsidRPr="00624779">
        <w:t>a</w:t>
      </w:r>
      <w:r w:rsidRPr="00624779">
        <w:t xml:space="preserve">rra. El texto completo de la misma puede </w:t>
      </w:r>
      <w:r>
        <w:t>consultars</w:t>
      </w:r>
      <w:r w:rsidRPr="00624779">
        <w:t xml:space="preserve">e en: </w:t>
      </w:r>
    </w:p>
    <w:p w:rsidR="00CB3A5E" w:rsidRPr="00277A5D" w:rsidRDefault="005A7397" w:rsidP="00CB3A5E">
      <w:pPr>
        <w:pStyle w:val="texto"/>
        <w:spacing w:before="120"/>
        <w:rPr>
          <w:b/>
          <w:sz w:val="20"/>
          <w:szCs w:val="20"/>
        </w:rPr>
      </w:pPr>
      <w:hyperlink r:id="rId14" w:history="1">
        <w:r w:rsidR="00CB3A5E" w:rsidRPr="00277A5D">
          <w:rPr>
            <w:rStyle w:val="Hipervnculo"/>
            <w:b/>
            <w:sz w:val="20"/>
            <w:szCs w:val="20"/>
          </w:rPr>
          <w:t>https://www.navarra.es/home_es/Gobierno+de+Navarra/Presupuesto/Cuentas/Cuentas+2017</w:t>
        </w:r>
      </w:hyperlink>
    </w:p>
    <w:p w:rsidR="00CB3A5E" w:rsidRPr="00624779" w:rsidRDefault="00CB3A5E" w:rsidP="00CB3A5E">
      <w:pPr>
        <w:pStyle w:val="texto"/>
        <w:spacing w:before="240"/>
      </w:pPr>
      <w:r w:rsidRPr="00624779">
        <w:t xml:space="preserve">En nuestra actuación se han considerado los informes realizados por el </w:t>
      </w:r>
      <w:r>
        <w:t>S</w:t>
      </w:r>
      <w:r w:rsidRPr="00624779">
        <w:t>e</w:t>
      </w:r>
      <w:r w:rsidRPr="00624779">
        <w:t>r</w:t>
      </w:r>
      <w:r w:rsidRPr="00624779">
        <w:t xml:space="preserve">vicio de Intervención General del Gobierno de Navarra. </w:t>
      </w:r>
    </w:p>
    <w:p w:rsidR="00CB3A5E" w:rsidRPr="00624779" w:rsidRDefault="00CB3A5E" w:rsidP="00CB3A5E">
      <w:pPr>
        <w:pStyle w:val="texto"/>
      </w:pPr>
      <w:r>
        <w:lastRenderedPageBreak/>
        <w:t>Para</w:t>
      </w:r>
      <w:r w:rsidRPr="00624779">
        <w:t xml:space="preserve"> el resto de </w:t>
      </w:r>
      <w:r>
        <w:t xml:space="preserve">entidades del sector público foral, cuyas cuentas integran las Cuentas Generales de Navarra, se </w:t>
      </w:r>
      <w:r w:rsidRPr="00624779">
        <w:t>ha</w:t>
      </w:r>
      <w:r>
        <w:t>n</w:t>
      </w:r>
      <w:r w:rsidRPr="00624779">
        <w:t xml:space="preserve"> tenido en cuenta </w:t>
      </w:r>
      <w:r>
        <w:t>los siguientes aspectos</w:t>
      </w:r>
      <w:r w:rsidRPr="00624779">
        <w:t>:</w:t>
      </w:r>
    </w:p>
    <w:p w:rsidR="00CB3A5E" w:rsidRPr="005D7232"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5D7232">
        <w:rPr>
          <w:rFonts w:cs="Arial"/>
        </w:rPr>
        <w:t xml:space="preserve">Las </w:t>
      </w:r>
      <w:r>
        <w:rPr>
          <w:rFonts w:cs="Arial"/>
        </w:rPr>
        <w:t>c</w:t>
      </w:r>
      <w:r w:rsidRPr="005D7232">
        <w:rPr>
          <w:rFonts w:cs="Arial"/>
        </w:rPr>
        <w:t xml:space="preserve">uentas </w:t>
      </w:r>
      <w:r>
        <w:rPr>
          <w:rFonts w:cs="Arial"/>
        </w:rPr>
        <w:t>anuales de 2017</w:t>
      </w:r>
      <w:r w:rsidRPr="005D7232">
        <w:rPr>
          <w:rFonts w:cs="Arial"/>
        </w:rPr>
        <w:t xml:space="preserve"> del Parlamento de Navarra, del Defensor del Pueblo y del Consejo de Navarra han sido </w:t>
      </w:r>
      <w:r>
        <w:rPr>
          <w:rFonts w:cs="Arial"/>
        </w:rPr>
        <w:t>fiscalizadas</w:t>
      </w:r>
      <w:r w:rsidRPr="005D7232">
        <w:rPr>
          <w:rFonts w:cs="Arial"/>
        </w:rPr>
        <w:t xml:space="preserve"> por esta</w:t>
      </w:r>
      <w:r>
        <w:rPr>
          <w:rFonts w:cs="Arial"/>
        </w:rPr>
        <w:t xml:space="preserve"> Cámara</w:t>
      </w:r>
      <w:r w:rsidRPr="005D7232">
        <w:rPr>
          <w:rFonts w:cs="Arial"/>
        </w:rPr>
        <w:t>.</w:t>
      </w:r>
    </w:p>
    <w:p w:rsidR="00CB3A5E" w:rsidRPr="005D7232"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5D7232">
        <w:rPr>
          <w:rFonts w:cs="Arial"/>
        </w:rPr>
        <w:t xml:space="preserve">Las </w:t>
      </w:r>
      <w:r>
        <w:rPr>
          <w:rFonts w:cs="Arial"/>
        </w:rPr>
        <w:t>c</w:t>
      </w:r>
      <w:r w:rsidRPr="005D7232">
        <w:rPr>
          <w:rFonts w:cs="Arial"/>
        </w:rPr>
        <w:t xml:space="preserve">uentas </w:t>
      </w:r>
      <w:r>
        <w:rPr>
          <w:rFonts w:cs="Arial"/>
        </w:rPr>
        <w:t>anuales de 2017</w:t>
      </w:r>
      <w:r w:rsidRPr="005D7232">
        <w:rPr>
          <w:rFonts w:cs="Arial"/>
        </w:rPr>
        <w:t xml:space="preserve"> de la propia Cámara de Comptos han sido </w:t>
      </w:r>
      <w:r>
        <w:rPr>
          <w:rFonts w:cs="Arial"/>
        </w:rPr>
        <w:t>fi</w:t>
      </w:r>
      <w:r>
        <w:rPr>
          <w:rFonts w:cs="Arial"/>
        </w:rPr>
        <w:t>s</w:t>
      </w:r>
      <w:r>
        <w:rPr>
          <w:rFonts w:cs="Arial"/>
        </w:rPr>
        <w:t>calizadas</w:t>
      </w:r>
      <w:r w:rsidRPr="005D7232">
        <w:rPr>
          <w:rFonts w:cs="Arial"/>
        </w:rPr>
        <w:t xml:space="preserve"> por una firma de auditoría</w:t>
      </w:r>
      <w:r>
        <w:rPr>
          <w:rFonts w:cs="Arial"/>
        </w:rPr>
        <w:t xml:space="preserve"> privada</w:t>
      </w:r>
      <w:r w:rsidRPr="005D7232">
        <w:rPr>
          <w:rFonts w:cs="Arial"/>
        </w:rPr>
        <w:t>.</w:t>
      </w:r>
    </w:p>
    <w:p w:rsidR="00CB3A5E" w:rsidRPr="005D7232"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5D7232">
        <w:rPr>
          <w:rFonts w:cs="Arial"/>
        </w:rPr>
        <w:t xml:space="preserve">Las cuentas anuales </w:t>
      </w:r>
      <w:r>
        <w:rPr>
          <w:rFonts w:cs="Arial"/>
        </w:rPr>
        <w:t xml:space="preserve">y la legalidad </w:t>
      </w:r>
      <w:r w:rsidRPr="005D7232">
        <w:rPr>
          <w:rFonts w:cs="Arial"/>
        </w:rPr>
        <w:t xml:space="preserve">de las sociedades y fundaciones públicas son </w:t>
      </w:r>
      <w:r>
        <w:rPr>
          <w:rFonts w:cs="Arial"/>
        </w:rPr>
        <w:t>auditadas</w:t>
      </w:r>
      <w:r w:rsidRPr="005D7232">
        <w:rPr>
          <w:rFonts w:cs="Arial"/>
        </w:rPr>
        <w:t xml:space="preserve"> </w:t>
      </w:r>
      <w:r>
        <w:rPr>
          <w:rFonts w:cs="Arial"/>
        </w:rPr>
        <w:t xml:space="preserve">bajo la dirección del Servicio de Intervención General </w:t>
      </w:r>
      <w:r w:rsidRPr="005D7232">
        <w:rPr>
          <w:rFonts w:cs="Arial"/>
        </w:rPr>
        <w:t xml:space="preserve">por firmas </w:t>
      </w:r>
      <w:r>
        <w:rPr>
          <w:rFonts w:cs="Arial"/>
        </w:rPr>
        <w:t xml:space="preserve">privadas </w:t>
      </w:r>
      <w:r w:rsidRPr="005D7232">
        <w:rPr>
          <w:rFonts w:cs="Arial"/>
        </w:rPr>
        <w:t>de audito</w:t>
      </w:r>
      <w:r>
        <w:rPr>
          <w:rFonts w:cs="Arial"/>
        </w:rPr>
        <w:t>ría; al respecto, hemos analizado los informes de auditoría correspondientes.</w:t>
      </w:r>
    </w:p>
    <w:p w:rsidR="00CB3A5E" w:rsidRDefault="00CB3A5E" w:rsidP="00CB3A5E">
      <w:pPr>
        <w:pStyle w:val="texto"/>
      </w:pPr>
      <w:r w:rsidRPr="00997B25">
        <w:t>Igualmente se</w:t>
      </w:r>
      <w:r>
        <w:t xml:space="preserve"> han considerado los siguientes informes de auditoría elabor</w:t>
      </w:r>
      <w:r>
        <w:t>a</w:t>
      </w:r>
      <w:r>
        <w:t>dos por esta Cámara de Comptos referidos al ejercicio 2017:</w:t>
      </w:r>
    </w:p>
    <w:p w:rsidR="00CB3A5E" w:rsidRPr="005D7232"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Contratación del personal temporal en el Servicio Navarro de Salud-</w:t>
      </w:r>
      <w:proofErr w:type="spellStart"/>
      <w:r>
        <w:rPr>
          <w:rFonts w:cs="Arial"/>
        </w:rPr>
        <w:t>Osasunbidea</w:t>
      </w:r>
      <w:proofErr w:type="spellEnd"/>
      <w:r>
        <w:rPr>
          <w:rFonts w:cs="Arial"/>
        </w:rPr>
        <w:t xml:space="preserve"> 2016-2017</w:t>
      </w:r>
      <w:r w:rsidRPr="005D7232">
        <w:rPr>
          <w:rFonts w:cs="Arial"/>
        </w:rPr>
        <w:t>.</w:t>
      </w:r>
    </w:p>
    <w:p w:rsidR="00CB3A5E"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Ciudad del Transporte de la Comarca de Pamplona (1991-2017).</w:t>
      </w:r>
    </w:p>
    <w:p w:rsidR="00CB3A5E" w:rsidRPr="0005706E"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05706E">
        <w:rPr>
          <w:rFonts w:cs="Arial"/>
        </w:rPr>
        <w:t xml:space="preserve">Operación PSIS Salesianos, que está previsto que sea publicado </w:t>
      </w:r>
      <w:r w:rsidR="002E36B8">
        <w:rPr>
          <w:rFonts w:cs="Arial"/>
        </w:rPr>
        <w:t>en los pr</w:t>
      </w:r>
      <w:r w:rsidR="002E36B8">
        <w:rPr>
          <w:rFonts w:cs="Arial"/>
        </w:rPr>
        <w:t>ó</w:t>
      </w:r>
      <w:r w:rsidR="002E36B8">
        <w:rPr>
          <w:rFonts w:cs="Arial"/>
        </w:rPr>
        <w:t>ximos meses</w:t>
      </w:r>
      <w:r w:rsidRPr="0005706E">
        <w:rPr>
          <w:rFonts w:cs="Arial"/>
        </w:rPr>
        <w:t>.</w:t>
      </w:r>
    </w:p>
    <w:p w:rsidR="00CB3A5E"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Aplicación de la Ley Foral 10/2014 en relación a la concesión de avales y préstamos en el Sector Público Foral (2014-2017).</w:t>
      </w:r>
    </w:p>
    <w:p w:rsidR="00CB3A5E"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Contratos de asistencia de la Agencia Navarra de Autonomía y Desarrollo de las Personas.</w:t>
      </w:r>
    </w:p>
    <w:p w:rsidR="00CB3A5E" w:rsidRPr="00257C11" w:rsidRDefault="00CB3A5E" w:rsidP="00CB3A5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Impuesto de sucesiones y donaciones (2013-2017).</w:t>
      </w:r>
    </w:p>
    <w:p w:rsidR="00CB3A5E" w:rsidRPr="005D7232" w:rsidRDefault="00CB3A5E" w:rsidP="00CB3A5E">
      <w:pPr>
        <w:pStyle w:val="texto"/>
      </w:pPr>
      <w:r w:rsidRPr="005D7232">
        <w:t xml:space="preserve">El trabajo de campo lo ejecutó entre </w:t>
      </w:r>
      <w:r>
        <w:t>abril</w:t>
      </w:r>
      <w:r w:rsidRPr="005D7232">
        <w:t xml:space="preserve"> y septiembre de 201</w:t>
      </w:r>
      <w:r>
        <w:t>8</w:t>
      </w:r>
      <w:r w:rsidRPr="005D7232">
        <w:t xml:space="preserve"> un equipo i</w:t>
      </w:r>
      <w:r w:rsidRPr="005D7232">
        <w:t>n</w:t>
      </w:r>
      <w:r>
        <w:t>tegrado por cinco técnica</w:t>
      </w:r>
      <w:r w:rsidRPr="005D7232">
        <w:t>s</w:t>
      </w:r>
      <w:r>
        <w:t xml:space="preserve"> y un técnico</w:t>
      </w:r>
      <w:r w:rsidRPr="005D7232">
        <w:t xml:space="preserve"> de auditoría </w:t>
      </w:r>
      <w:r>
        <w:t>junto a</w:t>
      </w:r>
      <w:r w:rsidRPr="005D7232">
        <w:t xml:space="preserve"> una auditora, con la colaboración de los servicios jurídicos, informáticos y administrativos de la Cámara. </w:t>
      </w:r>
    </w:p>
    <w:p w:rsidR="00B27691" w:rsidRDefault="00CB3A5E" w:rsidP="00CB3A5E">
      <w:pPr>
        <w:pStyle w:val="texto"/>
      </w:pPr>
      <w:r w:rsidRPr="005D7232">
        <w:t xml:space="preserve">Agradecemos al personal de la </w:t>
      </w:r>
      <w:r>
        <w:t>ACFN</w:t>
      </w:r>
      <w:r w:rsidRPr="005D7232">
        <w:t xml:space="preserve">, de sus </w:t>
      </w:r>
      <w:r>
        <w:t>OOAA</w:t>
      </w:r>
      <w:r w:rsidRPr="005D7232">
        <w:t>, sociedades públicas y fundaciones públicas la colaboración prestada en la realización del presente trabajo.</w:t>
      </w:r>
    </w:p>
    <w:p w:rsidR="00B27691" w:rsidRPr="009F74EB" w:rsidRDefault="00B27691" w:rsidP="00B27691">
      <w:pPr>
        <w:pStyle w:val="texto"/>
        <w:rPr>
          <w:szCs w:val="26"/>
        </w:rPr>
      </w:pPr>
      <w:r w:rsidRPr="009F74EB">
        <w:rPr>
          <w:lang w:val="es-ES"/>
        </w:rPr>
        <w:t>De conformidad con lo previsto en el artículo 11 de la Ley Foral 19/1984, reguladora de la Cámara de Comptos de Navarra, los resultados de este trabajo se pusieron de manifiesto, con el fin de que el Consejero del Departamento de Hacienda y Política Financiera del Gobierno de Navarra formulara alegaciones.</w:t>
      </w:r>
    </w:p>
    <w:p w:rsidR="00CB3A5E" w:rsidRDefault="00B27691" w:rsidP="00CB3A5E">
      <w:pPr>
        <w:pStyle w:val="texto"/>
      </w:pPr>
      <w:r w:rsidRPr="009F74EB">
        <w:rPr>
          <w:szCs w:val="26"/>
        </w:rPr>
        <w:t>El c</w:t>
      </w:r>
      <w:r w:rsidR="009F74EB" w:rsidRPr="009F74EB">
        <w:rPr>
          <w:szCs w:val="26"/>
        </w:rPr>
        <w:t>onsejero del ci</w:t>
      </w:r>
      <w:r w:rsidRPr="009F74EB">
        <w:rPr>
          <w:szCs w:val="26"/>
        </w:rPr>
        <w:t xml:space="preserve">tado departamento ha presentado alegaciones, </w:t>
      </w:r>
      <w:r w:rsidR="009F74EB" w:rsidRPr="009F74EB">
        <w:rPr>
          <w:lang w:val="es-ES"/>
        </w:rPr>
        <w:t>que no han supuesto modificaciones en nuestro informe y, junto con la contestación de esta Cámara a las mismas, se adjuntan al informe definitivo.</w:t>
      </w:r>
      <w:r w:rsidR="009F74EB" w:rsidRPr="009F74EB">
        <w:t xml:space="preserve"> </w:t>
      </w:r>
      <w:r w:rsidR="00CB3A5E" w:rsidRPr="005D7232">
        <w:br w:type="page"/>
      </w:r>
      <w:bookmarkStart w:id="4" w:name="_Toc305415943"/>
      <w:bookmarkStart w:id="5" w:name="_Toc305480461"/>
    </w:p>
    <w:p w:rsidR="0028205D" w:rsidRPr="00F377C9" w:rsidRDefault="0028205D" w:rsidP="0028205D">
      <w:pPr>
        <w:pStyle w:val="atitulo1"/>
      </w:pPr>
      <w:bookmarkStart w:id="6" w:name="_Toc525907426"/>
      <w:bookmarkStart w:id="7" w:name="_Toc530034653"/>
      <w:bookmarkEnd w:id="4"/>
      <w:bookmarkEnd w:id="5"/>
      <w:r w:rsidRPr="00F377C9">
        <w:lastRenderedPageBreak/>
        <w:t xml:space="preserve">II. </w:t>
      </w:r>
      <w:r>
        <w:t>Delimitación del Sector Público Foral</w:t>
      </w:r>
      <w:bookmarkEnd w:id="6"/>
      <w:bookmarkEnd w:id="7"/>
      <w:r>
        <w:t xml:space="preserve"> </w:t>
      </w:r>
    </w:p>
    <w:p w:rsidR="0028205D" w:rsidRPr="004B5DDD" w:rsidRDefault="0028205D" w:rsidP="0028205D">
      <w:pPr>
        <w:pStyle w:val="texto"/>
      </w:pPr>
      <w:r w:rsidRPr="004B5DDD">
        <w:t>La delimitación del Sector Público Foral correspondiente a 201</w:t>
      </w:r>
      <w:r>
        <w:t>7</w:t>
      </w:r>
      <w:r w:rsidRPr="004B5DDD">
        <w:t xml:space="preserve"> puede ser analizada desde dos puntos de vista: </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B5DDD">
        <w:rPr>
          <w:rFonts w:cs="Arial"/>
        </w:rPr>
        <w:t xml:space="preserve">A efectos de la Ley Foral de la Hacienda Pública de Navarra. </w:t>
      </w:r>
    </w:p>
    <w:p w:rsidR="0028205D" w:rsidRPr="004B5DDD" w:rsidRDefault="002E36B8"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A efectos de</w:t>
      </w:r>
      <w:r w:rsidR="0028205D" w:rsidRPr="004B5DDD">
        <w:rPr>
          <w:rFonts w:cs="Arial"/>
        </w:rPr>
        <w:t xml:space="preserve"> </w:t>
      </w:r>
      <w:r>
        <w:rPr>
          <w:rFonts w:cs="Arial"/>
        </w:rPr>
        <w:t xml:space="preserve">la </w:t>
      </w:r>
      <w:proofErr w:type="spellStart"/>
      <w:r>
        <w:rPr>
          <w:rFonts w:cs="Arial"/>
        </w:rPr>
        <w:t>LOEPySF</w:t>
      </w:r>
      <w:proofErr w:type="spellEnd"/>
      <w:r>
        <w:rPr>
          <w:rFonts w:cs="Arial"/>
        </w:rPr>
        <w:t>.</w:t>
      </w:r>
    </w:p>
    <w:p w:rsidR="0028205D" w:rsidRPr="00597CCA" w:rsidRDefault="0028205D" w:rsidP="00597CCA">
      <w:pPr>
        <w:pStyle w:val="atitulo2"/>
        <w:spacing w:before="240"/>
        <w:rPr>
          <w:bCs w:val="0"/>
          <w:iCs w:val="0"/>
        </w:rPr>
      </w:pPr>
      <w:bookmarkStart w:id="8" w:name="_Toc402180169"/>
      <w:bookmarkStart w:id="9" w:name="_Toc530034654"/>
      <w:r w:rsidRPr="00597CCA">
        <w:rPr>
          <w:bCs w:val="0"/>
          <w:iCs w:val="0"/>
        </w:rPr>
        <w:t>II.1. Sector Público Foral según la Ley Foral 13/2007, de 4 de abril, de la Hacienda Pública de Navarra</w:t>
      </w:r>
      <w:bookmarkEnd w:id="8"/>
      <w:bookmarkEnd w:id="9"/>
    </w:p>
    <w:p w:rsidR="0028205D" w:rsidRPr="004B5DDD" w:rsidRDefault="0028205D" w:rsidP="0028205D">
      <w:pPr>
        <w:pStyle w:val="texto"/>
      </w:pPr>
      <w:r w:rsidRPr="004B5DDD">
        <w:t>El Sector Público Foral está integrado, en 201</w:t>
      </w:r>
      <w:r>
        <w:t>7</w:t>
      </w:r>
      <w:r w:rsidRPr="004B5DDD">
        <w:t>, a efectos de la citada Ley Foral 13/2007, por:</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B5DDD">
        <w:rPr>
          <w:rFonts w:cs="Arial"/>
        </w:rPr>
        <w:t xml:space="preserve">La </w:t>
      </w:r>
      <w:r>
        <w:rPr>
          <w:rFonts w:cs="Arial"/>
        </w:rPr>
        <w:t>ACFN</w:t>
      </w:r>
      <w:r w:rsidRPr="004B5DDD">
        <w:rPr>
          <w:rFonts w:cs="Arial"/>
        </w:rPr>
        <w:t xml:space="preserve"> y sus OOAA adscritos. </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B5DDD">
        <w:rPr>
          <w:rFonts w:cs="Arial"/>
        </w:rPr>
        <w:t>El Parlamento de Navarra y sus órganos dependientes, esto es, Cámara de Comptos y Defensor del Pueblo.</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B5DDD">
        <w:rPr>
          <w:rFonts w:cs="Arial"/>
        </w:rPr>
        <w:t>El Consejo de Navarra.</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B5DDD">
        <w:rPr>
          <w:rFonts w:cs="Arial"/>
        </w:rPr>
        <w:t xml:space="preserve">Las sociedades públicas de la </w:t>
      </w:r>
      <w:r>
        <w:rPr>
          <w:rFonts w:cs="Arial"/>
        </w:rPr>
        <w:t>ACFN</w:t>
      </w:r>
      <w:r w:rsidRPr="004B5DDD">
        <w:rPr>
          <w:rFonts w:cs="Arial"/>
        </w:rPr>
        <w:t xml:space="preserve"> y de sus </w:t>
      </w:r>
      <w:r>
        <w:rPr>
          <w:rFonts w:cs="Arial"/>
        </w:rPr>
        <w:t>organismos públicos</w:t>
      </w:r>
      <w:r w:rsidRPr="004B5DDD">
        <w:rPr>
          <w:rFonts w:cs="Arial"/>
        </w:rPr>
        <w:t>, de acuerdo con lo establecido en la Ley Foral 14/2007, de 4 de abril, del Patrim</w:t>
      </w:r>
      <w:r w:rsidRPr="004B5DDD">
        <w:rPr>
          <w:rFonts w:cs="Arial"/>
        </w:rPr>
        <w:t>o</w:t>
      </w:r>
      <w:r w:rsidRPr="004B5DDD">
        <w:rPr>
          <w:rFonts w:cs="Arial"/>
        </w:rPr>
        <w:t xml:space="preserve">nio de Navarra. </w:t>
      </w:r>
    </w:p>
    <w:p w:rsidR="0028205D" w:rsidRPr="004B5DDD"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B5DDD">
        <w:rPr>
          <w:rFonts w:cs="Arial"/>
        </w:rPr>
        <w:t xml:space="preserve">Las fundaciones públicas creadas por la </w:t>
      </w:r>
      <w:r>
        <w:rPr>
          <w:rFonts w:cs="Arial"/>
        </w:rPr>
        <w:t>ACFN</w:t>
      </w:r>
      <w:r w:rsidRPr="004B5DDD">
        <w:rPr>
          <w:rFonts w:cs="Arial"/>
        </w:rPr>
        <w:t xml:space="preserve"> y sus </w:t>
      </w:r>
      <w:r>
        <w:rPr>
          <w:rFonts w:cs="Arial"/>
        </w:rPr>
        <w:t>organismos públicos</w:t>
      </w:r>
      <w:r w:rsidRPr="004B5DDD">
        <w:rPr>
          <w:rFonts w:cs="Arial"/>
        </w:rPr>
        <w:t xml:space="preserve"> y las que siendo privadas, posteriormente, reúnan los requisitos para su cons</w:t>
      </w:r>
      <w:r w:rsidRPr="004B5DDD">
        <w:rPr>
          <w:rFonts w:cs="Arial"/>
        </w:rPr>
        <w:t>i</w:t>
      </w:r>
      <w:r w:rsidRPr="004B5DDD">
        <w:rPr>
          <w:rFonts w:cs="Arial"/>
        </w:rPr>
        <w:t>deración como públicas (artículo 125 de la Ley Foral 15/2004, de 3 de dicie</w:t>
      </w:r>
      <w:r w:rsidRPr="004B5DDD">
        <w:rPr>
          <w:rFonts w:cs="Arial"/>
        </w:rPr>
        <w:t>m</w:t>
      </w:r>
      <w:r w:rsidRPr="004B5DDD">
        <w:rPr>
          <w:rFonts w:cs="Arial"/>
        </w:rPr>
        <w:t xml:space="preserve">bre, de la </w:t>
      </w:r>
      <w:r>
        <w:rPr>
          <w:rFonts w:cs="Arial"/>
        </w:rPr>
        <w:t>ACFN</w:t>
      </w:r>
      <w:r w:rsidRPr="004B5DDD">
        <w:rPr>
          <w:rFonts w:cs="Arial"/>
        </w:rPr>
        <w:t>).</w:t>
      </w:r>
    </w:p>
    <w:p w:rsidR="0028205D" w:rsidRPr="004B5DDD" w:rsidRDefault="0028205D" w:rsidP="0028205D">
      <w:pPr>
        <w:pStyle w:val="texto"/>
        <w:rPr>
          <w:lang w:val="es-ES"/>
        </w:rPr>
      </w:pPr>
    </w:p>
    <w:p w:rsidR="0028205D" w:rsidRPr="004B5DDD" w:rsidRDefault="0028205D" w:rsidP="0028205D">
      <w:pPr>
        <w:pStyle w:val="texto"/>
      </w:pPr>
    </w:p>
    <w:p w:rsidR="0028205D" w:rsidRPr="004B5DDD" w:rsidRDefault="0028205D" w:rsidP="0028205D">
      <w:pPr>
        <w:pStyle w:val="texto"/>
      </w:pPr>
    </w:p>
    <w:p w:rsidR="0028205D" w:rsidRPr="004B5DDD" w:rsidRDefault="0028205D" w:rsidP="0028205D">
      <w:pPr>
        <w:pStyle w:val="texto"/>
      </w:pPr>
    </w:p>
    <w:p w:rsidR="0028205D" w:rsidRPr="004B5DDD" w:rsidRDefault="0028205D" w:rsidP="0028205D">
      <w:pPr>
        <w:pStyle w:val="texto"/>
      </w:pPr>
    </w:p>
    <w:p w:rsidR="0028205D" w:rsidRPr="004B5DDD" w:rsidRDefault="0028205D" w:rsidP="0028205D">
      <w:pPr>
        <w:pStyle w:val="texto"/>
      </w:pPr>
    </w:p>
    <w:p w:rsidR="0028205D" w:rsidRDefault="0028205D">
      <w:pPr>
        <w:spacing w:after="0"/>
        <w:ind w:firstLine="0"/>
        <w:jc w:val="left"/>
        <w:rPr>
          <w:spacing w:val="6"/>
          <w:sz w:val="26"/>
          <w:szCs w:val="24"/>
        </w:rPr>
      </w:pPr>
      <w:r>
        <w:br w:type="page"/>
      </w:r>
    </w:p>
    <w:p w:rsidR="0028205D" w:rsidRDefault="0028205D" w:rsidP="0028205D">
      <w:pPr>
        <w:pStyle w:val="texto"/>
      </w:pPr>
      <w:r w:rsidRPr="000E2288">
        <w:lastRenderedPageBreak/>
        <w:t>La representación gráfica del sector público foral</w:t>
      </w:r>
      <w:r>
        <w:t xml:space="preserve"> a 31 de diciembre de 2017</w:t>
      </w:r>
      <w:r w:rsidRPr="000E2288">
        <w:t xml:space="preserve"> era la siguiente:</w:t>
      </w:r>
    </w:p>
    <w:p w:rsidR="0028205D" w:rsidRDefault="0028205D" w:rsidP="0028205D">
      <w:pPr>
        <w:pStyle w:val="texto"/>
      </w:pPr>
      <w:r>
        <w:rPr>
          <w:noProof/>
          <w:lang w:val="es-ES" w:eastAsia="es-ES"/>
        </w:rPr>
        <mc:AlternateContent>
          <mc:Choice Requires="wps">
            <w:drawing>
              <wp:anchor distT="0" distB="0" distL="114300" distR="114300" simplePos="0" relativeHeight="251660800" behindDoc="0" locked="0" layoutInCell="1" allowOverlap="1" wp14:anchorId="355B3C07" wp14:editId="081A965D">
                <wp:simplePos x="0" y="0"/>
                <wp:positionH relativeFrom="column">
                  <wp:posOffset>948563</wp:posOffset>
                </wp:positionH>
                <wp:positionV relativeFrom="paragraph">
                  <wp:posOffset>75819</wp:posOffset>
                </wp:positionV>
                <wp:extent cx="2066544" cy="298704"/>
                <wp:effectExtent l="0" t="0" r="10160" b="25400"/>
                <wp:wrapNone/>
                <wp:docPr id="10" name="10 Proceso alternativo"/>
                <wp:cNvGraphicFramePr/>
                <a:graphic xmlns:a="http://schemas.openxmlformats.org/drawingml/2006/main">
                  <a:graphicData uri="http://schemas.microsoft.com/office/word/2010/wordprocessingShape">
                    <wps:wsp>
                      <wps:cNvSpPr/>
                      <wps:spPr>
                        <a:xfrm>
                          <a:off x="0" y="0"/>
                          <a:ext cx="2066544" cy="298704"/>
                        </a:xfrm>
                        <a:prstGeom prst="flowChartAlternateProcess">
                          <a:avLst/>
                        </a:prstGeom>
                        <a:noFill/>
                        <a:ln w="6350" cap="flat" cmpd="sng" algn="ctr">
                          <a:solidFill>
                            <a:sysClr val="windowText" lastClr="000000"/>
                          </a:solidFill>
                          <a:prstDash val="solid"/>
                        </a:ln>
                        <a:effectLst/>
                      </wps:spPr>
                      <wps:txbx>
                        <w:txbxContent>
                          <w:p w:rsidR="006A42CC" w:rsidRPr="006D1903" w:rsidRDefault="006A42CC" w:rsidP="0028205D">
                            <w:pPr>
                              <w:ind w:firstLine="0"/>
                              <w:jc w:val="center"/>
                              <w:rPr>
                                <w:rFonts w:ascii="Arial" w:hAnsi="Arial" w:cs="Arial"/>
                                <w:sz w:val="22"/>
                                <w:szCs w:val="22"/>
                              </w:rPr>
                            </w:pPr>
                            <w:r w:rsidRPr="006D1903">
                              <w:rPr>
                                <w:rFonts w:ascii="Arial" w:hAnsi="Arial" w:cs="Arial"/>
                                <w:sz w:val="22"/>
                                <w:szCs w:val="22"/>
                              </w:rPr>
                              <w:t>Sector Público Foral 201</w:t>
                            </w:r>
                            <w:r>
                              <w:rPr>
                                <w:rFonts w:ascii="Arial" w:hAnsi="Arial" w:cs="Arial"/>
                                <w:sz w:val="22"/>
                                <w:szCs w:val="22"/>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10 Proceso alternativo" o:spid="_x0000_s1027" type="#_x0000_t176" style="position:absolute;left:0;text-align:left;margin-left:74.7pt;margin-top:5.95pt;width:162.7pt;height: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" filled="f" strokecolor="windowText" strokeweight=".5pt">
                <v:textbox>
                  <w:txbxContent>
                    <w:p w:rsidR="006A42CC" w:rsidRPr="006D1903" w:rsidRDefault="006A42CC" w:rsidP="0028205D">
                      <w:pPr>
                        <w:ind w:firstLine="0"/>
                        <w:jc w:val="center"/>
                        <w:rPr>
                          <w:rFonts w:ascii="Arial" w:hAnsi="Arial" w:cs="Arial"/>
                          <w:sz w:val="22"/>
                          <w:szCs w:val="22"/>
                        </w:rPr>
                      </w:pPr>
                      <w:r w:rsidRPr="006D1903">
                        <w:rPr>
                          <w:rFonts w:ascii="Arial" w:hAnsi="Arial" w:cs="Arial"/>
                          <w:sz w:val="22"/>
                          <w:szCs w:val="22"/>
                        </w:rPr>
                        <w:t>Sector Público Foral 201</w:t>
                      </w:r>
                      <w:r>
                        <w:rPr>
                          <w:rFonts w:ascii="Arial" w:hAnsi="Arial" w:cs="Arial"/>
                          <w:sz w:val="22"/>
                          <w:szCs w:val="22"/>
                        </w:rPr>
                        <w:t>7</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36576" behindDoc="0" locked="0" layoutInCell="1" allowOverlap="1" wp14:anchorId="7F071BA3" wp14:editId="4EBC42B6">
                <wp:simplePos x="0" y="0"/>
                <wp:positionH relativeFrom="column">
                  <wp:posOffset>1837055</wp:posOffset>
                </wp:positionH>
                <wp:positionV relativeFrom="paragraph">
                  <wp:posOffset>267335</wp:posOffset>
                </wp:positionV>
                <wp:extent cx="0" cy="142875"/>
                <wp:effectExtent l="0" t="0" r="19050" b="9525"/>
                <wp:wrapNone/>
                <wp:docPr id="117" name="117 Conector recto"/>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17 Conector recto"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65pt,21.05pt" to="144.6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" strokecolor="windowText" strokeweight=".5pt"/>
            </w:pict>
          </mc:Fallback>
        </mc:AlternateContent>
      </w:r>
      <w:r>
        <w:rPr>
          <w:noProof/>
          <w:lang w:val="es-ES" w:eastAsia="es-ES"/>
        </w:rPr>
        <mc:AlternateContent>
          <mc:Choice Requires="wps">
            <w:drawing>
              <wp:anchor distT="0" distB="0" distL="114300" distR="114300" simplePos="0" relativeHeight="251735552" behindDoc="0" locked="0" layoutInCell="1" allowOverlap="1" wp14:anchorId="27581BC2" wp14:editId="7A2D9A92">
                <wp:simplePos x="0" y="0"/>
                <wp:positionH relativeFrom="column">
                  <wp:posOffset>763905</wp:posOffset>
                </wp:positionH>
                <wp:positionV relativeFrom="paragraph">
                  <wp:posOffset>267335</wp:posOffset>
                </wp:positionV>
                <wp:extent cx="0" cy="142875"/>
                <wp:effectExtent l="0" t="0" r="19050" b="9525"/>
                <wp:wrapNone/>
                <wp:docPr id="116" name="116 Conector recto"/>
                <wp:cNvGraphicFramePr/>
                <a:graphic xmlns:a="http://schemas.openxmlformats.org/drawingml/2006/main">
                  <a:graphicData uri="http://schemas.microsoft.com/office/word/2010/wordprocessingShape">
                    <wps:wsp>
                      <wps:cNvCnPr/>
                      <wps:spPr>
                        <a:xfrm>
                          <a:off x="0" y="0"/>
                          <a:ext cx="0"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16 Conector recto"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5pt,21.05pt" to="60.1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37600" behindDoc="0" locked="0" layoutInCell="1" allowOverlap="1" wp14:anchorId="428FBC9D" wp14:editId="1F43AA54">
                <wp:simplePos x="0" y="0"/>
                <wp:positionH relativeFrom="column">
                  <wp:posOffset>4087261</wp:posOffset>
                </wp:positionH>
                <wp:positionV relativeFrom="paragraph">
                  <wp:posOffset>266767</wp:posOffset>
                </wp:positionV>
                <wp:extent cx="1938" cy="142875"/>
                <wp:effectExtent l="0" t="0" r="36195" b="28575"/>
                <wp:wrapNone/>
                <wp:docPr id="118" name="118 Conector recto"/>
                <wp:cNvGraphicFramePr/>
                <a:graphic xmlns:a="http://schemas.openxmlformats.org/drawingml/2006/main">
                  <a:graphicData uri="http://schemas.microsoft.com/office/word/2010/wordprocessingShape">
                    <wps:wsp>
                      <wps:cNvCnPr/>
                      <wps:spPr>
                        <a:xfrm flipH="1">
                          <a:off x="0" y="0"/>
                          <a:ext cx="1938"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18 Conector recto" o:spid="_x0000_s1026" style="position:absolute;flip:x;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21pt" to="322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" strokecolor="windowText" strokeweight=".5pt"/>
            </w:pict>
          </mc:Fallback>
        </mc:AlternateContent>
      </w:r>
      <w:r>
        <w:rPr>
          <w:noProof/>
          <w:lang w:val="es-ES" w:eastAsia="es-ES"/>
        </w:rPr>
        <mc:AlternateContent>
          <mc:Choice Requires="wps">
            <w:drawing>
              <wp:anchor distT="0" distB="0" distL="114300" distR="114300" simplePos="0" relativeHeight="251734528" behindDoc="0" locked="0" layoutInCell="1" allowOverlap="1" wp14:anchorId="01EA2373" wp14:editId="0E5E9878">
                <wp:simplePos x="0" y="0"/>
                <wp:positionH relativeFrom="column">
                  <wp:posOffset>762635</wp:posOffset>
                </wp:positionH>
                <wp:positionV relativeFrom="paragraph">
                  <wp:posOffset>266065</wp:posOffset>
                </wp:positionV>
                <wp:extent cx="3324225" cy="0"/>
                <wp:effectExtent l="0" t="0" r="9525" b="19050"/>
                <wp:wrapNone/>
                <wp:docPr id="115" name="115 Conector recto"/>
                <wp:cNvGraphicFramePr/>
                <a:graphic xmlns:a="http://schemas.openxmlformats.org/drawingml/2006/main">
                  <a:graphicData uri="http://schemas.microsoft.com/office/word/2010/wordprocessingShape">
                    <wps:wsp>
                      <wps:cNvCnPr/>
                      <wps:spPr>
                        <a:xfrm>
                          <a:off x="0" y="0"/>
                          <a:ext cx="33242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15 Conector recto"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20.95pt" to="321.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" strokecolor="windowText" strokeweight=".5pt"/>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65920" behindDoc="0" locked="0" layoutInCell="1" allowOverlap="1" wp14:anchorId="5E0BF515" wp14:editId="0BC60E09">
                <wp:simplePos x="0" y="0"/>
                <wp:positionH relativeFrom="column">
                  <wp:posOffset>3240659</wp:posOffset>
                </wp:positionH>
                <wp:positionV relativeFrom="paragraph">
                  <wp:posOffset>127889</wp:posOffset>
                </wp:positionV>
                <wp:extent cx="1584960" cy="396240"/>
                <wp:effectExtent l="0" t="0" r="15240" b="22860"/>
                <wp:wrapNone/>
                <wp:docPr id="15" name="15 Proceso alternativo"/>
                <wp:cNvGraphicFramePr/>
                <a:graphic xmlns:a="http://schemas.openxmlformats.org/drawingml/2006/main">
                  <a:graphicData uri="http://schemas.microsoft.com/office/word/2010/wordprocessingShape">
                    <wps:wsp>
                      <wps:cNvSpPr/>
                      <wps:spPr>
                        <a:xfrm>
                          <a:off x="0" y="0"/>
                          <a:ext cx="1584960" cy="396240"/>
                        </a:xfrm>
                        <a:prstGeom prst="flowChartAlternateProcess">
                          <a:avLst/>
                        </a:prstGeom>
                        <a:noFill/>
                        <a:ln w="6350" cap="flat" cmpd="sng" algn="ctr">
                          <a:solidFill>
                            <a:sysClr val="windowText" lastClr="000000"/>
                          </a:solidFill>
                          <a:prstDash val="solid"/>
                        </a:ln>
                        <a:effectLst/>
                      </wps:spPr>
                      <wps:txbx>
                        <w:txbxContent>
                          <w:p w:rsidR="006A42CC" w:rsidRDefault="006A42CC" w:rsidP="0028205D">
                            <w:pPr>
                              <w:spacing w:after="0"/>
                              <w:ind w:left="-142" w:right="-177" w:firstLine="0"/>
                              <w:jc w:val="center"/>
                              <w:rPr>
                                <w:rFonts w:ascii="Arial" w:hAnsi="Arial" w:cs="Arial"/>
                                <w:sz w:val="18"/>
                                <w:szCs w:val="18"/>
                              </w:rPr>
                            </w:pPr>
                            <w:r>
                              <w:rPr>
                                <w:rFonts w:ascii="Arial" w:hAnsi="Arial" w:cs="Arial"/>
                                <w:sz w:val="18"/>
                                <w:szCs w:val="18"/>
                              </w:rPr>
                              <w:t xml:space="preserve">Administración de la </w:t>
                            </w:r>
                          </w:p>
                          <w:p w:rsidR="006A42CC" w:rsidRPr="00EB080E" w:rsidRDefault="006A42CC" w:rsidP="0028205D">
                            <w:pPr>
                              <w:spacing w:after="0"/>
                              <w:ind w:left="-142" w:right="-177" w:firstLine="0"/>
                              <w:jc w:val="center"/>
                              <w:rPr>
                                <w:rFonts w:ascii="Arial" w:hAnsi="Arial" w:cs="Arial"/>
                                <w:sz w:val="18"/>
                                <w:szCs w:val="18"/>
                              </w:rPr>
                            </w:pPr>
                            <w:r>
                              <w:rPr>
                                <w:rFonts w:ascii="Arial" w:hAnsi="Arial" w:cs="Arial"/>
                                <w:sz w:val="18"/>
                                <w:szCs w:val="18"/>
                              </w:rPr>
                              <w:t>Comunidad Foral de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5 Proceso alternativo" o:spid="_x0000_s1028" type="#_x0000_t176" style="position:absolute;left:0;text-align:left;margin-left:255.15pt;margin-top:10.05pt;width:124.8pt;height:3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" filled="f" strokecolor="windowText" strokeweight=".5pt">
                <v:textbox>
                  <w:txbxContent>
                    <w:p w:rsidR="006A42CC" w:rsidRDefault="006A42CC" w:rsidP="0028205D">
                      <w:pPr>
                        <w:spacing w:after="0"/>
                        <w:ind w:left="-142" w:right="-177" w:firstLine="0"/>
                        <w:jc w:val="center"/>
                        <w:rPr>
                          <w:rFonts w:ascii="Arial" w:hAnsi="Arial" w:cs="Arial"/>
                          <w:sz w:val="18"/>
                          <w:szCs w:val="18"/>
                        </w:rPr>
                      </w:pPr>
                      <w:r>
                        <w:rPr>
                          <w:rFonts w:ascii="Arial" w:hAnsi="Arial" w:cs="Arial"/>
                          <w:sz w:val="18"/>
                          <w:szCs w:val="18"/>
                        </w:rPr>
                        <w:t xml:space="preserve">Administración de la </w:t>
                      </w:r>
                    </w:p>
                    <w:p w:rsidR="006A42CC" w:rsidRPr="00EB080E" w:rsidRDefault="006A42CC" w:rsidP="0028205D">
                      <w:pPr>
                        <w:spacing w:after="0"/>
                        <w:ind w:left="-142" w:right="-177" w:firstLine="0"/>
                        <w:jc w:val="center"/>
                        <w:rPr>
                          <w:rFonts w:ascii="Arial" w:hAnsi="Arial" w:cs="Arial"/>
                          <w:sz w:val="18"/>
                          <w:szCs w:val="18"/>
                        </w:rPr>
                      </w:pPr>
                      <w:r>
                        <w:rPr>
                          <w:rFonts w:ascii="Arial" w:hAnsi="Arial" w:cs="Arial"/>
                          <w:sz w:val="18"/>
                          <w:szCs w:val="18"/>
                        </w:rPr>
                        <w:t>Comunidad Foral de Navarra</w:t>
                      </w:r>
                    </w:p>
                  </w:txbxContent>
                </v:textbox>
              </v:shape>
            </w:pict>
          </mc:Fallback>
        </mc:AlternateContent>
      </w:r>
      <w:r>
        <w:rPr>
          <w:noProof/>
          <w:lang w:val="es-ES" w:eastAsia="es-ES"/>
        </w:rPr>
        <mc:AlternateContent>
          <mc:Choice Requires="wps">
            <w:drawing>
              <wp:anchor distT="0" distB="0" distL="114300" distR="114300" simplePos="0" relativeHeight="251664896" behindDoc="0" locked="0" layoutInCell="1" allowOverlap="1" wp14:anchorId="481515DC" wp14:editId="6BF4614D">
                <wp:simplePos x="0" y="0"/>
                <wp:positionH relativeFrom="column">
                  <wp:posOffset>1454531</wp:posOffset>
                </wp:positionH>
                <wp:positionV relativeFrom="paragraph">
                  <wp:posOffset>127889</wp:posOffset>
                </wp:positionV>
                <wp:extent cx="749808" cy="396240"/>
                <wp:effectExtent l="0" t="0" r="12700" b="22860"/>
                <wp:wrapNone/>
                <wp:docPr id="14" name="14 Proceso alternativo"/>
                <wp:cNvGraphicFramePr/>
                <a:graphic xmlns:a="http://schemas.openxmlformats.org/drawingml/2006/main">
                  <a:graphicData uri="http://schemas.microsoft.com/office/word/2010/wordprocessingShape">
                    <wps:wsp>
                      <wps:cNvSpPr/>
                      <wps:spPr>
                        <a:xfrm>
                          <a:off x="0" y="0"/>
                          <a:ext cx="749808" cy="396240"/>
                        </a:xfrm>
                        <a:prstGeom prst="flowChartAlternateProcess">
                          <a:avLst/>
                        </a:prstGeom>
                        <a:noFill/>
                        <a:ln w="6350" cap="flat" cmpd="sng" algn="ctr">
                          <a:solidFill>
                            <a:sysClr val="windowText" lastClr="000000"/>
                          </a:solidFill>
                          <a:prstDash val="solid"/>
                        </a:ln>
                        <a:effectLst/>
                      </wps:spPr>
                      <wps:txbx>
                        <w:txbxContent>
                          <w:p w:rsidR="006A42CC" w:rsidRPr="00EB080E" w:rsidRDefault="006A42CC" w:rsidP="0028205D">
                            <w:pPr>
                              <w:spacing w:after="0"/>
                              <w:ind w:left="-142" w:right="-177" w:firstLine="0"/>
                              <w:jc w:val="center"/>
                              <w:rPr>
                                <w:rFonts w:ascii="Arial" w:hAnsi="Arial" w:cs="Arial"/>
                                <w:sz w:val="18"/>
                                <w:szCs w:val="18"/>
                              </w:rPr>
                            </w:pPr>
                            <w:r>
                              <w:rPr>
                                <w:rFonts w:ascii="Arial" w:hAnsi="Arial" w:cs="Arial"/>
                                <w:sz w:val="18"/>
                                <w:szCs w:val="18"/>
                              </w:rPr>
                              <w:t>Consejo de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4 Proceso alternativo" o:spid="_x0000_s1029" type="#_x0000_t176" style="position:absolute;left:0;text-align:left;margin-left:114.55pt;margin-top:10.05pt;width:59.05pt;height:3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" filled="f" strokecolor="windowText" strokeweight=".5pt">
                <v:textbox>
                  <w:txbxContent>
                    <w:p w:rsidR="006A42CC" w:rsidRPr="00EB080E" w:rsidRDefault="006A42CC" w:rsidP="0028205D">
                      <w:pPr>
                        <w:spacing w:after="0"/>
                        <w:ind w:left="-142" w:right="-177" w:firstLine="0"/>
                        <w:jc w:val="center"/>
                        <w:rPr>
                          <w:rFonts w:ascii="Arial" w:hAnsi="Arial" w:cs="Arial"/>
                          <w:sz w:val="18"/>
                          <w:szCs w:val="18"/>
                        </w:rPr>
                      </w:pPr>
                      <w:r>
                        <w:rPr>
                          <w:rFonts w:ascii="Arial" w:hAnsi="Arial" w:cs="Arial"/>
                          <w:sz w:val="18"/>
                          <w:szCs w:val="18"/>
                        </w:rPr>
                        <w:t>Consejo de Navarra</w:t>
                      </w:r>
                    </w:p>
                  </w:txbxContent>
                </v:textbox>
              </v:shape>
            </w:pict>
          </mc:Fallback>
        </mc:AlternateContent>
      </w:r>
      <w:r>
        <w:rPr>
          <w:noProof/>
          <w:lang w:val="es-ES" w:eastAsia="es-ES"/>
        </w:rPr>
        <mc:AlternateContent>
          <mc:Choice Requires="wps">
            <w:drawing>
              <wp:anchor distT="0" distB="0" distL="114300" distR="114300" simplePos="0" relativeHeight="251661824" behindDoc="0" locked="0" layoutInCell="1" allowOverlap="1" wp14:anchorId="1945B2A6" wp14:editId="21E33E88">
                <wp:simplePos x="0" y="0"/>
                <wp:positionH relativeFrom="column">
                  <wp:posOffset>259715</wp:posOffset>
                </wp:positionH>
                <wp:positionV relativeFrom="paragraph">
                  <wp:posOffset>127889</wp:posOffset>
                </wp:positionV>
                <wp:extent cx="987298" cy="396240"/>
                <wp:effectExtent l="0" t="0" r="22860" b="22860"/>
                <wp:wrapNone/>
                <wp:docPr id="11" name="11 Proceso alternativo"/>
                <wp:cNvGraphicFramePr/>
                <a:graphic xmlns:a="http://schemas.openxmlformats.org/drawingml/2006/main">
                  <a:graphicData uri="http://schemas.microsoft.com/office/word/2010/wordprocessingShape">
                    <wps:wsp>
                      <wps:cNvSpPr/>
                      <wps:spPr>
                        <a:xfrm>
                          <a:off x="0" y="0"/>
                          <a:ext cx="987298" cy="396240"/>
                        </a:xfrm>
                        <a:prstGeom prst="flowChartAlternateProcess">
                          <a:avLst/>
                        </a:prstGeom>
                        <a:noFill/>
                        <a:ln w="6350" cap="flat" cmpd="sng" algn="ctr">
                          <a:solidFill>
                            <a:sysClr val="windowText" lastClr="000000"/>
                          </a:solidFill>
                          <a:prstDash val="solid"/>
                        </a:ln>
                        <a:effectLst/>
                      </wps:spPr>
                      <wps:txbx>
                        <w:txbxContent>
                          <w:p w:rsidR="006A42CC" w:rsidRPr="00EB080E" w:rsidRDefault="006A42CC" w:rsidP="0028205D">
                            <w:pPr>
                              <w:spacing w:after="0"/>
                              <w:ind w:firstLine="0"/>
                              <w:jc w:val="center"/>
                              <w:rPr>
                                <w:rFonts w:ascii="Arial" w:hAnsi="Arial" w:cs="Arial"/>
                                <w:sz w:val="18"/>
                                <w:szCs w:val="18"/>
                              </w:rPr>
                            </w:pPr>
                            <w:r>
                              <w:rPr>
                                <w:rFonts w:ascii="Arial" w:hAnsi="Arial" w:cs="Arial"/>
                                <w:sz w:val="18"/>
                                <w:szCs w:val="18"/>
                              </w:rPr>
                              <w:t>Parlamento de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 Proceso alternativo" o:spid="_x0000_s1030" type="#_x0000_t176" style="position:absolute;left:0;text-align:left;margin-left:20.45pt;margin-top:10.05pt;width:77.75pt;height:3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" filled="f" strokecolor="windowText" strokeweight=".5pt">
                <v:textbox>
                  <w:txbxContent>
                    <w:p w:rsidR="006A42CC" w:rsidRPr="00EB080E" w:rsidRDefault="006A42CC" w:rsidP="0028205D">
                      <w:pPr>
                        <w:spacing w:after="0"/>
                        <w:ind w:firstLine="0"/>
                        <w:jc w:val="center"/>
                        <w:rPr>
                          <w:rFonts w:ascii="Arial" w:hAnsi="Arial" w:cs="Arial"/>
                          <w:sz w:val="18"/>
                          <w:szCs w:val="18"/>
                        </w:rPr>
                      </w:pPr>
                      <w:r>
                        <w:rPr>
                          <w:rFonts w:ascii="Arial" w:hAnsi="Arial" w:cs="Arial"/>
                          <w:sz w:val="18"/>
                          <w:szCs w:val="18"/>
                        </w:rPr>
                        <w:t>Parlamento de Navarra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33504" behindDoc="0" locked="0" layoutInCell="1" allowOverlap="1" wp14:anchorId="25E2B209" wp14:editId="04D4D9D1">
                <wp:simplePos x="0" y="0"/>
                <wp:positionH relativeFrom="column">
                  <wp:posOffset>762635</wp:posOffset>
                </wp:positionH>
                <wp:positionV relativeFrom="paragraph">
                  <wp:posOffset>251460</wp:posOffset>
                </wp:positionV>
                <wp:extent cx="0" cy="171450"/>
                <wp:effectExtent l="0" t="0" r="19050" b="19050"/>
                <wp:wrapNone/>
                <wp:docPr id="114" name="114 Conector recto"/>
                <wp:cNvGraphicFramePr/>
                <a:graphic xmlns:a="http://schemas.openxmlformats.org/drawingml/2006/main">
                  <a:graphicData uri="http://schemas.microsoft.com/office/word/2010/wordprocessingShape">
                    <wps:wsp>
                      <wps:cNvCnPr/>
                      <wps:spPr>
                        <a:xfrm>
                          <a:off x="0" y="0"/>
                          <a:ext cx="0" cy="1714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14 Conector recto"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05pt,19.8pt" to="60.0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" strokecolor="windowText" strokeweight=".5pt"/>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31456" behindDoc="0" locked="0" layoutInCell="1" allowOverlap="1" wp14:anchorId="74B4D288" wp14:editId="57FDA0AB">
                <wp:simplePos x="0" y="0"/>
                <wp:positionH relativeFrom="column">
                  <wp:posOffset>257175</wp:posOffset>
                </wp:positionH>
                <wp:positionV relativeFrom="paragraph">
                  <wp:posOffset>144145</wp:posOffset>
                </wp:positionV>
                <wp:extent cx="635" cy="247650"/>
                <wp:effectExtent l="0" t="0" r="37465" b="19050"/>
                <wp:wrapNone/>
                <wp:docPr id="112" name="112 Conector recto"/>
                <wp:cNvGraphicFramePr/>
                <a:graphic xmlns:a="http://schemas.openxmlformats.org/drawingml/2006/main">
                  <a:graphicData uri="http://schemas.microsoft.com/office/word/2010/wordprocessingShape">
                    <wps:wsp>
                      <wps:cNvCnPr/>
                      <wps:spPr>
                        <a:xfrm flipH="1">
                          <a:off x="0" y="0"/>
                          <a:ext cx="635" cy="2476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12 Conector recto" o:spid="_x0000_s1026" style="position:absolute;flip:x;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1.35pt" to="20.3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732480" behindDoc="0" locked="0" layoutInCell="1" allowOverlap="1" wp14:anchorId="3809A44D" wp14:editId="64F0F231">
                <wp:simplePos x="0" y="0"/>
                <wp:positionH relativeFrom="column">
                  <wp:posOffset>1238885</wp:posOffset>
                </wp:positionH>
                <wp:positionV relativeFrom="paragraph">
                  <wp:posOffset>144145</wp:posOffset>
                </wp:positionV>
                <wp:extent cx="0" cy="257175"/>
                <wp:effectExtent l="0" t="0" r="19050" b="9525"/>
                <wp:wrapNone/>
                <wp:docPr id="113" name="113 Conector recto"/>
                <wp:cNvGraphicFramePr/>
                <a:graphic xmlns:a="http://schemas.openxmlformats.org/drawingml/2006/main">
                  <a:graphicData uri="http://schemas.microsoft.com/office/word/2010/wordprocessingShape">
                    <wps:wsp>
                      <wps:cNvCnPr/>
                      <wps:spPr>
                        <a:xfrm>
                          <a:off x="0" y="0"/>
                          <a:ext cx="0" cy="2571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13 Conector recto"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5pt,11.35pt" to="97.5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29408" behindDoc="0" locked="0" layoutInCell="1" allowOverlap="1" wp14:anchorId="0A8821F0" wp14:editId="238AA963">
                <wp:simplePos x="0" y="0"/>
                <wp:positionH relativeFrom="column">
                  <wp:posOffset>2829560</wp:posOffset>
                </wp:positionH>
                <wp:positionV relativeFrom="paragraph">
                  <wp:posOffset>86995</wp:posOffset>
                </wp:positionV>
                <wp:extent cx="0" cy="95250"/>
                <wp:effectExtent l="0" t="0" r="19050" b="19050"/>
                <wp:wrapNone/>
                <wp:docPr id="110" name="110 Conector recto"/>
                <wp:cNvGraphicFramePr/>
                <a:graphic xmlns:a="http://schemas.openxmlformats.org/drawingml/2006/main">
                  <a:graphicData uri="http://schemas.microsoft.com/office/word/2010/wordprocessingShape">
                    <wps:wsp>
                      <wps:cNvCnPr/>
                      <wps:spPr>
                        <a:xfrm>
                          <a:off x="0" y="0"/>
                          <a:ext cx="0" cy="95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10 Conector recto"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6.85pt" to="222.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30432" behindDoc="0" locked="0" layoutInCell="1" allowOverlap="1" wp14:anchorId="19911375" wp14:editId="6DA436D5">
                <wp:simplePos x="0" y="0"/>
                <wp:positionH relativeFrom="column">
                  <wp:posOffset>257810</wp:posOffset>
                </wp:positionH>
                <wp:positionV relativeFrom="paragraph">
                  <wp:posOffset>144145</wp:posOffset>
                </wp:positionV>
                <wp:extent cx="986790" cy="0"/>
                <wp:effectExtent l="0" t="0" r="22860" b="19050"/>
                <wp:wrapNone/>
                <wp:docPr id="111" name="111 Conector recto"/>
                <wp:cNvGraphicFramePr/>
                <a:graphic xmlns:a="http://schemas.openxmlformats.org/drawingml/2006/main">
                  <a:graphicData uri="http://schemas.microsoft.com/office/word/2010/wordprocessingShape">
                    <wps:wsp>
                      <wps:cNvCnPr/>
                      <wps:spPr>
                        <a:xfrm>
                          <a:off x="0" y="0"/>
                          <a:ext cx="98679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11 Conector recto"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11.35pt" to="9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28384" behindDoc="0" locked="0" layoutInCell="1" allowOverlap="1" wp14:anchorId="4FD88695" wp14:editId="40AFF00D">
                <wp:simplePos x="0" y="0"/>
                <wp:positionH relativeFrom="column">
                  <wp:posOffset>4810760</wp:posOffset>
                </wp:positionH>
                <wp:positionV relativeFrom="paragraph">
                  <wp:posOffset>86995</wp:posOffset>
                </wp:positionV>
                <wp:extent cx="0" cy="104775"/>
                <wp:effectExtent l="0" t="0" r="19050" b="9525"/>
                <wp:wrapNone/>
                <wp:docPr id="109" name="109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9 Conector recto"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8pt,6.85pt" to="378.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" strokecolor="windowText" strokeweight=".5pt"/>
            </w:pict>
          </mc:Fallback>
        </mc:AlternateContent>
      </w:r>
      <w:r>
        <w:rPr>
          <w:noProof/>
          <w:lang w:val="es-ES" w:eastAsia="es-ES"/>
        </w:rPr>
        <mc:AlternateContent>
          <mc:Choice Requires="wps">
            <w:drawing>
              <wp:anchor distT="0" distB="0" distL="114300" distR="114300" simplePos="0" relativeHeight="251727360" behindDoc="0" locked="0" layoutInCell="1" allowOverlap="1" wp14:anchorId="3898E81B" wp14:editId="5D0D354A">
                <wp:simplePos x="0" y="0"/>
                <wp:positionH relativeFrom="column">
                  <wp:posOffset>3820160</wp:posOffset>
                </wp:positionH>
                <wp:positionV relativeFrom="paragraph">
                  <wp:posOffset>86995</wp:posOffset>
                </wp:positionV>
                <wp:extent cx="0" cy="104775"/>
                <wp:effectExtent l="0" t="0" r="19050" b="9525"/>
                <wp:wrapNone/>
                <wp:docPr id="108" name="108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8 Conector recto"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8pt,6.85pt" to="300.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" strokecolor="windowText" strokeweight=".5pt"/>
            </w:pict>
          </mc:Fallback>
        </mc:AlternateContent>
      </w:r>
      <w:r>
        <w:rPr>
          <w:noProof/>
          <w:lang w:val="es-ES" w:eastAsia="es-ES"/>
        </w:rPr>
        <mc:AlternateContent>
          <mc:Choice Requires="wps">
            <w:drawing>
              <wp:anchor distT="0" distB="0" distL="114300" distR="114300" simplePos="0" relativeHeight="251726336" behindDoc="0" locked="0" layoutInCell="1" allowOverlap="1" wp14:anchorId="5EC23DC9" wp14:editId="5CC9230E">
                <wp:simplePos x="0" y="0"/>
                <wp:positionH relativeFrom="column">
                  <wp:posOffset>5772785</wp:posOffset>
                </wp:positionH>
                <wp:positionV relativeFrom="paragraph">
                  <wp:posOffset>86995</wp:posOffset>
                </wp:positionV>
                <wp:extent cx="0" cy="104775"/>
                <wp:effectExtent l="0" t="0" r="19050" b="9525"/>
                <wp:wrapNone/>
                <wp:docPr id="106" name="106 Conector recto"/>
                <wp:cNvGraphicFramePr/>
                <a:graphic xmlns:a="http://schemas.openxmlformats.org/drawingml/2006/main">
                  <a:graphicData uri="http://schemas.microsoft.com/office/word/2010/wordprocessingShape">
                    <wps:wsp>
                      <wps:cNvCnPr/>
                      <wps:spPr>
                        <a:xfrm>
                          <a:off x="0" y="0"/>
                          <a:ext cx="0" cy="1047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6 Conector recto"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55pt,6.85pt" to="454.5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694592" behindDoc="0" locked="0" layoutInCell="1" allowOverlap="1" wp14:anchorId="2B52C487" wp14:editId="214A2CDC">
                <wp:simplePos x="0" y="0"/>
                <wp:positionH relativeFrom="column">
                  <wp:posOffset>2829560</wp:posOffset>
                </wp:positionH>
                <wp:positionV relativeFrom="paragraph">
                  <wp:posOffset>86995</wp:posOffset>
                </wp:positionV>
                <wp:extent cx="2943225" cy="0"/>
                <wp:effectExtent l="0" t="0" r="9525" b="19050"/>
                <wp:wrapNone/>
                <wp:docPr id="52" name="52 Conector recto"/>
                <wp:cNvGraphicFramePr/>
                <a:graphic xmlns:a="http://schemas.openxmlformats.org/drawingml/2006/main">
                  <a:graphicData uri="http://schemas.microsoft.com/office/word/2010/wordprocessingShape">
                    <wps:wsp>
                      <wps:cNvCnPr/>
                      <wps:spPr>
                        <a:xfrm>
                          <a:off x="0" y="0"/>
                          <a:ext cx="29432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52 Conector recto"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6.85pt" to="454.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" strokecolor="windowText" strokeweight=".5pt"/>
            </w:pict>
          </mc:Fallback>
        </mc:AlternateContent>
      </w:r>
      <w:r>
        <w:rPr>
          <w:noProof/>
          <w:lang w:val="es-ES" w:eastAsia="es-ES"/>
        </w:rPr>
        <mc:AlternateContent>
          <mc:Choice Requires="wps">
            <w:drawing>
              <wp:anchor distT="0" distB="0" distL="114300" distR="114300" simplePos="0" relativeHeight="251666944" behindDoc="0" locked="0" layoutInCell="1" allowOverlap="1" wp14:anchorId="35A7C824" wp14:editId="00B5ED37">
                <wp:simplePos x="0" y="0"/>
                <wp:positionH relativeFrom="column">
                  <wp:posOffset>2356739</wp:posOffset>
                </wp:positionH>
                <wp:positionV relativeFrom="paragraph">
                  <wp:posOffset>192151</wp:posOffset>
                </wp:positionV>
                <wp:extent cx="963168" cy="396240"/>
                <wp:effectExtent l="0" t="0" r="27940" b="22860"/>
                <wp:wrapNone/>
                <wp:docPr id="16" name="16 Proceso alternativo"/>
                <wp:cNvGraphicFramePr/>
                <a:graphic xmlns:a="http://schemas.openxmlformats.org/drawingml/2006/main">
                  <a:graphicData uri="http://schemas.microsoft.com/office/word/2010/wordprocessingShape">
                    <wps:wsp>
                      <wps:cNvSpPr/>
                      <wps:spPr>
                        <a:xfrm>
                          <a:off x="0" y="0"/>
                          <a:ext cx="963168" cy="396240"/>
                        </a:xfrm>
                        <a:prstGeom prst="flowChartAlternateProcess">
                          <a:avLst/>
                        </a:prstGeom>
                        <a:noFill/>
                        <a:ln w="6350" cap="flat" cmpd="sng" algn="ctr">
                          <a:solidFill>
                            <a:sysClr val="windowText" lastClr="000000"/>
                          </a:solidFill>
                          <a:prstDash val="solid"/>
                        </a:ln>
                        <a:effectLst/>
                      </wps:spPr>
                      <wps:txbx>
                        <w:txbxContent>
                          <w:p w:rsidR="006A42CC" w:rsidRDefault="006A42CC" w:rsidP="0028205D">
                            <w:pPr>
                              <w:spacing w:after="0"/>
                              <w:ind w:left="-284" w:right="-234" w:firstLine="0"/>
                              <w:jc w:val="center"/>
                              <w:rPr>
                                <w:rFonts w:ascii="Arial" w:hAnsi="Arial" w:cs="Arial"/>
                                <w:w w:val="88"/>
                                <w:sz w:val="16"/>
                                <w:szCs w:val="16"/>
                              </w:rPr>
                            </w:pPr>
                            <w:r w:rsidRPr="00C33468">
                              <w:rPr>
                                <w:rFonts w:ascii="Arial" w:hAnsi="Arial" w:cs="Arial"/>
                                <w:w w:val="88"/>
                                <w:sz w:val="16"/>
                                <w:szCs w:val="16"/>
                              </w:rPr>
                              <w:t>DEPARTAMENTOS</w:t>
                            </w:r>
                          </w:p>
                          <w:p w:rsidR="006A42CC" w:rsidRPr="00C33468" w:rsidRDefault="006A42CC" w:rsidP="0028205D">
                            <w:pPr>
                              <w:spacing w:after="0"/>
                              <w:ind w:left="-284" w:right="-184" w:firstLine="0"/>
                              <w:jc w:val="center"/>
                              <w:rPr>
                                <w:rFonts w:ascii="Arial" w:hAnsi="Arial" w:cs="Arial"/>
                                <w:w w:val="88"/>
                                <w:sz w:val="16"/>
                                <w:szCs w:val="16"/>
                              </w:rPr>
                            </w:pPr>
                            <w:r w:rsidRPr="00C33468">
                              <w:rPr>
                                <w:rFonts w:ascii="Arial" w:hAnsi="Arial" w:cs="Arial"/>
                                <w:w w:val="88"/>
                                <w:sz w:val="16"/>
                                <w:szCs w:val="16"/>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6 Proceso alternativo" o:spid="_x0000_s1031" type="#_x0000_t176" style="position:absolute;left:0;text-align:left;margin-left:185.55pt;margin-top:15.15pt;width:75.85pt;height:3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" filled="f" strokecolor="windowText" strokeweight=".5pt">
                <v:textbox>
                  <w:txbxContent>
                    <w:p w:rsidR="006A42CC" w:rsidRDefault="006A42CC" w:rsidP="0028205D">
                      <w:pPr>
                        <w:spacing w:after="0"/>
                        <w:ind w:left="-284" w:right="-234" w:firstLine="0"/>
                        <w:jc w:val="center"/>
                        <w:rPr>
                          <w:rFonts w:ascii="Arial" w:hAnsi="Arial" w:cs="Arial"/>
                          <w:w w:val="88"/>
                          <w:sz w:val="16"/>
                          <w:szCs w:val="16"/>
                        </w:rPr>
                      </w:pPr>
                      <w:r w:rsidRPr="00C33468">
                        <w:rPr>
                          <w:rFonts w:ascii="Arial" w:hAnsi="Arial" w:cs="Arial"/>
                          <w:w w:val="88"/>
                          <w:sz w:val="16"/>
                          <w:szCs w:val="16"/>
                        </w:rPr>
                        <w:t>DEPARTAMENTOS</w:t>
                      </w:r>
                    </w:p>
                    <w:p w:rsidR="006A42CC" w:rsidRPr="00C33468" w:rsidRDefault="006A42CC" w:rsidP="0028205D">
                      <w:pPr>
                        <w:spacing w:after="0"/>
                        <w:ind w:left="-284" w:right="-184" w:firstLine="0"/>
                        <w:jc w:val="center"/>
                        <w:rPr>
                          <w:rFonts w:ascii="Arial" w:hAnsi="Arial" w:cs="Arial"/>
                          <w:w w:val="88"/>
                          <w:sz w:val="16"/>
                          <w:szCs w:val="16"/>
                        </w:rPr>
                      </w:pPr>
                      <w:r w:rsidRPr="00C33468">
                        <w:rPr>
                          <w:rFonts w:ascii="Arial" w:hAnsi="Arial" w:cs="Arial"/>
                          <w:w w:val="88"/>
                          <w:sz w:val="16"/>
                          <w:szCs w:val="16"/>
                        </w:rPr>
                        <w:t>(9)</w:t>
                      </w:r>
                    </w:p>
                  </w:txbxContent>
                </v:textbox>
              </v:shape>
            </w:pict>
          </mc:Fallback>
        </mc:AlternateContent>
      </w:r>
      <w:r>
        <w:rPr>
          <w:noProof/>
          <w:lang w:val="es-ES" w:eastAsia="es-ES"/>
        </w:rPr>
        <mc:AlternateContent>
          <mc:Choice Requires="wps">
            <w:drawing>
              <wp:anchor distT="0" distB="0" distL="114300" distR="114300" simplePos="0" relativeHeight="251662848" behindDoc="0" locked="0" layoutInCell="1" allowOverlap="1" wp14:anchorId="5E5A0C2E" wp14:editId="3F921934">
                <wp:simplePos x="0" y="0"/>
                <wp:positionH relativeFrom="column">
                  <wp:posOffset>3386963</wp:posOffset>
                </wp:positionH>
                <wp:positionV relativeFrom="paragraph">
                  <wp:posOffset>192151</wp:posOffset>
                </wp:positionV>
                <wp:extent cx="865632" cy="396240"/>
                <wp:effectExtent l="0" t="0" r="10795" b="22860"/>
                <wp:wrapNone/>
                <wp:docPr id="12" name="12 Proceso alternativo"/>
                <wp:cNvGraphicFramePr/>
                <a:graphic xmlns:a="http://schemas.openxmlformats.org/drawingml/2006/main">
                  <a:graphicData uri="http://schemas.microsoft.com/office/word/2010/wordprocessingShape">
                    <wps:wsp>
                      <wps:cNvSpPr/>
                      <wps:spPr>
                        <a:xfrm>
                          <a:off x="0" y="0"/>
                          <a:ext cx="865632" cy="396240"/>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237" w:firstLine="0"/>
                              <w:jc w:val="center"/>
                              <w:rPr>
                                <w:rFonts w:ascii="Arial" w:hAnsi="Arial" w:cs="Arial"/>
                                <w:w w:val="88"/>
                                <w:sz w:val="16"/>
                                <w:szCs w:val="16"/>
                              </w:rPr>
                            </w:pPr>
                            <w:r w:rsidRPr="00C33468">
                              <w:rPr>
                                <w:rFonts w:ascii="Arial" w:hAnsi="Arial" w:cs="Arial"/>
                                <w:w w:val="88"/>
                                <w:sz w:val="16"/>
                                <w:szCs w:val="16"/>
                              </w:rPr>
                              <w:t>ORGANISMOS AUTÓNOMOS (8)</w:t>
                            </w:r>
                          </w:p>
                          <w:p w:rsidR="006A42CC" w:rsidRPr="00EB080E" w:rsidRDefault="006A42CC" w:rsidP="0028205D">
                            <w:pPr>
                              <w:spacing w:after="0"/>
                              <w:ind w:left="-168" w:right="-237"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2 Proceso alternativo" o:spid="_x0000_s1032" type="#_x0000_t176" style="position:absolute;left:0;text-align:left;margin-left:266.7pt;margin-top:15.15pt;width:68.15pt;height:3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" filled="f" strokecolor="windowText" strokeweight=".5pt">
                <v:textbox>
                  <w:txbxContent>
                    <w:p w:rsidR="006A42CC" w:rsidRPr="00C33468" w:rsidRDefault="006A42CC" w:rsidP="0028205D">
                      <w:pPr>
                        <w:spacing w:after="0"/>
                        <w:ind w:left="-168" w:right="-237" w:firstLine="0"/>
                        <w:jc w:val="center"/>
                        <w:rPr>
                          <w:rFonts w:ascii="Arial" w:hAnsi="Arial" w:cs="Arial"/>
                          <w:w w:val="88"/>
                          <w:sz w:val="16"/>
                          <w:szCs w:val="16"/>
                        </w:rPr>
                      </w:pPr>
                      <w:r w:rsidRPr="00C33468">
                        <w:rPr>
                          <w:rFonts w:ascii="Arial" w:hAnsi="Arial" w:cs="Arial"/>
                          <w:w w:val="88"/>
                          <w:sz w:val="16"/>
                          <w:szCs w:val="16"/>
                        </w:rPr>
                        <w:t>ORGANISMOS AUTÓNOMOS (8)</w:t>
                      </w:r>
                    </w:p>
                    <w:p w:rsidR="006A42CC" w:rsidRPr="00EB080E" w:rsidRDefault="006A42CC" w:rsidP="0028205D">
                      <w:pPr>
                        <w:spacing w:after="0"/>
                        <w:ind w:left="-168" w:right="-237" w:firstLine="0"/>
                        <w:jc w:val="center"/>
                        <w:rPr>
                          <w:rFonts w:ascii="Arial" w:hAnsi="Arial" w:cs="Arial"/>
                          <w:sz w:val="18"/>
                          <w:szCs w:val="18"/>
                        </w:rPr>
                      </w:pPr>
                    </w:p>
                  </w:txbxContent>
                </v:textbox>
              </v:shape>
            </w:pict>
          </mc:Fallback>
        </mc:AlternateContent>
      </w:r>
      <w:r>
        <w:rPr>
          <w:noProof/>
          <w:lang w:val="es-ES" w:eastAsia="es-ES"/>
        </w:rPr>
        <mc:AlternateContent>
          <mc:Choice Requires="wps">
            <w:drawing>
              <wp:anchor distT="0" distB="0" distL="114300" distR="114300" simplePos="0" relativeHeight="251668992" behindDoc="0" locked="0" layoutInCell="1" allowOverlap="1" wp14:anchorId="62DDB2AF" wp14:editId="6E1CD8C2">
                <wp:simplePos x="0" y="0"/>
                <wp:positionH relativeFrom="column">
                  <wp:posOffset>5385435</wp:posOffset>
                </wp:positionH>
                <wp:positionV relativeFrom="paragraph">
                  <wp:posOffset>191770</wp:posOffset>
                </wp:positionV>
                <wp:extent cx="792480" cy="396240"/>
                <wp:effectExtent l="0" t="0" r="26670" b="22860"/>
                <wp:wrapNone/>
                <wp:docPr id="18" name="18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42" w:right="-73" w:firstLine="0"/>
                              <w:jc w:val="center"/>
                              <w:rPr>
                                <w:rFonts w:ascii="Arial" w:hAnsi="Arial" w:cs="Arial"/>
                                <w:w w:val="92"/>
                                <w:sz w:val="16"/>
                                <w:szCs w:val="16"/>
                              </w:rPr>
                            </w:pPr>
                            <w:r w:rsidRPr="00C33468">
                              <w:rPr>
                                <w:rFonts w:ascii="Arial" w:hAnsi="Arial" w:cs="Arial"/>
                                <w:w w:val="92"/>
                                <w:sz w:val="16"/>
                                <w:szCs w:val="16"/>
                              </w:rPr>
                              <w:t>FUNDACIONES PÚBLICAS (</w:t>
                            </w:r>
                            <w:r>
                              <w:rPr>
                                <w:rFonts w:ascii="Arial" w:hAnsi="Arial" w:cs="Arial"/>
                                <w:w w:val="92"/>
                                <w:sz w:val="16"/>
                                <w:szCs w:val="16"/>
                              </w:rPr>
                              <w:t>5</w:t>
                            </w:r>
                            <w:r w:rsidRPr="00C33468">
                              <w:rPr>
                                <w:rFonts w:ascii="Arial" w:hAnsi="Arial" w:cs="Arial"/>
                                <w:w w:val="92"/>
                                <w:sz w:val="16"/>
                                <w:szCs w:val="16"/>
                              </w:rPr>
                              <w:t>)</w:t>
                            </w:r>
                          </w:p>
                          <w:p w:rsidR="006A42CC" w:rsidRPr="00EB080E" w:rsidRDefault="006A42CC" w:rsidP="0028205D">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8 Proceso alternativo" o:spid="_x0000_s1033" type="#_x0000_t176" style="position:absolute;left:0;text-align:left;margin-left:424.05pt;margin-top:15.1pt;width:62.4pt;height:31.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" filled="f" strokecolor="windowText" strokeweight=".5pt">
                <v:textbox>
                  <w:txbxContent>
                    <w:p w:rsidR="006A42CC" w:rsidRPr="00C33468" w:rsidRDefault="006A42CC" w:rsidP="0028205D">
                      <w:pPr>
                        <w:spacing w:after="0"/>
                        <w:ind w:left="-142" w:right="-73" w:firstLine="0"/>
                        <w:jc w:val="center"/>
                        <w:rPr>
                          <w:rFonts w:ascii="Arial" w:hAnsi="Arial" w:cs="Arial"/>
                          <w:w w:val="92"/>
                          <w:sz w:val="16"/>
                          <w:szCs w:val="16"/>
                        </w:rPr>
                      </w:pPr>
                      <w:r w:rsidRPr="00C33468">
                        <w:rPr>
                          <w:rFonts w:ascii="Arial" w:hAnsi="Arial" w:cs="Arial"/>
                          <w:w w:val="92"/>
                          <w:sz w:val="16"/>
                          <w:szCs w:val="16"/>
                        </w:rPr>
                        <w:t>FUNDACIONES PÚBLICAS (</w:t>
                      </w:r>
                      <w:r>
                        <w:rPr>
                          <w:rFonts w:ascii="Arial" w:hAnsi="Arial" w:cs="Arial"/>
                          <w:w w:val="92"/>
                          <w:sz w:val="16"/>
                          <w:szCs w:val="16"/>
                        </w:rPr>
                        <w:t>5</w:t>
                      </w:r>
                      <w:r w:rsidRPr="00C33468">
                        <w:rPr>
                          <w:rFonts w:ascii="Arial" w:hAnsi="Arial" w:cs="Arial"/>
                          <w:w w:val="92"/>
                          <w:sz w:val="16"/>
                          <w:szCs w:val="16"/>
                        </w:rPr>
                        <w:t>)</w:t>
                      </w:r>
                    </w:p>
                    <w:p w:rsidR="006A42CC" w:rsidRPr="00EB080E" w:rsidRDefault="006A42CC" w:rsidP="0028205D">
                      <w:pPr>
                        <w:spacing w:after="0"/>
                        <w:ind w:left="-142" w:right="-73" w:firstLine="0"/>
                        <w:jc w:val="center"/>
                        <w:rPr>
                          <w:rFonts w:ascii="Arial" w:hAnsi="Arial" w:cs="Arial"/>
                          <w:sz w:val="18"/>
                          <w:szCs w:val="18"/>
                        </w:rPr>
                      </w:pPr>
                    </w:p>
                  </w:txbxContent>
                </v:textbox>
              </v:shape>
            </w:pict>
          </mc:Fallback>
        </mc:AlternateContent>
      </w:r>
      <w:r>
        <w:rPr>
          <w:noProof/>
          <w:lang w:val="es-ES" w:eastAsia="es-ES"/>
        </w:rPr>
        <mc:AlternateContent>
          <mc:Choice Requires="wps">
            <w:drawing>
              <wp:anchor distT="0" distB="0" distL="114300" distR="114300" simplePos="0" relativeHeight="251667968" behindDoc="0" locked="0" layoutInCell="1" allowOverlap="1" wp14:anchorId="63B48DF9" wp14:editId="20B78145">
                <wp:simplePos x="0" y="0"/>
                <wp:positionH relativeFrom="column">
                  <wp:posOffset>4392295</wp:posOffset>
                </wp:positionH>
                <wp:positionV relativeFrom="paragraph">
                  <wp:posOffset>191770</wp:posOffset>
                </wp:positionV>
                <wp:extent cx="792480" cy="396240"/>
                <wp:effectExtent l="0" t="0" r="26670" b="22860"/>
                <wp:wrapNone/>
                <wp:docPr id="17" name="17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rsidR="006A42CC" w:rsidRPr="00EB080E" w:rsidRDefault="006A42CC" w:rsidP="0028205D">
                            <w:pPr>
                              <w:spacing w:before="120" w:after="0"/>
                              <w:ind w:left="-142" w:right="-74" w:firstLine="0"/>
                              <w:jc w:val="center"/>
                              <w:rPr>
                                <w:rFonts w:ascii="Arial" w:hAnsi="Arial" w:cs="Arial"/>
                                <w:sz w:val="16"/>
                                <w:szCs w:val="16"/>
                              </w:rPr>
                            </w:pPr>
                            <w:r>
                              <w:rPr>
                                <w:rFonts w:ascii="Arial" w:hAnsi="Arial" w:cs="Arial"/>
                                <w:sz w:val="16"/>
                                <w:szCs w:val="16"/>
                              </w:rPr>
                              <w:t>CPEN</w:t>
                            </w:r>
                            <w:proofErr w:type="gramStart"/>
                            <w:r>
                              <w:rPr>
                                <w:rFonts w:ascii="Arial" w:hAnsi="Arial" w:cs="Arial"/>
                                <w:sz w:val="16"/>
                                <w:szCs w:val="16"/>
                              </w:rPr>
                              <w:t>,SLU</w:t>
                            </w:r>
                            <w:proofErr w:type="gramEnd"/>
                          </w:p>
                          <w:p w:rsidR="006A42CC" w:rsidRPr="00EB080E" w:rsidRDefault="006A42CC" w:rsidP="0028205D">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7 Proceso alternativo" o:spid="_x0000_s1034" type="#_x0000_t176" style="position:absolute;left:0;text-align:left;margin-left:345.85pt;margin-top:15.1pt;width:62.4pt;height:3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" filled="f" strokecolor="windowText" strokeweight=".5pt">
                <v:textbox>
                  <w:txbxContent>
                    <w:p w:rsidR="006A42CC" w:rsidRPr="00EB080E" w:rsidRDefault="006A42CC" w:rsidP="0028205D">
                      <w:pPr>
                        <w:spacing w:before="120" w:after="0"/>
                        <w:ind w:left="-142" w:right="-74" w:firstLine="0"/>
                        <w:jc w:val="center"/>
                        <w:rPr>
                          <w:rFonts w:ascii="Arial" w:hAnsi="Arial" w:cs="Arial"/>
                          <w:sz w:val="16"/>
                          <w:szCs w:val="16"/>
                        </w:rPr>
                      </w:pPr>
                      <w:r>
                        <w:rPr>
                          <w:rFonts w:ascii="Arial" w:hAnsi="Arial" w:cs="Arial"/>
                          <w:sz w:val="16"/>
                          <w:szCs w:val="16"/>
                        </w:rPr>
                        <w:t>CPEN</w:t>
                      </w:r>
                      <w:proofErr w:type="gramStart"/>
                      <w:r>
                        <w:rPr>
                          <w:rFonts w:ascii="Arial" w:hAnsi="Arial" w:cs="Arial"/>
                          <w:sz w:val="16"/>
                          <w:szCs w:val="16"/>
                        </w:rPr>
                        <w:t>,SLU</w:t>
                      </w:r>
                      <w:proofErr w:type="gramEnd"/>
                    </w:p>
                    <w:p w:rsidR="006A42CC" w:rsidRPr="00EB080E" w:rsidRDefault="006A42CC" w:rsidP="0028205D">
                      <w:pPr>
                        <w:spacing w:after="0"/>
                        <w:ind w:left="-142" w:right="-73" w:firstLine="0"/>
                        <w:jc w:val="center"/>
                        <w:rPr>
                          <w:rFonts w:ascii="Arial" w:hAnsi="Arial" w:cs="Arial"/>
                          <w:sz w:val="18"/>
                          <w:szCs w:val="18"/>
                        </w:rPr>
                      </w:pP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96640" behindDoc="0" locked="0" layoutInCell="1" allowOverlap="1" wp14:anchorId="3AE6F88D" wp14:editId="49DA13D0">
                <wp:simplePos x="0" y="0"/>
                <wp:positionH relativeFrom="column">
                  <wp:posOffset>4248150</wp:posOffset>
                </wp:positionH>
                <wp:positionV relativeFrom="paragraph">
                  <wp:posOffset>257175</wp:posOffset>
                </wp:positionV>
                <wp:extent cx="4445" cy="5810250"/>
                <wp:effectExtent l="0" t="0" r="33655" b="19050"/>
                <wp:wrapNone/>
                <wp:docPr id="54" name="54 Conector recto"/>
                <wp:cNvGraphicFramePr/>
                <a:graphic xmlns:a="http://schemas.openxmlformats.org/drawingml/2006/main">
                  <a:graphicData uri="http://schemas.microsoft.com/office/word/2010/wordprocessingShape">
                    <wps:wsp>
                      <wps:cNvCnPr/>
                      <wps:spPr>
                        <a:xfrm flipH="1">
                          <a:off x="0" y="0"/>
                          <a:ext cx="4445" cy="58102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54 Conector recto" o:spid="_x0000_s1026" style="position:absolute;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20.25pt" to="334.85pt,4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" strokecolor="windowText" strokeweight=".5pt"/>
            </w:pict>
          </mc:Fallback>
        </mc:AlternateContent>
      </w:r>
      <w:r>
        <w:rPr>
          <w:noProof/>
          <w:lang w:val="es-ES" w:eastAsia="es-ES"/>
        </w:rPr>
        <mc:AlternateContent>
          <mc:Choice Requires="wps">
            <w:drawing>
              <wp:anchor distT="0" distB="0" distL="114300" distR="114300" simplePos="0" relativeHeight="251695616" behindDoc="0" locked="0" layoutInCell="1" allowOverlap="1" wp14:anchorId="4E36DD31" wp14:editId="29D07758">
                <wp:simplePos x="0" y="0"/>
                <wp:positionH relativeFrom="column">
                  <wp:posOffset>2352675</wp:posOffset>
                </wp:positionH>
                <wp:positionV relativeFrom="paragraph">
                  <wp:posOffset>227965</wp:posOffset>
                </wp:positionV>
                <wp:extent cx="3810" cy="5614035"/>
                <wp:effectExtent l="0" t="0" r="34290" b="24765"/>
                <wp:wrapNone/>
                <wp:docPr id="53" name="53 Conector recto"/>
                <wp:cNvGraphicFramePr/>
                <a:graphic xmlns:a="http://schemas.openxmlformats.org/drawingml/2006/main">
                  <a:graphicData uri="http://schemas.microsoft.com/office/word/2010/wordprocessingShape">
                    <wps:wsp>
                      <wps:cNvCnPr/>
                      <wps:spPr>
                        <a:xfrm flipH="1">
                          <a:off x="0" y="0"/>
                          <a:ext cx="3810" cy="561403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53 Conector recto" o:spid="_x0000_s1026" style="position:absolute;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25pt,17.95pt" to="185.55pt,4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" strokecolor="windowText" strokeweight=".5pt"/>
            </w:pict>
          </mc:Fallback>
        </mc:AlternateContent>
      </w:r>
      <w:r>
        <w:rPr>
          <w:noProof/>
          <w:lang w:val="es-ES" w:eastAsia="es-ES"/>
        </w:rPr>
        <mc:AlternateContent>
          <mc:Choice Requires="wps">
            <w:drawing>
              <wp:anchor distT="0" distB="0" distL="114300" distR="114300" simplePos="0" relativeHeight="251692544" behindDoc="0" locked="0" layoutInCell="1" allowOverlap="1" wp14:anchorId="3D7F3CF1" wp14:editId="5551B873">
                <wp:simplePos x="0" y="0"/>
                <wp:positionH relativeFrom="column">
                  <wp:posOffset>899160</wp:posOffset>
                </wp:positionH>
                <wp:positionV relativeFrom="paragraph">
                  <wp:posOffset>118110</wp:posOffset>
                </wp:positionV>
                <wp:extent cx="725424" cy="396240"/>
                <wp:effectExtent l="0" t="0" r="17780" b="22860"/>
                <wp:wrapNone/>
                <wp:docPr id="50" name="50 Proceso alternativo"/>
                <wp:cNvGraphicFramePr/>
                <a:graphic xmlns:a="http://schemas.openxmlformats.org/drawingml/2006/main">
                  <a:graphicData uri="http://schemas.microsoft.com/office/word/2010/wordprocessingShape">
                    <wps:wsp>
                      <wps:cNvSpPr/>
                      <wps:spPr>
                        <a:xfrm>
                          <a:off x="0" y="0"/>
                          <a:ext cx="725424" cy="396240"/>
                        </a:xfrm>
                        <a:prstGeom prst="flowChartAlternateProcess">
                          <a:avLst/>
                        </a:prstGeom>
                        <a:noFill/>
                        <a:ln w="6350" cap="flat" cmpd="sng" algn="ctr">
                          <a:solidFill>
                            <a:sysClr val="windowText" lastClr="000000"/>
                          </a:solidFill>
                          <a:prstDash val="solid"/>
                        </a:ln>
                        <a:effectLst/>
                      </wps:spPr>
                      <wps:txbx>
                        <w:txbxContent>
                          <w:p w:rsidR="006A42CC" w:rsidRPr="00EB080E" w:rsidRDefault="006A42CC" w:rsidP="0028205D">
                            <w:pPr>
                              <w:spacing w:after="0"/>
                              <w:ind w:left="-142" w:right="-73" w:firstLine="0"/>
                              <w:jc w:val="center"/>
                              <w:rPr>
                                <w:rFonts w:ascii="Arial" w:hAnsi="Arial" w:cs="Arial"/>
                                <w:sz w:val="18"/>
                                <w:szCs w:val="18"/>
                              </w:rPr>
                            </w:pPr>
                            <w:r>
                              <w:rPr>
                                <w:rFonts w:ascii="Arial" w:hAnsi="Arial" w:cs="Arial"/>
                                <w:sz w:val="18"/>
                                <w:szCs w:val="18"/>
                              </w:rPr>
                              <w:t>Cámara de Comptos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0 Proceso alternativo" o:spid="_x0000_s1035" type="#_x0000_t176" style="position:absolute;left:0;text-align:left;margin-left:70.8pt;margin-top:9.3pt;width:57.1pt;height:31.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" filled="f" strokecolor="windowText" strokeweight=".5pt">
                <v:textbox>
                  <w:txbxContent>
                    <w:p w:rsidR="006A42CC" w:rsidRPr="00EB080E" w:rsidRDefault="006A42CC" w:rsidP="0028205D">
                      <w:pPr>
                        <w:spacing w:after="0"/>
                        <w:ind w:left="-142" w:right="-73" w:firstLine="0"/>
                        <w:jc w:val="center"/>
                        <w:rPr>
                          <w:rFonts w:ascii="Arial" w:hAnsi="Arial" w:cs="Arial"/>
                          <w:sz w:val="18"/>
                          <w:szCs w:val="18"/>
                        </w:rPr>
                      </w:pPr>
                      <w:r>
                        <w:rPr>
                          <w:rFonts w:ascii="Arial" w:hAnsi="Arial" w:cs="Arial"/>
                          <w:sz w:val="18"/>
                          <w:szCs w:val="18"/>
                        </w:rPr>
                        <w:t>Cámara de Comptos</w:t>
                      </w:r>
                    </w:p>
                  </w:txbxContent>
                </v:textbox>
              </v:shape>
            </w:pict>
          </mc:Fallback>
        </mc:AlternateContent>
      </w:r>
      <w:r>
        <w:rPr>
          <w:noProof/>
          <w:lang w:val="es-ES" w:eastAsia="es-ES"/>
        </w:rPr>
        <mc:AlternateContent>
          <mc:Choice Requires="wps">
            <w:drawing>
              <wp:anchor distT="0" distB="0" distL="114300" distR="114300" simplePos="0" relativeHeight="251663872" behindDoc="0" locked="0" layoutInCell="1" allowOverlap="1" wp14:anchorId="3B1DF7E2" wp14:editId="07BB665B">
                <wp:simplePos x="0" y="0"/>
                <wp:positionH relativeFrom="column">
                  <wp:posOffset>-82042</wp:posOffset>
                </wp:positionH>
                <wp:positionV relativeFrom="paragraph">
                  <wp:posOffset>114300</wp:posOffset>
                </wp:positionV>
                <wp:extent cx="725424" cy="396240"/>
                <wp:effectExtent l="0" t="0" r="17780" b="22860"/>
                <wp:wrapNone/>
                <wp:docPr id="13" name="13 Proceso alternativo"/>
                <wp:cNvGraphicFramePr/>
                <a:graphic xmlns:a="http://schemas.openxmlformats.org/drawingml/2006/main">
                  <a:graphicData uri="http://schemas.microsoft.com/office/word/2010/wordprocessingShape">
                    <wps:wsp>
                      <wps:cNvSpPr/>
                      <wps:spPr>
                        <a:xfrm>
                          <a:off x="0" y="0"/>
                          <a:ext cx="725424" cy="396240"/>
                        </a:xfrm>
                        <a:prstGeom prst="flowChartAlternateProcess">
                          <a:avLst/>
                        </a:prstGeom>
                        <a:noFill/>
                        <a:ln w="6350" cap="flat" cmpd="sng" algn="ctr">
                          <a:solidFill>
                            <a:sysClr val="windowText" lastClr="000000"/>
                          </a:solidFill>
                          <a:prstDash val="solid"/>
                        </a:ln>
                        <a:effectLst/>
                      </wps:spPr>
                      <wps:txbx>
                        <w:txbxContent>
                          <w:p w:rsidR="006A42CC" w:rsidRPr="00EB080E" w:rsidRDefault="006A42CC" w:rsidP="0028205D">
                            <w:pPr>
                              <w:spacing w:after="0"/>
                              <w:ind w:left="-142" w:right="-73" w:firstLine="0"/>
                              <w:jc w:val="center"/>
                              <w:rPr>
                                <w:rFonts w:ascii="Arial" w:hAnsi="Arial" w:cs="Arial"/>
                                <w:sz w:val="18"/>
                                <w:szCs w:val="18"/>
                              </w:rPr>
                            </w:pPr>
                            <w:r>
                              <w:rPr>
                                <w:rFonts w:ascii="Arial" w:hAnsi="Arial" w:cs="Arial"/>
                                <w:sz w:val="18"/>
                                <w:szCs w:val="18"/>
                              </w:rPr>
                              <w:t>Defensor del Pueblo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3 Proceso alternativo" o:spid="_x0000_s1036" type="#_x0000_t176" style="position:absolute;left:0;text-align:left;margin-left:-6.45pt;margin-top:9pt;width:57.1pt;height:3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" filled="f" strokecolor="windowText" strokeweight=".5pt">
                <v:textbox>
                  <w:txbxContent>
                    <w:p w:rsidR="006A42CC" w:rsidRPr="00EB080E" w:rsidRDefault="006A42CC" w:rsidP="0028205D">
                      <w:pPr>
                        <w:spacing w:after="0"/>
                        <w:ind w:left="-142" w:right="-73" w:firstLine="0"/>
                        <w:jc w:val="center"/>
                        <w:rPr>
                          <w:rFonts w:ascii="Arial" w:hAnsi="Arial" w:cs="Arial"/>
                          <w:sz w:val="18"/>
                          <w:szCs w:val="18"/>
                        </w:rPr>
                      </w:pPr>
                      <w:r>
                        <w:rPr>
                          <w:rFonts w:ascii="Arial" w:hAnsi="Arial" w:cs="Arial"/>
                          <w:sz w:val="18"/>
                          <w:szCs w:val="18"/>
                        </w:rPr>
                        <w:t>Defensor del Pueblo</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97664" behindDoc="0" locked="0" layoutInCell="1" allowOverlap="1" wp14:anchorId="3B526EF3" wp14:editId="64773B77">
                <wp:simplePos x="0" y="0"/>
                <wp:positionH relativeFrom="column">
                  <wp:posOffset>5801360</wp:posOffset>
                </wp:positionH>
                <wp:positionV relativeFrom="paragraph">
                  <wp:posOffset>24765</wp:posOffset>
                </wp:positionV>
                <wp:extent cx="0" cy="3452813"/>
                <wp:effectExtent l="0" t="0" r="19050" b="14605"/>
                <wp:wrapNone/>
                <wp:docPr id="55" name="55 Conector recto"/>
                <wp:cNvGraphicFramePr/>
                <a:graphic xmlns:a="http://schemas.openxmlformats.org/drawingml/2006/main">
                  <a:graphicData uri="http://schemas.microsoft.com/office/word/2010/wordprocessingShape">
                    <wps:wsp>
                      <wps:cNvCnPr/>
                      <wps:spPr>
                        <a:xfrm>
                          <a:off x="0" y="0"/>
                          <a:ext cx="0" cy="3452813"/>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55 Conector recto"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8pt,1.95pt" to="456.8pt,2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" strokecolor="windowText" strokeweight=".5pt"/>
            </w:pict>
          </mc:Fallback>
        </mc:AlternateContent>
      </w:r>
      <w:r>
        <w:rPr>
          <w:noProof/>
          <w:lang w:val="es-ES" w:eastAsia="es-ES"/>
        </w:rPr>
        <mc:AlternateContent>
          <mc:Choice Requires="wps">
            <w:drawing>
              <wp:anchor distT="0" distB="0" distL="114300" distR="114300" simplePos="0" relativeHeight="251725312" behindDoc="0" locked="0" layoutInCell="1" allowOverlap="1" wp14:anchorId="4D31203E" wp14:editId="70AEC675">
                <wp:simplePos x="0" y="0"/>
                <wp:positionH relativeFrom="column">
                  <wp:posOffset>4820285</wp:posOffset>
                </wp:positionH>
                <wp:positionV relativeFrom="paragraph">
                  <wp:posOffset>24765</wp:posOffset>
                </wp:positionV>
                <wp:extent cx="0" cy="215265"/>
                <wp:effectExtent l="0" t="0" r="19050" b="13335"/>
                <wp:wrapNone/>
                <wp:docPr id="105" name="105 Conector recto"/>
                <wp:cNvGraphicFramePr/>
                <a:graphic xmlns:a="http://schemas.openxmlformats.org/drawingml/2006/main">
                  <a:graphicData uri="http://schemas.microsoft.com/office/word/2010/wordprocessingShape">
                    <wps:wsp>
                      <wps:cNvCnPr/>
                      <wps:spPr>
                        <a:xfrm>
                          <a:off x="0" y="0"/>
                          <a:ext cx="0" cy="21526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5 Conector recto"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5pt,1.95pt" to="379.5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" strokecolor="windowText" strokeweight=".5pt"/>
            </w:pict>
          </mc:Fallback>
        </mc:AlternateContent>
      </w:r>
      <w:r>
        <w:rPr>
          <w:noProof/>
          <w:lang w:val="es-ES" w:eastAsia="es-ES"/>
        </w:rPr>
        <mc:AlternateContent>
          <mc:Choice Requires="wps">
            <w:drawing>
              <wp:anchor distT="0" distB="0" distL="114300" distR="114300" simplePos="0" relativeHeight="251670016" behindDoc="0" locked="0" layoutInCell="1" allowOverlap="1" wp14:anchorId="7C0071D5" wp14:editId="381BF7FC">
                <wp:simplePos x="0" y="0"/>
                <wp:positionH relativeFrom="column">
                  <wp:posOffset>4392803</wp:posOffset>
                </wp:positionH>
                <wp:positionV relativeFrom="paragraph">
                  <wp:posOffset>232029</wp:posOffset>
                </wp:positionV>
                <wp:extent cx="792480" cy="396240"/>
                <wp:effectExtent l="0" t="0" r="26670" b="22860"/>
                <wp:wrapNone/>
                <wp:docPr id="19" name="19 Proceso alternativo"/>
                <wp:cNvGraphicFramePr/>
                <a:graphic xmlns:a="http://schemas.openxmlformats.org/drawingml/2006/main">
                  <a:graphicData uri="http://schemas.microsoft.com/office/word/2010/wordprocessingShape">
                    <wps:wsp>
                      <wps:cNvSpPr/>
                      <wps:spPr>
                        <a:xfrm>
                          <a:off x="0" y="0"/>
                          <a:ext cx="792480" cy="396240"/>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42" w:right="-73" w:firstLine="0"/>
                              <w:jc w:val="center"/>
                              <w:rPr>
                                <w:rFonts w:ascii="Arial" w:hAnsi="Arial" w:cs="Arial"/>
                                <w:w w:val="96"/>
                                <w:sz w:val="16"/>
                                <w:szCs w:val="16"/>
                              </w:rPr>
                            </w:pPr>
                            <w:r w:rsidRPr="00C33468">
                              <w:rPr>
                                <w:rFonts w:ascii="Arial" w:hAnsi="Arial" w:cs="Arial"/>
                                <w:w w:val="96"/>
                                <w:sz w:val="16"/>
                                <w:szCs w:val="16"/>
                              </w:rPr>
                              <w:t>SOCIEDADES PÚBLICAS (16)</w:t>
                            </w:r>
                          </w:p>
                          <w:p w:rsidR="006A42CC" w:rsidRPr="00EB080E" w:rsidRDefault="006A42CC" w:rsidP="0028205D">
                            <w:pPr>
                              <w:spacing w:after="0"/>
                              <w:ind w:left="-142" w:right="-73" w:firstLine="0"/>
                              <w:jc w:val="cente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9 Proceso alternativo" o:spid="_x0000_s1037" type="#_x0000_t176" style="position:absolute;left:0;text-align:left;margin-left:345.9pt;margin-top:18.25pt;width:62.4pt;height:3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" filled="f" strokecolor="windowText" strokeweight=".5pt">
                <v:textbox>
                  <w:txbxContent>
                    <w:p w:rsidR="006A42CC" w:rsidRPr="00C33468" w:rsidRDefault="006A42CC" w:rsidP="0028205D">
                      <w:pPr>
                        <w:spacing w:after="0"/>
                        <w:ind w:left="-142" w:right="-73" w:firstLine="0"/>
                        <w:jc w:val="center"/>
                        <w:rPr>
                          <w:rFonts w:ascii="Arial" w:hAnsi="Arial" w:cs="Arial"/>
                          <w:w w:val="96"/>
                          <w:sz w:val="16"/>
                          <w:szCs w:val="16"/>
                        </w:rPr>
                      </w:pPr>
                      <w:r w:rsidRPr="00C33468">
                        <w:rPr>
                          <w:rFonts w:ascii="Arial" w:hAnsi="Arial" w:cs="Arial"/>
                          <w:w w:val="96"/>
                          <w:sz w:val="16"/>
                          <w:szCs w:val="16"/>
                        </w:rPr>
                        <w:t>SOCIEDADES PÚBLICAS (16)</w:t>
                      </w:r>
                    </w:p>
                    <w:p w:rsidR="006A42CC" w:rsidRPr="00EB080E" w:rsidRDefault="006A42CC" w:rsidP="0028205D">
                      <w:pPr>
                        <w:spacing w:after="0"/>
                        <w:ind w:left="-142" w:right="-73" w:firstLine="0"/>
                        <w:jc w:val="center"/>
                        <w:rPr>
                          <w:rFonts w:ascii="Arial" w:hAnsi="Arial" w:cs="Arial"/>
                          <w:sz w:val="18"/>
                          <w:szCs w:val="18"/>
                        </w:rPr>
                      </w:pPr>
                    </w:p>
                  </w:txbxContent>
                </v:textbox>
              </v:shape>
            </w:pict>
          </mc:Fallback>
        </mc:AlternateContent>
      </w:r>
    </w:p>
    <w:p w:rsidR="0028205D" w:rsidRDefault="0028205D" w:rsidP="0028205D">
      <w:pPr>
        <w:pStyle w:val="texto"/>
      </w:pPr>
    </w:p>
    <w:p w:rsidR="0028205D" w:rsidRDefault="0028205D" w:rsidP="0028205D">
      <w:pPr>
        <w:pStyle w:val="texto"/>
      </w:pPr>
      <w:r>
        <w:rPr>
          <w:noProof/>
          <w:lang w:val="es-ES" w:eastAsia="es-ES"/>
        </w:rPr>
        <mc:AlternateContent>
          <mc:Choice Requires="wps">
            <w:drawing>
              <wp:anchor distT="0" distB="0" distL="114300" distR="114300" simplePos="0" relativeHeight="251672064" behindDoc="0" locked="0" layoutInCell="1" allowOverlap="1" wp14:anchorId="24053EEA" wp14:editId="784B4B9B">
                <wp:simplePos x="0" y="0"/>
                <wp:positionH relativeFrom="column">
                  <wp:posOffset>2472563</wp:posOffset>
                </wp:positionH>
                <wp:positionV relativeFrom="paragraph">
                  <wp:posOffset>70739</wp:posOffset>
                </wp:positionV>
                <wp:extent cx="767080" cy="505968"/>
                <wp:effectExtent l="0" t="0" r="13970" b="27940"/>
                <wp:wrapNone/>
                <wp:docPr id="21" name="21 Proceso alternativo"/>
                <wp:cNvGraphicFramePr/>
                <a:graphic xmlns:a="http://schemas.openxmlformats.org/drawingml/2006/main">
                  <a:graphicData uri="http://schemas.microsoft.com/office/word/2010/wordprocessingShape">
                    <wps:wsp>
                      <wps:cNvSpPr/>
                      <wps:spPr>
                        <a:xfrm>
                          <a:off x="0" y="0"/>
                          <a:ext cx="767080" cy="505968"/>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cs="Arial"/>
                                <w:w w:val="88"/>
                                <w:sz w:val="14"/>
                                <w:szCs w:val="14"/>
                              </w:rPr>
                              <w:t>Presidencia, Función Pública, Interior y Justicia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1 Proceso alternativo" o:spid="_x0000_s1038" type="#_x0000_t176" style="position:absolute;left:0;text-align:left;margin-left:194.7pt;margin-top:5.55pt;width:60.4pt;height:39.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" filled="f" strokecolor="windowText" strokeweight=".5pt">
                <v:textbo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cs="Arial"/>
                          <w:w w:val="88"/>
                          <w:sz w:val="14"/>
                          <w:szCs w:val="14"/>
                        </w:rPr>
                        <w:t>Presidencia, Función Pública, Interior y Justicia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59776" behindDoc="0" locked="0" layoutInCell="1" allowOverlap="1" wp14:anchorId="7BA066C7" wp14:editId="5393C8AB">
                <wp:simplePos x="0" y="0"/>
                <wp:positionH relativeFrom="column">
                  <wp:posOffset>2353310</wp:posOffset>
                </wp:positionH>
                <wp:positionV relativeFrom="paragraph">
                  <wp:posOffset>55245</wp:posOffset>
                </wp:positionV>
                <wp:extent cx="114300" cy="0"/>
                <wp:effectExtent l="0" t="0" r="19050" b="19050"/>
                <wp:wrapNone/>
                <wp:docPr id="65" name="65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65 Conector recto"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4.35pt" to="194.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" strokecolor="windowText" strokeweight=".5pt"/>
            </w:pict>
          </mc:Fallback>
        </mc:AlternateContent>
      </w:r>
      <w:r>
        <w:rPr>
          <w:noProof/>
          <w:lang w:val="es-ES" w:eastAsia="es-ES"/>
        </w:rPr>
        <mc:AlternateContent>
          <mc:Choice Requires="wps">
            <w:drawing>
              <wp:anchor distT="0" distB="0" distL="114300" distR="114300" simplePos="0" relativeHeight="251688448" behindDoc="0" locked="0" layoutInCell="1" allowOverlap="1" wp14:anchorId="67862302" wp14:editId="1FF9EA3B">
                <wp:simplePos x="0" y="0"/>
                <wp:positionH relativeFrom="column">
                  <wp:posOffset>4726305</wp:posOffset>
                </wp:positionH>
                <wp:positionV relativeFrom="paragraph">
                  <wp:posOffset>157480</wp:posOffset>
                </wp:positionV>
                <wp:extent cx="767080" cy="249555"/>
                <wp:effectExtent l="0" t="0" r="13970" b="17145"/>
                <wp:wrapNone/>
                <wp:docPr id="41" name="41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cs="Arial"/>
                                <w:w w:val="88"/>
                                <w:sz w:val="14"/>
                                <w:szCs w:val="14"/>
                              </w:rPr>
                              <w:t xml:space="preserve">Miguel </w:t>
                            </w:r>
                            <w:proofErr w:type="spellStart"/>
                            <w:r>
                              <w:rPr>
                                <w:rFonts w:ascii="Arial" w:hAnsi="Arial" w:cs="Arial"/>
                                <w:w w:val="88"/>
                                <w:sz w:val="14"/>
                                <w:szCs w:val="14"/>
                              </w:rPr>
                              <w:t>Servert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1 Proceso alternativo" o:spid="_x0000_s1039" type="#_x0000_t176" style="position:absolute;left:0;text-align:left;margin-left:372.15pt;margin-top:12.4pt;width:60.4pt;height:19.6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" filled="f" strokecolor="windowText" strokeweight=".5pt">
                <v:textbo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cs="Arial"/>
                          <w:w w:val="88"/>
                          <w:sz w:val="14"/>
                          <w:szCs w:val="14"/>
                        </w:rPr>
                        <w:t xml:space="preserve">Miguel </w:t>
                      </w:r>
                      <w:proofErr w:type="spellStart"/>
                      <w:r>
                        <w:rPr>
                          <w:rFonts w:ascii="Arial" w:hAnsi="Arial" w:cs="Arial"/>
                          <w:w w:val="88"/>
                          <w:sz w:val="14"/>
                          <w:szCs w:val="14"/>
                        </w:rPr>
                        <w:t>Servert</w:t>
                      </w:r>
                      <w:proofErr w:type="spellEnd"/>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24288" behindDoc="0" locked="0" layoutInCell="1" allowOverlap="1" wp14:anchorId="519B9F7E" wp14:editId="5A42783E">
                <wp:simplePos x="0" y="0"/>
                <wp:positionH relativeFrom="column">
                  <wp:posOffset>5492115</wp:posOffset>
                </wp:positionH>
                <wp:positionV relativeFrom="paragraph">
                  <wp:posOffset>15240</wp:posOffset>
                </wp:positionV>
                <wp:extent cx="307975" cy="0"/>
                <wp:effectExtent l="0" t="0" r="15875" b="19050"/>
                <wp:wrapNone/>
                <wp:docPr id="104" name="104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4 Conector recto" o:spid="_x0000_s1026" style="position:absolute;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1.2pt" to="456.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671040" behindDoc="0" locked="0" layoutInCell="1" allowOverlap="1" wp14:anchorId="430BC9B3" wp14:editId="3645B670">
                <wp:simplePos x="0" y="0"/>
                <wp:positionH relativeFrom="column">
                  <wp:posOffset>2472563</wp:posOffset>
                </wp:positionH>
                <wp:positionV relativeFrom="paragraph">
                  <wp:posOffset>183769</wp:posOffset>
                </wp:positionV>
                <wp:extent cx="767080" cy="316992"/>
                <wp:effectExtent l="0" t="0" r="13970" b="26035"/>
                <wp:wrapNone/>
                <wp:docPr id="23" name="23 Proceso alternativo"/>
                <wp:cNvGraphicFramePr/>
                <a:graphic xmlns:a="http://schemas.openxmlformats.org/drawingml/2006/main">
                  <a:graphicData uri="http://schemas.microsoft.com/office/word/2010/wordprocessingShape">
                    <wps:wsp>
                      <wps:cNvSpPr/>
                      <wps:spPr>
                        <a:xfrm>
                          <a:off x="0" y="0"/>
                          <a:ext cx="767080" cy="316992"/>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cs="Arial"/>
                                <w:w w:val="88"/>
                                <w:sz w:val="14"/>
                                <w:szCs w:val="14"/>
                              </w:rPr>
                              <w:t>Desarrollo Económico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3 Proceso alternativo" o:spid="_x0000_s1040" type="#_x0000_t176" style="position:absolute;left:0;text-align:left;margin-left:194.7pt;margin-top:14.45pt;width:60.4pt;height:24.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" filled="f" strokecolor="windowText" strokeweight=".5pt">
                <v:textbo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cs="Arial"/>
                          <w:w w:val="88"/>
                          <w:sz w:val="14"/>
                          <w:szCs w:val="14"/>
                        </w:rPr>
                        <w:t>Desarrollo Económico</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98688" behindDoc="0" locked="0" layoutInCell="1" allowOverlap="1" wp14:anchorId="2B74BB6F" wp14:editId="38475582">
                <wp:simplePos x="0" y="0"/>
                <wp:positionH relativeFrom="column">
                  <wp:posOffset>2353310</wp:posOffset>
                </wp:positionH>
                <wp:positionV relativeFrom="paragraph">
                  <wp:posOffset>69215</wp:posOffset>
                </wp:positionV>
                <wp:extent cx="114300" cy="0"/>
                <wp:effectExtent l="0" t="0" r="19050" b="19050"/>
                <wp:wrapNone/>
                <wp:docPr id="66" name="66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66 Conector recto" o:spid="_x0000_s1026" style="position:absolute;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5.45pt" to="194.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689472" behindDoc="0" locked="0" layoutInCell="1" allowOverlap="1" wp14:anchorId="23A8414F" wp14:editId="08DE2874">
                <wp:simplePos x="0" y="0"/>
                <wp:positionH relativeFrom="column">
                  <wp:posOffset>4726305</wp:posOffset>
                </wp:positionH>
                <wp:positionV relativeFrom="paragraph">
                  <wp:posOffset>142875</wp:posOffset>
                </wp:positionV>
                <wp:extent cx="767080" cy="316865"/>
                <wp:effectExtent l="0" t="0" r="13970" b="26035"/>
                <wp:wrapNone/>
                <wp:docPr id="42" name="42 Proceso alternativo"/>
                <wp:cNvGraphicFramePr/>
                <a:graphic xmlns:a="http://schemas.openxmlformats.org/drawingml/2006/main">
                  <a:graphicData uri="http://schemas.microsoft.com/office/word/2010/wordprocessingShape">
                    <wps:wsp>
                      <wps:cNvSpPr/>
                      <wps:spPr>
                        <a:xfrm>
                          <a:off x="0" y="0"/>
                          <a:ext cx="767080" cy="316865"/>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proofErr w:type="spellStart"/>
                            <w:r>
                              <w:rPr>
                                <w:rFonts w:ascii="Arial" w:hAnsi="Arial" w:cs="Arial"/>
                                <w:w w:val="86"/>
                                <w:sz w:val="14"/>
                                <w:szCs w:val="14"/>
                              </w:rPr>
                              <w:t>Conserv</w:t>
                            </w:r>
                            <w:proofErr w:type="spellEnd"/>
                            <w:r>
                              <w:rPr>
                                <w:rFonts w:ascii="Arial" w:hAnsi="Arial" w:cs="Arial"/>
                                <w:w w:val="86"/>
                                <w:sz w:val="14"/>
                                <w:szCs w:val="14"/>
                              </w:rPr>
                              <w:t>. Patrimonio Histórico Navarra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2 Proceso alternativo" o:spid="_x0000_s1041" type="#_x0000_t176" style="position:absolute;left:0;text-align:left;margin-left:372.15pt;margin-top:11.25pt;width:60.4pt;height:24.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proofErr w:type="spellStart"/>
                      <w:r>
                        <w:rPr>
                          <w:rFonts w:ascii="Arial" w:hAnsi="Arial" w:cs="Arial"/>
                          <w:w w:val="86"/>
                          <w:sz w:val="14"/>
                          <w:szCs w:val="14"/>
                        </w:rPr>
                        <w:t>Conserv</w:t>
                      </w:r>
                      <w:proofErr w:type="spellEnd"/>
                      <w:r>
                        <w:rPr>
                          <w:rFonts w:ascii="Arial" w:hAnsi="Arial" w:cs="Arial"/>
                          <w:w w:val="86"/>
                          <w:sz w:val="14"/>
                          <w:szCs w:val="14"/>
                        </w:rPr>
                        <w:t>. Patrimonio Histórico Navarra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93568" behindDoc="0" locked="0" layoutInCell="1" allowOverlap="1" wp14:anchorId="4DC298D2" wp14:editId="3D6D9059">
                <wp:simplePos x="0" y="0"/>
                <wp:positionH relativeFrom="column">
                  <wp:posOffset>-342265</wp:posOffset>
                </wp:positionH>
                <wp:positionV relativeFrom="paragraph">
                  <wp:posOffset>257175</wp:posOffset>
                </wp:positionV>
                <wp:extent cx="2447925" cy="1335405"/>
                <wp:effectExtent l="0" t="0" r="0" b="0"/>
                <wp:wrapNone/>
                <wp:docPr id="51" name="51 Proceso alternativo"/>
                <wp:cNvGraphicFramePr/>
                <a:graphic xmlns:a="http://schemas.openxmlformats.org/drawingml/2006/main">
                  <a:graphicData uri="http://schemas.microsoft.com/office/word/2010/wordprocessingShape">
                    <wps:wsp>
                      <wps:cNvSpPr/>
                      <wps:spPr>
                        <a:xfrm>
                          <a:off x="0" y="0"/>
                          <a:ext cx="2447925" cy="1335405"/>
                        </a:xfrm>
                        <a:prstGeom prst="flowChartAlternateProcess">
                          <a:avLst/>
                        </a:prstGeom>
                        <a:noFill/>
                        <a:ln w="6350" cap="flat" cmpd="sng" algn="ctr">
                          <a:noFill/>
                          <a:prstDash val="solid"/>
                        </a:ln>
                        <a:effectLst/>
                      </wps:spPr>
                      <wps:txbx>
                        <w:txbxContent>
                          <w:p w:rsidR="006A42CC" w:rsidRPr="004A7B7A" w:rsidRDefault="006A42CC" w:rsidP="0028205D">
                            <w:pPr>
                              <w:spacing w:after="120"/>
                              <w:ind w:left="364" w:right="-62" w:firstLine="0"/>
                              <w:jc w:val="left"/>
                              <w:rPr>
                                <w:rFonts w:ascii="Arial" w:hAnsi="Arial" w:cs="Arial"/>
                                <w:w w:val="88"/>
                                <w:sz w:val="16"/>
                                <w:szCs w:val="16"/>
                              </w:rPr>
                            </w:pPr>
                            <w:r w:rsidRPr="004A7B7A">
                              <w:rPr>
                                <w:rFonts w:ascii="Arial" w:hAnsi="Arial" w:cs="Arial"/>
                                <w:w w:val="88"/>
                                <w:sz w:val="16"/>
                                <w:szCs w:val="16"/>
                              </w:rPr>
                              <w:t>ORGANISMOS AUTÓNOMOS</w:t>
                            </w:r>
                          </w:p>
                          <w:p w:rsidR="006A42CC" w:rsidRPr="004A7B7A" w:rsidRDefault="006A42CC" w:rsidP="0028205D">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HTN     Hacienda Tributaria de Navarra</w:t>
                            </w:r>
                          </w:p>
                          <w:p w:rsidR="006A42CC" w:rsidRPr="004A7B7A" w:rsidRDefault="006A42CC" w:rsidP="0028205D">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INAI</w:t>
                            </w:r>
                            <w:r w:rsidRPr="004A7B7A">
                              <w:rPr>
                                <w:rFonts w:ascii="Arial" w:hAnsi="Arial" w:cs="Arial"/>
                                <w:w w:val="88"/>
                                <w:sz w:val="16"/>
                                <w:szCs w:val="16"/>
                              </w:rPr>
                              <w:tab/>
                              <w:t>Instituto Navarro para la Igualdad</w:t>
                            </w:r>
                          </w:p>
                          <w:p w:rsidR="006A42CC" w:rsidRPr="004A7B7A" w:rsidRDefault="006A42CC" w:rsidP="0028205D">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INV/E</w:t>
                            </w:r>
                            <w:r w:rsidRPr="004A7B7A">
                              <w:rPr>
                                <w:rFonts w:ascii="Arial" w:hAnsi="Arial" w:cs="Arial"/>
                                <w:w w:val="88"/>
                                <w:sz w:val="16"/>
                                <w:szCs w:val="16"/>
                              </w:rPr>
                              <w:tab/>
                              <w:t>Instituto Navarro de Vascuence-Euskarabidea</w:t>
                            </w:r>
                          </w:p>
                          <w:p w:rsidR="006A42CC" w:rsidRPr="004A7B7A" w:rsidRDefault="006A42CC" w:rsidP="0028205D">
                            <w:pPr>
                              <w:tabs>
                                <w:tab w:val="left" w:pos="364"/>
                              </w:tabs>
                              <w:spacing w:after="0"/>
                              <w:ind w:left="-112" w:right="-64" w:firstLine="0"/>
                              <w:jc w:val="left"/>
                              <w:rPr>
                                <w:rFonts w:ascii="Arial" w:hAnsi="Arial" w:cs="Arial"/>
                                <w:w w:val="88"/>
                                <w:sz w:val="16"/>
                                <w:szCs w:val="16"/>
                              </w:rPr>
                            </w:pPr>
                            <w:r>
                              <w:rPr>
                                <w:rFonts w:ascii="Arial" w:hAnsi="Arial" w:cs="Arial"/>
                                <w:w w:val="88"/>
                                <w:sz w:val="16"/>
                                <w:szCs w:val="16"/>
                              </w:rPr>
                              <w:t>I</w:t>
                            </w:r>
                            <w:r w:rsidRPr="004A7B7A">
                              <w:rPr>
                                <w:rFonts w:ascii="Arial" w:hAnsi="Arial" w:cs="Arial"/>
                                <w:w w:val="88"/>
                                <w:sz w:val="16"/>
                                <w:szCs w:val="16"/>
                              </w:rPr>
                              <w:t>SPL</w:t>
                            </w:r>
                            <w:r>
                              <w:rPr>
                                <w:rFonts w:ascii="Arial" w:hAnsi="Arial" w:cs="Arial"/>
                                <w:w w:val="88"/>
                                <w:sz w:val="16"/>
                                <w:szCs w:val="16"/>
                              </w:rPr>
                              <w:t>N</w:t>
                            </w:r>
                            <w:r w:rsidRPr="004A7B7A">
                              <w:rPr>
                                <w:rFonts w:ascii="Arial" w:hAnsi="Arial" w:cs="Arial"/>
                                <w:w w:val="88"/>
                                <w:sz w:val="16"/>
                                <w:szCs w:val="16"/>
                              </w:rPr>
                              <w:tab/>
                              <w:t>Instituto de Salud Pública y Laboral</w:t>
                            </w:r>
                            <w:r>
                              <w:rPr>
                                <w:rFonts w:ascii="Arial" w:hAnsi="Arial" w:cs="Arial"/>
                                <w:w w:val="88"/>
                                <w:sz w:val="16"/>
                                <w:szCs w:val="16"/>
                              </w:rPr>
                              <w:t xml:space="preserve"> de Navarra</w:t>
                            </w:r>
                          </w:p>
                          <w:p w:rsidR="006A42CC" w:rsidRPr="004A7B7A" w:rsidRDefault="006A42CC" w:rsidP="0028205D">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SNS-O</w:t>
                            </w:r>
                            <w:r w:rsidRPr="004A7B7A">
                              <w:rPr>
                                <w:rFonts w:ascii="Arial" w:hAnsi="Arial" w:cs="Arial"/>
                                <w:w w:val="88"/>
                                <w:sz w:val="16"/>
                                <w:szCs w:val="16"/>
                              </w:rPr>
                              <w:tab/>
                              <w:t>Servicio Navarro de Salud-</w:t>
                            </w:r>
                            <w:proofErr w:type="spellStart"/>
                            <w:r w:rsidRPr="004A7B7A">
                              <w:rPr>
                                <w:rFonts w:ascii="Arial" w:hAnsi="Arial" w:cs="Arial"/>
                                <w:w w:val="88"/>
                                <w:sz w:val="16"/>
                                <w:szCs w:val="16"/>
                              </w:rPr>
                              <w:t>Osasunbidea</w:t>
                            </w:r>
                            <w:proofErr w:type="spellEnd"/>
                          </w:p>
                          <w:p w:rsidR="006A42CC" w:rsidRPr="004A7B7A" w:rsidRDefault="006A42CC" w:rsidP="0028205D">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INDJ</w:t>
                            </w:r>
                            <w:r w:rsidRPr="004A7B7A">
                              <w:rPr>
                                <w:rFonts w:ascii="Arial" w:hAnsi="Arial" w:cs="Arial"/>
                                <w:w w:val="88"/>
                                <w:sz w:val="16"/>
                                <w:szCs w:val="16"/>
                              </w:rPr>
                              <w:tab/>
                              <w:t>Instituto Navarro de Deporte y Juventud</w:t>
                            </w:r>
                          </w:p>
                          <w:p w:rsidR="006A42CC" w:rsidRPr="004A7B7A" w:rsidRDefault="006A42CC" w:rsidP="0028205D">
                            <w:pPr>
                              <w:tabs>
                                <w:tab w:val="left" w:pos="284"/>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ANAP</w:t>
                            </w:r>
                            <w:r w:rsidRPr="004A7B7A">
                              <w:rPr>
                                <w:rFonts w:ascii="Arial" w:hAnsi="Arial" w:cs="Arial"/>
                                <w:w w:val="88"/>
                                <w:sz w:val="16"/>
                                <w:szCs w:val="16"/>
                              </w:rPr>
                              <w:tab/>
                            </w:r>
                            <w:r>
                              <w:rPr>
                                <w:rFonts w:ascii="Arial" w:hAnsi="Arial" w:cs="Arial"/>
                                <w:w w:val="88"/>
                                <w:sz w:val="16"/>
                                <w:szCs w:val="16"/>
                              </w:rPr>
                              <w:tab/>
                            </w:r>
                            <w:r w:rsidRPr="004A7B7A">
                              <w:rPr>
                                <w:rFonts w:ascii="Arial" w:hAnsi="Arial" w:cs="Arial"/>
                                <w:w w:val="88"/>
                                <w:sz w:val="16"/>
                                <w:szCs w:val="16"/>
                              </w:rPr>
                              <w:t>Ag. Navarra para la Autonomía de las Personas</w:t>
                            </w:r>
                          </w:p>
                          <w:p w:rsidR="006A42CC" w:rsidRPr="004A7B7A" w:rsidRDefault="006A42CC" w:rsidP="0028205D">
                            <w:pPr>
                              <w:tabs>
                                <w:tab w:val="left" w:pos="350"/>
                              </w:tabs>
                              <w:spacing w:after="0"/>
                              <w:ind w:left="-112" w:right="-64" w:firstLine="0"/>
                              <w:jc w:val="left"/>
                              <w:rPr>
                                <w:rFonts w:ascii="Arial" w:hAnsi="Arial" w:cs="Arial"/>
                                <w:w w:val="88"/>
                                <w:sz w:val="16"/>
                                <w:szCs w:val="16"/>
                              </w:rPr>
                            </w:pPr>
                            <w:r w:rsidRPr="004A7B7A">
                              <w:rPr>
                                <w:rFonts w:ascii="Arial" w:hAnsi="Arial" w:cs="Arial"/>
                                <w:w w:val="88"/>
                                <w:sz w:val="16"/>
                                <w:szCs w:val="16"/>
                              </w:rPr>
                              <w:t>SNE</w:t>
                            </w:r>
                            <w:r w:rsidRPr="004A7B7A">
                              <w:rPr>
                                <w:rFonts w:ascii="Arial" w:hAnsi="Arial" w:cs="Arial"/>
                                <w:w w:val="88"/>
                                <w:sz w:val="16"/>
                                <w:szCs w:val="16"/>
                              </w:rPr>
                              <w:tab/>
                              <w:t>Servicio Navarro de Empleo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1 Proceso alternativo" o:spid="_x0000_s1042" type="#_x0000_t176" style="position:absolute;left:0;text-align:left;margin-left:-26.95pt;margin-top:20.25pt;width:192.75pt;height:105.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" filled="f" stroked="f" strokeweight=".5pt">
                <v:textbox>
                  <w:txbxContent>
                    <w:p w:rsidR="006A42CC" w:rsidRPr="004A7B7A" w:rsidRDefault="006A42CC" w:rsidP="0028205D">
                      <w:pPr>
                        <w:spacing w:after="120"/>
                        <w:ind w:left="364" w:right="-62" w:firstLine="0"/>
                        <w:jc w:val="left"/>
                        <w:rPr>
                          <w:rFonts w:ascii="Arial" w:hAnsi="Arial" w:cs="Arial"/>
                          <w:w w:val="88"/>
                          <w:sz w:val="16"/>
                          <w:szCs w:val="16"/>
                        </w:rPr>
                      </w:pPr>
                      <w:r w:rsidRPr="004A7B7A">
                        <w:rPr>
                          <w:rFonts w:ascii="Arial" w:hAnsi="Arial" w:cs="Arial"/>
                          <w:w w:val="88"/>
                          <w:sz w:val="16"/>
                          <w:szCs w:val="16"/>
                        </w:rPr>
                        <w:t>ORGANISMOS AUTÓNOMOS</w:t>
                      </w:r>
                    </w:p>
                    <w:p w:rsidR="006A42CC" w:rsidRPr="004A7B7A" w:rsidRDefault="006A42CC" w:rsidP="0028205D">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HTN     Hacienda Tributaria de Navarra</w:t>
                      </w:r>
                    </w:p>
                    <w:p w:rsidR="006A42CC" w:rsidRPr="004A7B7A" w:rsidRDefault="006A42CC" w:rsidP="0028205D">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INAI</w:t>
                      </w:r>
                      <w:r w:rsidRPr="004A7B7A">
                        <w:rPr>
                          <w:rFonts w:ascii="Arial" w:hAnsi="Arial" w:cs="Arial"/>
                          <w:w w:val="88"/>
                          <w:sz w:val="16"/>
                          <w:szCs w:val="16"/>
                        </w:rPr>
                        <w:tab/>
                        <w:t>Instituto Navarro para la Igualdad</w:t>
                      </w:r>
                    </w:p>
                    <w:p w:rsidR="006A42CC" w:rsidRPr="004A7B7A" w:rsidRDefault="006A42CC" w:rsidP="0028205D">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INV/E</w:t>
                      </w:r>
                      <w:r w:rsidRPr="004A7B7A">
                        <w:rPr>
                          <w:rFonts w:ascii="Arial" w:hAnsi="Arial" w:cs="Arial"/>
                          <w:w w:val="88"/>
                          <w:sz w:val="16"/>
                          <w:szCs w:val="16"/>
                        </w:rPr>
                        <w:tab/>
                        <w:t>Instituto Navarro de Vascuence-Euskarabidea</w:t>
                      </w:r>
                    </w:p>
                    <w:p w:rsidR="006A42CC" w:rsidRPr="004A7B7A" w:rsidRDefault="006A42CC" w:rsidP="0028205D">
                      <w:pPr>
                        <w:tabs>
                          <w:tab w:val="left" w:pos="364"/>
                        </w:tabs>
                        <w:spacing w:after="0"/>
                        <w:ind w:left="-112" w:right="-64" w:firstLine="0"/>
                        <w:jc w:val="left"/>
                        <w:rPr>
                          <w:rFonts w:ascii="Arial" w:hAnsi="Arial" w:cs="Arial"/>
                          <w:w w:val="88"/>
                          <w:sz w:val="16"/>
                          <w:szCs w:val="16"/>
                        </w:rPr>
                      </w:pPr>
                      <w:r>
                        <w:rPr>
                          <w:rFonts w:ascii="Arial" w:hAnsi="Arial" w:cs="Arial"/>
                          <w:w w:val="88"/>
                          <w:sz w:val="16"/>
                          <w:szCs w:val="16"/>
                        </w:rPr>
                        <w:t>I</w:t>
                      </w:r>
                      <w:r w:rsidRPr="004A7B7A">
                        <w:rPr>
                          <w:rFonts w:ascii="Arial" w:hAnsi="Arial" w:cs="Arial"/>
                          <w:w w:val="88"/>
                          <w:sz w:val="16"/>
                          <w:szCs w:val="16"/>
                        </w:rPr>
                        <w:t>SPL</w:t>
                      </w:r>
                      <w:r>
                        <w:rPr>
                          <w:rFonts w:ascii="Arial" w:hAnsi="Arial" w:cs="Arial"/>
                          <w:w w:val="88"/>
                          <w:sz w:val="16"/>
                          <w:szCs w:val="16"/>
                        </w:rPr>
                        <w:t>N</w:t>
                      </w:r>
                      <w:r w:rsidRPr="004A7B7A">
                        <w:rPr>
                          <w:rFonts w:ascii="Arial" w:hAnsi="Arial" w:cs="Arial"/>
                          <w:w w:val="88"/>
                          <w:sz w:val="16"/>
                          <w:szCs w:val="16"/>
                        </w:rPr>
                        <w:tab/>
                        <w:t>Instituto de Salud Pública y Laboral</w:t>
                      </w:r>
                      <w:r>
                        <w:rPr>
                          <w:rFonts w:ascii="Arial" w:hAnsi="Arial" w:cs="Arial"/>
                          <w:w w:val="88"/>
                          <w:sz w:val="16"/>
                          <w:szCs w:val="16"/>
                        </w:rPr>
                        <w:t xml:space="preserve"> de Navarra</w:t>
                      </w:r>
                    </w:p>
                    <w:p w:rsidR="006A42CC" w:rsidRPr="004A7B7A" w:rsidRDefault="006A42CC" w:rsidP="0028205D">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SNS-O</w:t>
                      </w:r>
                      <w:r w:rsidRPr="004A7B7A">
                        <w:rPr>
                          <w:rFonts w:ascii="Arial" w:hAnsi="Arial" w:cs="Arial"/>
                          <w:w w:val="88"/>
                          <w:sz w:val="16"/>
                          <w:szCs w:val="16"/>
                        </w:rPr>
                        <w:tab/>
                        <w:t>Servicio Navarro de Salud-</w:t>
                      </w:r>
                      <w:proofErr w:type="spellStart"/>
                      <w:r w:rsidRPr="004A7B7A">
                        <w:rPr>
                          <w:rFonts w:ascii="Arial" w:hAnsi="Arial" w:cs="Arial"/>
                          <w:w w:val="88"/>
                          <w:sz w:val="16"/>
                          <w:szCs w:val="16"/>
                        </w:rPr>
                        <w:t>Osasunbidea</w:t>
                      </w:r>
                      <w:proofErr w:type="spellEnd"/>
                    </w:p>
                    <w:p w:rsidR="006A42CC" w:rsidRPr="004A7B7A" w:rsidRDefault="006A42CC" w:rsidP="0028205D">
                      <w:pPr>
                        <w:tabs>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INDJ</w:t>
                      </w:r>
                      <w:r w:rsidRPr="004A7B7A">
                        <w:rPr>
                          <w:rFonts w:ascii="Arial" w:hAnsi="Arial" w:cs="Arial"/>
                          <w:w w:val="88"/>
                          <w:sz w:val="16"/>
                          <w:szCs w:val="16"/>
                        </w:rPr>
                        <w:tab/>
                        <w:t>Instituto Navarro de Deporte y Juventud</w:t>
                      </w:r>
                    </w:p>
                    <w:p w:rsidR="006A42CC" w:rsidRPr="004A7B7A" w:rsidRDefault="006A42CC" w:rsidP="0028205D">
                      <w:pPr>
                        <w:tabs>
                          <w:tab w:val="left" w:pos="284"/>
                          <w:tab w:val="left" w:pos="364"/>
                        </w:tabs>
                        <w:spacing w:after="0"/>
                        <w:ind w:left="-112" w:right="-64" w:firstLine="0"/>
                        <w:jc w:val="left"/>
                        <w:rPr>
                          <w:rFonts w:ascii="Arial" w:hAnsi="Arial" w:cs="Arial"/>
                          <w:w w:val="88"/>
                          <w:sz w:val="16"/>
                          <w:szCs w:val="16"/>
                        </w:rPr>
                      </w:pPr>
                      <w:r w:rsidRPr="004A7B7A">
                        <w:rPr>
                          <w:rFonts w:ascii="Arial" w:hAnsi="Arial" w:cs="Arial"/>
                          <w:w w:val="88"/>
                          <w:sz w:val="16"/>
                          <w:szCs w:val="16"/>
                        </w:rPr>
                        <w:t>ANAP</w:t>
                      </w:r>
                      <w:r w:rsidRPr="004A7B7A">
                        <w:rPr>
                          <w:rFonts w:ascii="Arial" w:hAnsi="Arial" w:cs="Arial"/>
                          <w:w w:val="88"/>
                          <w:sz w:val="16"/>
                          <w:szCs w:val="16"/>
                        </w:rPr>
                        <w:tab/>
                      </w:r>
                      <w:r>
                        <w:rPr>
                          <w:rFonts w:ascii="Arial" w:hAnsi="Arial" w:cs="Arial"/>
                          <w:w w:val="88"/>
                          <w:sz w:val="16"/>
                          <w:szCs w:val="16"/>
                        </w:rPr>
                        <w:tab/>
                      </w:r>
                      <w:r w:rsidRPr="004A7B7A">
                        <w:rPr>
                          <w:rFonts w:ascii="Arial" w:hAnsi="Arial" w:cs="Arial"/>
                          <w:w w:val="88"/>
                          <w:sz w:val="16"/>
                          <w:szCs w:val="16"/>
                        </w:rPr>
                        <w:t>Ag. Navarra para la Autonomía de las Personas</w:t>
                      </w:r>
                    </w:p>
                    <w:p w:rsidR="006A42CC" w:rsidRPr="004A7B7A" w:rsidRDefault="006A42CC" w:rsidP="0028205D">
                      <w:pPr>
                        <w:tabs>
                          <w:tab w:val="left" w:pos="350"/>
                        </w:tabs>
                        <w:spacing w:after="0"/>
                        <w:ind w:left="-112" w:right="-64" w:firstLine="0"/>
                        <w:jc w:val="left"/>
                        <w:rPr>
                          <w:rFonts w:ascii="Arial" w:hAnsi="Arial" w:cs="Arial"/>
                          <w:w w:val="88"/>
                          <w:sz w:val="16"/>
                          <w:szCs w:val="16"/>
                        </w:rPr>
                      </w:pPr>
                      <w:r w:rsidRPr="004A7B7A">
                        <w:rPr>
                          <w:rFonts w:ascii="Arial" w:hAnsi="Arial" w:cs="Arial"/>
                          <w:w w:val="88"/>
                          <w:sz w:val="16"/>
                          <w:szCs w:val="16"/>
                        </w:rPr>
                        <w:t>SNE</w:t>
                      </w:r>
                      <w:r w:rsidRPr="004A7B7A">
                        <w:rPr>
                          <w:rFonts w:ascii="Arial" w:hAnsi="Arial" w:cs="Arial"/>
                          <w:w w:val="88"/>
                          <w:sz w:val="16"/>
                          <w:szCs w:val="16"/>
                        </w:rPr>
                        <w:tab/>
                        <w:t>Servicio Navarro de Empleo</w:t>
                      </w:r>
                    </w:p>
                  </w:txbxContent>
                </v:textbox>
              </v:shape>
            </w:pict>
          </mc:Fallback>
        </mc:AlternateContent>
      </w:r>
      <w:r>
        <w:rPr>
          <w:noProof/>
          <w:lang w:val="es-ES" w:eastAsia="es-ES"/>
        </w:rPr>
        <mc:AlternateContent>
          <mc:Choice Requires="wps">
            <w:drawing>
              <wp:anchor distT="0" distB="0" distL="114300" distR="114300" simplePos="0" relativeHeight="251723264" behindDoc="0" locked="0" layoutInCell="1" allowOverlap="1" wp14:anchorId="2F477AED" wp14:editId="6443B2B5">
                <wp:simplePos x="0" y="0"/>
                <wp:positionH relativeFrom="column">
                  <wp:posOffset>5492115</wp:posOffset>
                </wp:positionH>
                <wp:positionV relativeFrom="paragraph">
                  <wp:posOffset>38100</wp:posOffset>
                </wp:positionV>
                <wp:extent cx="307975" cy="0"/>
                <wp:effectExtent l="0" t="0" r="15875" b="19050"/>
                <wp:wrapNone/>
                <wp:docPr id="103" name="103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3 Conector recto" o:spid="_x0000_s1026" style="position:absolute;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3pt" to="456.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682304" behindDoc="0" locked="0" layoutInCell="1" allowOverlap="1" wp14:anchorId="142BB714" wp14:editId="6C1B2E43">
                <wp:simplePos x="0" y="0"/>
                <wp:positionH relativeFrom="column">
                  <wp:posOffset>3577590</wp:posOffset>
                </wp:positionH>
                <wp:positionV relativeFrom="paragraph">
                  <wp:posOffset>979170</wp:posOffset>
                </wp:positionV>
                <wp:extent cx="505460" cy="225425"/>
                <wp:effectExtent l="0" t="0" r="27940" b="22225"/>
                <wp:wrapNone/>
                <wp:docPr id="35" name="35 Proceso alternativo"/>
                <wp:cNvGraphicFramePr/>
                <a:graphic xmlns:a="http://schemas.openxmlformats.org/drawingml/2006/main">
                  <a:graphicData uri="http://schemas.microsoft.com/office/word/2010/wordprocessingShape">
                    <wps:wsp>
                      <wps:cNvSpPr/>
                      <wps:spPr>
                        <a:xfrm>
                          <a:off x="0" y="0"/>
                          <a:ext cx="505460" cy="225425"/>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cs="Arial"/>
                                <w:w w:val="86"/>
                                <w:sz w:val="14"/>
                                <w:szCs w:val="14"/>
                              </w:rPr>
                              <w:t>INV/E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5 Proceso alternativo" o:spid="_x0000_s1043" type="#_x0000_t176" style="position:absolute;left:0;text-align:left;margin-left:281.7pt;margin-top:77.1pt;width:39.8pt;height:17.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cs="Arial"/>
                          <w:w w:val="86"/>
                          <w:sz w:val="14"/>
                          <w:szCs w:val="14"/>
                        </w:rPr>
                        <w:t>INV/E</w:t>
                      </w:r>
                    </w:p>
                  </w:txbxContent>
                </v:textbox>
              </v:shape>
            </w:pict>
          </mc:Fallback>
        </mc:AlternateContent>
      </w:r>
      <w:r>
        <w:rPr>
          <w:noProof/>
          <w:lang w:val="es-ES" w:eastAsia="es-ES"/>
        </w:rPr>
        <mc:AlternateContent>
          <mc:Choice Requires="wps">
            <w:drawing>
              <wp:anchor distT="0" distB="0" distL="114300" distR="114300" simplePos="0" relativeHeight="251680256" behindDoc="0" locked="0" layoutInCell="1" allowOverlap="1" wp14:anchorId="69CAC2CA" wp14:editId="229FA25D">
                <wp:simplePos x="0" y="0"/>
                <wp:positionH relativeFrom="column">
                  <wp:posOffset>3577590</wp:posOffset>
                </wp:positionH>
                <wp:positionV relativeFrom="paragraph">
                  <wp:posOffset>186690</wp:posOffset>
                </wp:positionV>
                <wp:extent cx="505460" cy="225425"/>
                <wp:effectExtent l="0" t="0" r="27940" b="22225"/>
                <wp:wrapNone/>
                <wp:docPr id="33" name="33 Proceso alternativo"/>
                <wp:cNvGraphicFramePr/>
                <a:graphic xmlns:a="http://schemas.openxmlformats.org/drawingml/2006/main">
                  <a:graphicData uri="http://schemas.microsoft.com/office/word/2010/wordprocessingShape">
                    <wps:wsp>
                      <wps:cNvSpPr/>
                      <wps:spPr>
                        <a:xfrm>
                          <a:off x="0" y="0"/>
                          <a:ext cx="505460" cy="225425"/>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cs="Arial"/>
                                <w:w w:val="86"/>
                                <w:sz w:val="14"/>
                                <w:szCs w:val="14"/>
                              </w:rPr>
                              <w:t>HTN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3 Proceso alternativo" o:spid="_x0000_s1044" type="#_x0000_t176" style="position:absolute;left:0;text-align:left;margin-left:281.7pt;margin-top:14.7pt;width:39.8pt;height:17.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cs="Arial"/>
                          <w:w w:val="86"/>
                          <w:sz w:val="14"/>
                          <w:szCs w:val="14"/>
                        </w:rPr>
                        <w:t>HTN</w:t>
                      </w:r>
                    </w:p>
                  </w:txbxContent>
                </v:textbox>
              </v:shape>
            </w:pict>
          </mc:Fallback>
        </mc:AlternateContent>
      </w:r>
      <w:r>
        <w:rPr>
          <w:noProof/>
          <w:lang w:val="es-ES" w:eastAsia="es-ES"/>
        </w:rPr>
        <mc:AlternateContent>
          <mc:Choice Requires="wps">
            <w:drawing>
              <wp:anchor distT="0" distB="0" distL="114300" distR="114300" simplePos="0" relativeHeight="251673088" behindDoc="0" locked="0" layoutInCell="1" allowOverlap="1" wp14:anchorId="6124A199" wp14:editId="5558664A">
                <wp:simplePos x="0" y="0"/>
                <wp:positionH relativeFrom="column">
                  <wp:posOffset>2472563</wp:posOffset>
                </wp:positionH>
                <wp:positionV relativeFrom="paragraph">
                  <wp:posOffset>132207</wp:posOffset>
                </wp:positionV>
                <wp:extent cx="767080" cy="316992"/>
                <wp:effectExtent l="0" t="0" r="13970" b="26035"/>
                <wp:wrapNone/>
                <wp:docPr id="25" name="25 Proceso alternativo"/>
                <wp:cNvGraphicFramePr/>
                <a:graphic xmlns:a="http://schemas.openxmlformats.org/drawingml/2006/main">
                  <a:graphicData uri="http://schemas.microsoft.com/office/word/2010/wordprocessingShape">
                    <wps:wsp>
                      <wps:cNvSpPr/>
                      <wps:spPr>
                        <a:xfrm>
                          <a:off x="0" y="0"/>
                          <a:ext cx="767080" cy="316992"/>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r w:rsidRPr="00C33468">
                              <w:rPr>
                                <w:rFonts w:ascii="Arial" w:hAnsi="Arial" w:cs="Arial"/>
                                <w:w w:val="86"/>
                                <w:sz w:val="14"/>
                                <w:szCs w:val="14"/>
                              </w:rPr>
                              <w:t>Hacienda y Política Financiera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5 Proceso alternativo" o:spid="_x0000_s1045" type="#_x0000_t176" style="position:absolute;left:0;text-align:left;margin-left:194.7pt;margin-top:10.4pt;width:60.4pt;height:24.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r w:rsidRPr="00C33468">
                        <w:rPr>
                          <w:rFonts w:ascii="Arial" w:hAnsi="Arial" w:cs="Arial"/>
                          <w:w w:val="86"/>
                          <w:sz w:val="14"/>
                          <w:szCs w:val="14"/>
                        </w:rPr>
                        <w:t>Hacienda y Política Financiera</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18144" behindDoc="0" locked="0" layoutInCell="1" allowOverlap="1" wp14:anchorId="3B58FA74" wp14:editId="5F8CF840">
                <wp:simplePos x="0" y="0"/>
                <wp:positionH relativeFrom="column">
                  <wp:posOffset>4087495</wp:posOffset>
                </wp:positionH>
                <wp:positionV relativeFrom="paragraph">
                  <wp:posOffset>35560</wp:posOffset>
                </wp:positionV>
                <wp:extent cx="151131" cy="0"/>
                <wp:effectExtent l="0" t="0" r="20320" b="19050"/>
                <wp:wrapNone/>
                <wp:docPr id="98" name="98 Conector recto"/>
                <wp:cNvGraphicFramePr/>
                <a:graphic xmlns:a="http://schemas.openxmlformats.org/drawingml/2006/main">
                  <a:graphicData uri="http://schemas.microsoft.com/office/word/2010/wordprocessingShape">
                    <wps:wsp>
                      <wps:cNvCnPr/>
                      <wps:spPr>
                        <a:xfrm flipH="1">
                          <a:off x="0" y="0"/>
                          <a:ext cx="1511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8 Conector recto" o:spid="_x0000_s1026" style="position:absolute;flip:x;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2.8pt" to="333.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706880" behindDoc="0" locked="0" layoutInCell="1" allowOverlap="1" wp14:anchorId="3E1C8D5C" wp14:editId="6867E1A7">
                <wp:simplePos x="0" y="0"/>
                <wp:positionH relativeFrom="column">
                  <wp:posOffset>3239136</wp:posOffset>
                </wp:positionH>
                <wp:positionV relativeFrom="paragraph">
                  <wp:posOffset>35560</wp:posOffset>
                </wp:positionV>
                <wp:extent cx="342899" cy="0"/>
                <wp:effectExtent l="0" t="0" r="19685" b="19050"/>
                <wp:wrapNone/>
                <wp:docPr id="86" name="86 Conector recto"/>
                <wp:cNvGraphicFramePr/>
                <a:graphic xmlns:a="http://schemas.openxmlformats.org/drawingml/2006/main">
                  <a:graphicData uri="http://schemas.microsoft.com/office/word/2010/wordprocessingShape">
                    <wps:wsp>
                      <wps:cNvCnPr/>
                      <wps:spPr>
                        <a:xfrm flipH="1">
                          <a:off x="0" y="0"/>
                          <a:ext cx="342899"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6 Conector recto" o:spid="_x0000_s1026" style="position:absolute;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2.8pt" to="282.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699712" behindDoc="0" locked="0" layoutInCell="1" allowOverlap="1" wp14:anchorId="7448BEB3" wp14:editId="25C8BC9C">
                <wp:simplePos x="0" y="0"/>
                <wp:positionH relativeFrom="column">
                  <wp:posOffset>2353310</wp:posOffset>
                </wp:positionH>
                <wp:positionV relativeFrom="paragraph">
                  <wp:posOffset>35560</wp:posOffset>
                </wp:positionV>
                <wp:extent cx="114300" cy="0"/>
                <wp:effectExtent l="0" t="0" r="19050" b="19050"/>
                <wp:wrapNone/>
                <wp:docPr id="79" name="79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79 Conector recto"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2.8pt" to="194.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690496" behindDoc="0" locked="0" layoutInCell="1" allowOverlap="1" wp14:anchorId="20F86F96" wp14:editId="75DD88D5">
                <wp:simplePos x="0" y="0"/>
                <wp:positionH relativeFrom="column">
                  <wp:posOffset>4726305</wp:posOffset>
                </wp:positionH>
                <wp:positionV relativeFrom="paragraph">
                  <wp:posOffset>182880</wp:posOffset>
                </wp:positionV>
                <wp:extent cx="767080" cy="316865"/>
                <wp:effectExtent l="0" t="0" r="13970" b="26035"/>
                <wp:wrapNone/>
                <wp:docPr id="43" name="43 Proceso alternativo"/>
                <wp:cNvGraphicFramePr/>
                <a:graphic xmlns:a="http://schemas.openxmlformats.org/drawingml/2006/main">
                  <a:graphicData uri="http://schemas.microsoft.com/office/word/2010/wordprocessingShape">
                    <wps:wsp>
                      <wps:cNvSpPr/>
                      <wps:spPr>
                        <a:xfrm>
                          <a:off x="0" y="0"/>
                          <a:ext cx="767080" cy="316865"/>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cs="Arial"/>
                                <w:w w:val="86"/>
                                <w:sz w:val="14"/>
                                <w:szCs w:val="14"/>
                              </w:rPr>
                              <w:t>Tutela de Personas Adultas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3 Proceso alternativo" o:spid="_x0000_s1046" type="#_x0000_t176" style="position:absolute;left:0;text-align:left;margin-left:372.15pt;margin-top:14.4pt;width:60.4pt;height:24.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cs="Arial"/>
                          <w:w w:val="86"/>
                          <w:sz w:val="14"/>
                          <w:szCs w:val="14"/>
                        </w:rPr>
                        <w:t>Tutela de Personas Adultas</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22240" behindDoc="0" locked="0" layoutInCell="1" allowOverlap="1" wp14:anchorId="4ED74E30" wp14:editId="34DF5630">
                <wp:simplePos x="0" y="0"/>
                <wp:positionH relativeFrom="column">
                  <wp:posOffset>5492115</wp:posOffset>
                </wp:positionH>
                <wp:positionV relativeFrom="paragraph">
                  <wp:posOffset>52070</wp:posOffset>
                </wp:positionV>
                <wp:extent cx="307975" cy="0"/>
                <wp:effectExtent l="0" t="0" r="15875" b="19050"/>
                <wp:wrapNone/>
                <wp:docPr id="102" name="102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2 Conector recto"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4.1pt" to="456.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719168" behindDoc="0" locked="0" layoutInCell="1" allowOverlap="1" wp14:anchorId="76FA459A" wp14:editId="7A4D20CC">
                <wp:simplePos x="0" y="0"/>
                <wp:positionH relativeFrom="column">
                  <wp:posOffset>3239135</wp:posOffset>
                </wp:positionH>
                <wp:positionV relativeFrom="paragraph">
                  <wp:posOffset>156845</wp:posOffset>
                </wp:positionV>
                <wp:extent cx="342900" cy="144145"/>
                <wp:effectExtent l="0" t="0" r="19050" b="27305"/>
                <wp:wrapNone/>
                <wp:docPr id="99" name="99 Conector recto"/>
                <wp:cNvGraphicFramePr/>
                <a:graphic xmlns:a="http://schemas.openxmlformats.org/drawingml/2006/main">
                  <a:graphicData uri="http://schemas.microsoft.com/office/word/2010/wordprocessingShape">
                    <wps:wsp>
                      <wps:cNvCnPr/>
                      <wps:spPr>
                        <a:xfrm flipH="1">
                          <a:off x="0" y="0"/>
                          <a:ext cx="342900" cy="14414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9 Conector recto" o:spid="_x0000_s1026" style="position:absolute;flip:x;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12.35pt" to="282.0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" strokecolor="windowText" strokeweight=".5pt"/>
            </w:pict>
          </mc:Fallback>
        </mc:AlternateContent>
      </w:r>
      <w:r>
        <w:rPr>
          <w:noProof/>
          <w:lang w:val="es-ES" w:eastAsia="es-ES"/>
        </w:rPr>
        <mc:AlternateContent>
          <mc:Choice Requires="wps">
            <w:drawing>
              <wp:anchor distT="0" distB="0" distL="114300" distR="114300" simplePos="0" relativeHeight="251717120" behindDoc="0" locked="0" layoutInCell="1" allowOverlap="1" wp14:anchorId="7BF03C0D" wp14:editId="4A3CA7FF">
                <wp:simplePos x="0" y="0"/>
                <wp:positionH relativeFrom="column">
                  <wp:posOffset>4087495</wp:posOffset>
                </wp:positionH>
                <wp:positionV relativeFrom="paragraph">
                  <wp:posOffset>156845</wp:posOffset>
                </wp:positionV>
                <wp:extent cx="151131" cy="0"/>
                <wp:effectExtent l="0" t="0" r="20320" b="19050"/>
                <wp:wrapNone/>
                <wp:docPr id="97" name="97 Conector recto"/>
                <wp:cNvGraphicFramePr/>
                <a:graphic xmlns:a="http://schemas.openxmlformats.org/drawingml/2006/main">
                  <a:graphicData uri="http://schemas.microsoft.com/office/word/2010/wordprocessingShape">
                    <wps:wsp>
                      <wps:cNvCnPr/>
                      <wps:spPr>
                        <a:xfrm flipH="1">
                          <a:off x="0" y="0"/>
                          <a:ext cx="1511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7 Conector recto" o:spid="_x0000_s1026" style="position:absolute;flip:x;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12.35pt" to="333.7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" strokecolor="windowText" strokeweight=".5pt"/>
            </w:pict>
          </mc:Fallback>
        </mc:AlternateContent>
      </w:r>
      <w:r>
        <w:rPr>
          <w:noProof/>
          <w:lang w:val="es-ES" w:eastAsia="es-ES"/>
        </w:rPr>
        <mc:AlternateContent>
          <mc:Choice Requires="wps">
            <w:drawing>
              <wp:anchor distT="0" distB="0" distL="114300" distR="114300" simplePos="0" relativeHeight="251681280" behindDoc="0" locked="0" layoutInCell="1" allowOverlap="1" wp14:anchorId="1405C36C" wp14:editId="3C26BB49">
                <wp:simplePos x="0" y="0"/>
                <wp:positionH relativeFrom="column">
                  <wp:posOffset>3577590</wp:posOffset>
                </wp:positionH>
                <wp:positionV relativeFrom="paragraph">
                  <wp:posOffset>55880</wp:posOffset>
                </wp:positionV>
                <wp:extent cx="505968" cy="225552"/>
                <wp:effectExtent l="0" t="0" r="27940" b="22225"/>
                <wp:wrapNone/>
                <wp:docPr id="34" name="34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cs="Arial"/>
                                <w:w w:val="86"/>
                                <w:sz w:val="14"/>
                                <w:szCs w:val="14"/>
                              </w:rPr>
                              <w:t>INAI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4 Proceso alternativo" o:spid="_x0000_s1047" type="#_x0000_t176" style="position:absolute;left:0;text-align:left;margin-left:281.7pt;margin-top:4.4pt;width:39.85pt;height:17.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cs="Arial"/>
                          <w:w w:val="86"/>
                          <w:sz w:val="14"/>
                          <w:szCs w:val="14"/>
                        </w:rPr>
                        <w:t>INAI</w:t>
                      </w:r>
                    </w:p>
                  </w:txbxContent>
                </v:textbox>
              </v:shape>
            </w:pict>
          </mc:Fallback>
        </mc:AlternateContent>
      </w:r>
      <w:r>
        <w:rPr>
          <w:noProof/>
          <w:lang w:val="es-ES" w:eastAsia="es-ES"/>
        </w:rPr>
        <mc:AlternateContent>
          <mc:Choice Requires="wps">
            <w:drawing>
              <wp:anchor distT="0" distB="0" distL="114300" distR="114300" simplePos="0" relativeHeight="251674112" behindDoc="0" locked="0" layoutInCell="1" allowOverlap="1" wp14:anchorId="34EBAA13" wp14:editId="4FE86A7A">
                <wp:simplePos x="0" y="0"/>
                <wp:positionH relativeFrom="column">
                  <wp:posOffset>2472055</wp:posOffset>
                </wp:positionH>
                <wp:positionV relativeFrom="paragraph">
                  <wp:posOffset>104775</wp:posOffset>
                </wp:positionV>
                <wp:extent cx="767080" cy="505968"/>
                <wp:effectExtent l="0" t="0" r="13970" b="27940"/>
                <wp:wrapNone/>
                <wp:docPr id="26" name="26 Proceso alternativo"/>
                <wp:cNvGraphicFramePr/>
                <a:graphic xmlns:a="http://schemas.openxmlformats.org/drawingml/2006/main">
                  <a:graphicData uri="http://schemas.microsoft.com/office/word/2010/wordprocessingShape">
                    <wps:wsp>
                      <wps:cNvSpPr/>
                      <wps:spPr>
                        <a:xfrm>
                          <a:off x="0" y="0"/>
                          <a:ext cx="767080" cy="505968"/>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cs="Arial"/>
                                <w:w w:val="88"/>
                                <w:sz w:val="14"/>
                                <w:szCs w:val="14"/>
                              </w:rPr>
                              <w:t>Relaciones Ciudadanas e Institucionales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6 Proceso alternativo" o:spid="_x0000_s1048" type="#_x0000_t176" style="position:absolute;left:0;text-align:left;margin-left:194.65pt;margin-top:8.25pt;width:60.4pt;height:39.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" filled="f" strokecolor="windowText" strokeweight=".5pt">
                <v:textbo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cs="Arial"/>
                          <w:w w:val="88"/>
                          <w:sz w:val="14"/>
                          <w:szCs w:val="14"/>
                        </w:rPr>
                        <w:t>Relaciones Ciudadanas e Institucionales</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39648" behindDoc="0" locked="0" layoutInCell="1" allowOverlap="1" wp14:anchorId="2249A06A" wp14:editId="7D9BD107">
                <wp:simplePos x="0" y="0"/>
                <wp:positionH relativeFrom="column">
                  <wp:posOffset>4083368</wp:posOffset>
                </wp:positionH>
                <wp:positionV relativeFrom="paragraph">
                  <wp:posOffset>259080</wp:posOffset>
                </wp:positionV>
                <wp:extent cx="151131" cy="0"/>
                <wp:effectExtent l="0" t="0" r="20320" b="19050"/>
                <wp:wrapNone/>
                <wp:docPr id="9" name="9 Conector recto"/>
                <wp:cNvGraphicFramePr/>
                <a:graphic xmlns:a="http://schemas.openxmlformats.org/drawingml/2006/main">
                  <a:graphicData uri="http://schemas.microsoft.com/office/word/2010/wordprocessingShape">
                    <wps:wsp>
                      <wps:cNvCnPr/>
                      <wps:spPr>
                        <a:xfrm flipH="1">
                          <a:off x="0" y="0"/>
                          <a:ext cx="1511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 Conector recto" o:spid="_x0000_s1026" style="position:absolute;flip:x;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55pt,20.4pt" to="333.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720192" behindDoc="0" locked="0" layoutInCell="1" allowOverlap="1" wp14:anchorId="5DAF0788" wp14:editId="1EC0CE57">
                <wp:simplePos x="0" y="0"/>
                <wp:positionH relativeFrom="column">
                  <wp:posOffset>3239135</wp:posOffset>
                </wp:positionH>
                <wp:positionV relativeFrom="paragraph">
                  <wp:posOffset>144780</wp:posOffset>
                </wp:positionV>
                <wp:extent cx="342900" cy="114300"/>
                <wp:effectExtent l="0" t="0" r="19050" b="19050"/>
                <wp:wrapNone/>
                <wp:docPr id="100" name="100 Conector recto"/>
                <wp:cNvGraphicFramePr/>
                <a:graphic xmlns:a="http://schemas.openxmlformats.org/drawingml/2006/main">
                  <a:graphicData uri="http://schemas.microsoft.com/office/word/2010/wordprocessingShape">
                    <wps:wsp>
                      <wps:cNvCnPr/>
                      <wps:spPr>
                        <a:xfrm flipH="1" flipV="1">
                          <a:off x="0" y="0"/>
                          <a:ext cx="342900" cy="11430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0 Conector recto" o:spid="_x0000_s1026" style="position:absolute;flip:x y;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11.4pt" to="282.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" strokecolor="windowText" strokeweight=".5pt"/>
            </w:pict>
          </mc:Fallback>
        </mc:AlternateContent>
      </w:r>
      <w:r>
        <w:rPr>
          <w:noProof/>
          <w:lang w:val="es-ES" w:eastAsia="es-ES"/>
        </w:rPr>
        <mc:AlternateContent>
          <mc:Choice Requires="wps">
            <w:drawing>
              <wp:anchor distT="0" distB="0" distL="114300" distR="114300" simplePos="0" relativeHeight="251700736" behindDoc="0" locked="0" layoutInCell="1" allowOverlap="1" wp14:anchorId="65B8A297" wp14:editId="77426387">
                <wp:simplePos x="0" y="0"/>
                <wp:positionH relativeFrom="column">
                  <wp:posOffset>2353310</wp:posOffset>
                </wp:positionH>
                <wp:positionV relativeFrom="paragraph">
                  <wp:posOffset>97155</wp:posOffset>
                </wp:positionV>
                <wp:extent cx="114300" cy="0"/>
                <wp:effectExtent l="0" t="0" r="19050" b="19050"/>
                <wp:wrapNone/>
                <wp:docPr id="80" name="80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0 Conector recto" o:spid="_x0000_s1026"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7.65pt" to="194.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691520" behindDoc="0" locked="0" layoutInCell="1" allowOverlap="1" wp14:anchorId="48F128BB" wp14:editId="66B45CFB">
                <wp:simplePos x="0" y="0"/>
                <wp:positionH relativeFrom="column">
                  <wp:posOffset>4726305</wp:posOffset>
                </wp:positionH>
                <wp:positionV relativeFrom="paragraph">
                  <wp:posOffset>256540</wp:posOffset>
                </wp:positionV>
                <wp:extent cx="767080" cy="249555"/>
                <wp:effectExtent l="0" t="0" r="13970" b="17145"/>
                <wp:wrapNone/>
                <wp:docPr id="44" name="44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cs="Arial"/>
                                <w:w w:val="88"/>
                                <w:sz w:val="14"/>
                                <w:szCs w:val="14"/>
                              </w:rPr>
                              <w:t>Baluarte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4 Proceso alternativo" o:spid="_x0000_s1049" type="#_x0000_t176" style="position:absolute;left:0;text-align:left;margin-left:372.15pt;margin-top:20.2pt;width:60.4pt;height:19.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" filled="f" strokecolor="windowText" strokeweight=".5pt">
                <v:textbo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cs="Arial"/>
                          <w:w w:val="88"/>
                          <w:sz w:val="14"/>
                          <w:szCs w:val="14"/>
                        </w:rPr>
                        <w:t>Baluarte</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16096" behindDoc="0" locked="0" layoutInCell="1" allowOverlap="1" wp14:anchorId="305FFB3A" wp14:editId="6D35A514">
                <wp:simplePos x="0" y="0"/>
                <wp:positionH relativeFrom="column">
                  <wp:posOffset>5492115</wp:posOffset>
                </wp:positionH>
                <wp:positionV relativeFrom="paragraph">
                  <wp:posOffset>104140</wp:posOffset>
                </wp:positionV>
                <wp:extent cx="307975" cy="0"/>
                <wp:effectExtent l="0" t="0" r="15875" b="19050"/>
                <wp:wrapNone/>
                <wp:docPr id="96" name="96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6 Conector recto"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45pt,8.2pt" to="456.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" strokecolor="windowText" strokeweight=".5pt"/>
            </w:pict>
          </mc:Fallback>
        </mc:AlternateContent>
      </w:r>
      <w:r>
        <w:rPr>
          <w:noProof/>
          <w:lang w:val="es-ES" w:eastAsia="es-ES"/>
        </w:rPr>
        <mc:AlternateContent>
          <mc:Choice Requires="wps">
            <w:drawing>
              <wp:anchor distT="0" distB="0" distL="114300" distR="114300" simplePos="0" relativeHeight="251675136" behindDoc="0" locked="0" layoutInCell="1" allowOverlap="1" wp14:anchorId="3E0AD545" wp14:editId="40A48C36">
                <wp:simplePos x="0" y="0"/>
                <wp:positionH relativeFrom="column">
                  <wp:posOffset>2472563</wp:posOffset>
                </wp:positionH>
                <wp:positionV relativeFrom="paragraph">
                  <wp:posOffset>224155</wp:posOffset>
                </wp:positionV>
                <wp:extent cx="767080" cy="249936"/>
                <wp:effectExtent l="0" t="0" r="13970" b="17145"/>
                <wp:wrapNone/>
                <wp:docPr id="27" name="27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cs="Arial"/>
                                <w:w w:val="88"/>
                                <w:sz w:val="14"/>
                                <w:szCs w:val="14"/>
                              </w:rPr>
                              <w:t>Educación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7 Proceso alternativo" o:spid="_x0000_s1050" type="#_x0000_t176" style="position:absolute;left:0;text-align:left;margin-left:194.7pt;margin-top:17.65pt;width:60.4pt;height:19.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" filled="f" strokecolor="windowText" strokeweight=".5pt">
                <v:textbo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cs="Arial"/>
                          <w:w w:val="88"/>
                          <w:sz w:val="14"/>
                          <w:szCs w:val="14"/>
                        </w:rPr>
                        <w:t>Educación</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40672" behindDoc="0" locked="0" layoutInCell="1" allowOverlap="1" wp14:anchorId="03A3CCC9" wp14:editId="3DF3F457">
                <wp:simplePos x="0" y="0"/>
                <wp:positionH relativeFrom="column">
                  <wp:posOffset>4725670</wp:posOffset>
                </wp:positionH>
                <wp:positionV relativeFrom="paragraph">
                  <wp:posOffset>260985</wp:posOffset>
                </wp:positionV>
                <wp:extent cx="767080" cy="249555"/>
                <wp:effectExtent l="0" t="0" r="13970" b="17145"/>
                <wp:wrapNone/>
                <wp:docPr id="20" name="20 Proceso alternativo"/>
                <wp:cNvGraphicFramePr/>
                <a:graphic xmlns:a="http://schemas.openxmlformats.org/drawingml/2006/main">
                  <a:graphicData uri="http://schemas.microsoft.com/office/word/2010/wordprocessingShape">
                    <wps:wsp>
                      <wps:cNvSpPr/>
                      <wps:spPr>
                        <a:xfrm>
                          <a:off x="0" y="0"/>
                          <a:ext cx="767080" cy="249555"/>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cs="Arial"/>
                                <w:w w:val="88"/>
                                <w:sz w:val="14"/>
                                <w:szCs w:val="14"/>
                              </w:rPr>
                              <w:t>Miguel Induráin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0 Proceso alternativo" o:spid="_x0000_s1051" type="#_x0000_t176" style="position:absolute;left:0;text-align:left;margin-left:372.1pt;margin-top:20.55pt;width:60.4pt;height:19.6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" filled="f" strokecolor="windowText" strokeweight=".5pt">
                <v:textbo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cs="Arial"/>
                          <w:w w:val="88"/>
                          <w:sz w:val="14"/>
                          <w:szCs w:val="14"/>
                        </w:rPr>
                        <w:t>Miguel Induráin</w:t>
                      </w:r>
                    </w:p>
                  </w:txbxContent>
                </v:textbox>
              </v:shape>
            </w:pict>
          </mc:Fallback>
        </mc:AlternateContent>
      </w:r>
      <w:r>
        <w:rPr>
          <w:noProof/>
          <w:lang w:val="es-ES" w:eastAsia="es-ES"/>
        </w:rPr>
        <mc:AlternateContent>
          <mc:Choice Requires="wps">
            <w:drawing>
              <wp:anchor distT="0" distB="0" distL="114300" distR="114300" simplePos="0" relativeHeight="251701760" behindDoc="0" locked="0" layoutInCell="1" allowOverlap="1" wp14:anchorId="52F185B8" wp14:editId="16A3D510">
                <wp:simplePos x="0" y="0"/>
                <wp:positionH relativeFrom="column">
                  <wp:posOffset>2353310</wp:posOffset>
                </wp:positionH>
                <wp:positionV relativeFrom="paragraph">
                  <wp:posOffset>82550</wp:posOffset>
                </wp:positionV>
                <wp:extent cx="114300" cy="0"/>
                <wp:effectExtent l="0" t="0" r="19050" b="19050"/>
                <wp:wrapNone/>
                <wp:docPr id="81" name="81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1 Conector recto"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6.5pt" to="194.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" strokecolor="windowText" strokeweight=".5pt"/>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41696" behindDoc="0" locked="0" layoutInCell="1" allowOverlap="1" wp14:anchorId="26318BE6" wp14:editId="55D0BC29">
                <wp:simplePos x="0" y="0"/>
                <wp:positionH relativeFrom="column">
                  <wp:posOffset>5493385</wp:posOffset>
                </wp:positionH>
                <wp:positionV relativeFrom="paragraph">
                  <wp:posOffset>132715</wp:posOffset>
                </wp:positionV>
                <wp:extent cx="307975" cy="0"/>
                <wp:effectExtent l="0" t="0" r="15875" b="19050"/>
                <wp:wrapNone/>
                <wp:docPr id="22" name="22 Conector recto"/>
                <wp:cNvGraphicFramePr/>
                <a:graphic xmlns:a="http://schemas.openxmlformats.org/drawingml/2006/main">
                  <a:graphicData uri="http://schemas.microsoft.com/office/word/2010/wordprocessingShape">
                    <wps:wsp>
                      <wps:cNvCnPr/>
                      <wps:spPr>
                        <a:xfrm flipH="1">
                          <a:off x="0" y="0"/>
                          <a:ext cx="30797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22 Conector recto" o:spid="_x0000_s1026" style="position:absolute;flip:x;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55pt,10.45pt" to="456.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" strokecolor="windowText" strokeweight=".5pt"/>
            </w:pict>
          </mc:Fallback>
        </mc:AlternateContent>
      </w:r>
      <w:r>
        <w:rPr>
          <w:noProof/>
          <w:lang w:val="es-ES" w:eastAsia="es-ES"/>
        </w:rPr>
        <mc:AlternateContent>
          <mc:Choice Requires="wps">
            <w:drawing>
              <wp:anchor distT="0" distB="0" distL="114300" distR="114300" simplePos="0" relativeHeight="251710976" behindDoc="0" locked="0" layoutInCell="1" allowOverlap="1" wp14:anchorId="43CF6748" wp14:editId="06BA0EB3">
                <wp:simplePos x="0" y="0"/>
                <wp:positionH relativeFrom="column">
                  <wp:posOffset>3239135</wp:posOffset>
                </wp:positionH>
                <wp:positionV relativeFrom="paragraph">
                  <wp:posOffset>204470</wp:posOffset>
                </wp:positionV>
                <wp:extent cx="342900" cy="86995"/>
                <wp:effectExtent l="0" t="0" r="19050" b="27305"/>
                <wp:wrapNone/>
                <wp:docPr id="90" name="90 Conector recto"/>
                <wp:cNvGraphicFramePr/>
                <a:graphic xmlns:a="http://schemas.openxmlformats.org/drawingml/2006/main">
                  <a:graphicData uri="http://schemas.microsoft.com/office/word/2010/wordprocessingShape">
                    <wps:wsp>
                      <wps:cNvCnPr/>
                      <wps:spPr>
                        <a:xfrm flipH="1">
                          <a:off x="0" y="0"/>
                          <a:ext cx="342900" cy="8699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0 Conector recto" o:spid="_x0000_s1026" style="position:absolute;flip:x;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16.1pt" to="282.0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" strokecolor="windowText" strokeweight=".5pt"/>
            </w:pict>
          </mc:Fallback>
        </mc:AlternateContent>
      </w:r>
      <w:r>
        <w:rPr>
          <w:noProof/>
          <w:lang w:val="es-ES" w:eastAsia="es-ES"/>
        </w:rPr>
        <mc:AlternateContent>
          <mc:Choice Requires="wps">
            <w:drawing>
              <wp:anchor distT="0" distB="0" distL="114300" distR="114300" simplePos="0" relativeHeight="251683328" behindDoc="0" locked="0" layoutInCell="1" allowOverlap="1" wp14:anchorId="2AD29ED4" wp14:editId="6D23EE86">
                <wp:simplePos x="0" y="0"/>
                <wp:positionH relativeFrom="column">
                  <wp:posOffset>3577273</wp:posOffset>
                </wp:positionH>
                <wp:positionV relativeFrom="paragraph">
                  <wp:posOffset>71120</wp:posOffset>
                </wp:positionV>
                <wp:extent cx="511492" cy="225425"/>
                <wp:effectExtent l="0" t="0" r="22225" b="22225"/>
                <wp:wrapNone/>
                <wp:docPr id="36" name="36 Proceso alternativo"/>
                <wp:cNvGraphicFramePr/>
                <a:graphic xmlns:a="http://schemas.openxmlformats.org/drawingml/2006/main">
                  <a:graphicData uri="http://schemas.microsoft.com/office/word/2010/wordprocessingShape">
                    <wps:wsp>
                      <wps:cNvSpPr/>
                      <wps:spPr>
                        <a:xfrm>
                          <a:off x="0" y="0"/>
                          <a:ext cx="511492" cy="225425"/>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cs="Arial"/>
                                <w:w w:val="86"/>
                                <w:sz w:val="14"/>
                                <w:szCs w:val="14"/>
                              </w:rPr>
                              <w:t>ISPLN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6 Proceso alternativo" o:spid="_x0000_s1052" type="#_x0000_t176" style="position:absolute;left:0;text-align:left;margin-left:281.7pt;margin-top:5.6pt;width:40.25pt;height:17.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cs="Arial"/>
                          <w:w w:val="86"/>
                          <w:sz w:val="14"/>
                          <w:szCs w:val="14"/>
                        </w:rPr>
                        <w:t>ISPLN</w:t>
                      </w:r>
                    </w:p>
                  </w:txbxContent>
                </v:textbox>
              </v:shape>
            </w:pict>
          </mc:Fallback>
        </mc:AlternateContent>
      </w:r>
      <w:r>
        <w:rPr>
          <w:noProof/>
          <w:lang w:val="es-ES" w:eastAsia="es-ES"/>
        </w:rPr>
        <mc:AlternateContent>
          <mc:Choice Requires="wps">
            <w:drawing>
              <wp:anchor distT="0" distB="0" distL="114300" distR="114300" simplePos="0" relativeHeight="251715072" behindDoc="0" locked="0" layoutInCell="1" allowOverlap="1" wp14:anchorId="16827DC6" wp14:editId="271FC868">
                <wp:simplePos x="0" y="0"/>
                <wp:positionH relativeFrom="column">
                  <wp:posOffset>4087495</wp:posOffset>
                </wp:positionH>
                <wp:positionV relativeFrom="paragraph">
                  <wp:posOffset>194945</wp:posOffset>
                </wp:positionV>
                <wp:extent cx="151131" cy="0"/>
                <wp:effectExtent l="0" t="0" r="20320" b="19050"/>
                <wp:wrapNone/>
                <wp:docPr id="95" name="95 Conector recto"/>
                <wp:cNvGraphicFramePr/>
                <a:graphic xmlns:a="http://schemas.openxmlformats.org/drawingml/2006/main">
                  <a:graphicData uri="http://schemas.microsoft.com/office/word/2010/wordprocessingShape">
                    <wps:wsp>
                      <wps:cNvCnPr/>
                      <wps:spPr>
                        <a:xfrm flipH="1">
                          <a:off x="0" y="0"/>
                          <a:ext cx="1511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5 Conector recto" o:spid="_x0000_s1026" style="position:absolute;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15.35pt" to="333.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" strokecolor="windowText" strokeweight=".5pt"/>
            </w:pict>
          </mc:Fallback>
        </mc:AlternateContent>
      </w:r>
      <w:r>
        <w:rPr>
          <w:noProof/>
          <w:lang w:val="es-ES" w:eastAsia="es-ES"/>
        </w:rPr>
        <mc:AlternateContent>
          <mc:Choice Requires="wps">
            <w:drawing>
              <wp:anchor distT="0" distB="0" distL="114300" distR="114300" simplePos="0" relativeHeight="251676160" behindDoc="0" locked="0" layoutInCell="1" allowOverlap="1" wp14:anchorId="09580F75" wp14:editId="1255AE88">
                <wp:simplePos x="0" y="0"/>
                <wp:positionH relativeFrom="column">
                  <wp:posOffset>2472055</wp:posOffset>
                </wp:positionH>
                <wp:positionV relativeFrom="paragraph">
                  <wp:posOffset>234188</wp:posOffset>
                </wp:positionV>
                <wp:extent cx="767080" cy="249936"/>
                <wp:effectExtent l="0" t="0" r="13970" b="17145"/>
                <wp:wrapNone/>
                <wp:docPr id="28" name="28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cs="Arial"/>
                                <w:w w:val="88"/>
                                <w:sz w:val="14"/>
                                <w:szCs w:val="14"/>
                              </w:rPr>
                              <w:t>Salud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8 Proceso alternativo" o:spid="_x0000_s1053" type="#_x0000_t176" style="position:absolute;left:0;text-align:left;margin-left:194.65pt;margin-top:18.45pt;width:60.4pt;height:19.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" filled="f" strokecolor="windowText" strokeweight=".5pt">
                <v:textbo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cs="Arial"/>
                          <w:w w:val="88"/>
                          <w:sz w:val="14"/>
                          <w:szCs w:val="14"/>
                        </w:rPr>
                        <w:t>Salud</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38624" behindDoc="0" locked="0" layoutInCell="1" allowOverlap="1" wp14:anchorId="7C1565A1" wp14:editId="5BE8C39A">
                <wp:simplePos x="0" y="0"/>
                <wp:positionH relativeFrom="column">
                  <wp:posOffset>4086860</wp:posOffset>
                </wp:positionH>
                <wp:positionV relativeFrom="paragraph">
                  <wp:posOffset>201930</wp:posOffset>
                </wp:positionV>
                <wp:extent cx="160655" cy="0"/>
                <wp:effectExtent l="0" t="0" r="10795" b="19050"/>
                <wp:wrapNone/>
                <wp:docPr id="6" name="6 Conector recto"/>
                <wp:cNvGraphicFramePr/>
                <a:graphic xmlns:a="http://schemas.openxmlformats.org/drawingml/2006/main">
                  <a:graphicData uri="http://schemas.microsoft.com/office/word/2010/wordprocessingShape">
                    <wps:wsp>
                      <wps:cNvCnPr/>
                      <wps:spPr>
                        <a:xfrm>
                          <a:off x="0" y="0"/>
                          <a:ext cx="16065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6 Conector recto"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pt,15.9pt" to="334.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" strokecolor="windowText" strokeweight=".5pt"/>
            </w:pict>
          </mc:Fallback>
        </mc:AlternateContent>
      </w:r>
      <w:r>
        <w:rPr>
          <w:noProof/>
          <w:lang w:val="es-ES" w:eastAsia="es-ES"/>
        </w:rPr>
        <mc:AlternateContent>
          <mc:Choice Requires="wps">
            <w:drawing>
              <wp:anchor distT="0" distB="0" distL="114300" distR="114300" simplePos="0" relativeHeight="251712000" behindDoc="0" locked="0" layoutInCell="1" allowOverlap="1" wp14:anchorId="0BA4DD5D" wp14:editId="4ECCFA46">
                <wp:simplePos x="0" y="0"/>
                <wp:positionH relativeFrom="column">
                  <wp:posOffset>3239135</wp:posOffset>
                </wp:positionH>
                <wp:positionV relativeFrom="paragraph">
                  <wp:posOffset>97155</wp:posOffset>
                </wp:positionV>
                <wp:extent cx="342266" cy="105411"/>
                <wp:effectExtent l="0" t="0" r="19685" b="27940"/>
                <wp:wrapNone/>
                <wp:docPr id="91" name="91 Conector recto"/>
                <wp:cNvGraphicFramePr/>
                <a:graphic xmlns:a="http://schemas.openxmlformats.org/drawingml/2006/main">
                  <a:graphicData uri="http://schemas.microsoft.com/office/word/2010/wordprocessingShape">
                    <wps:wsp>
                      <wps:cNvCnPr/>
                      <wps:spPr>
                        <a:xfrm flipH="1" flipV="1">
                          <a:off x="0" y="0"/>
                          <a:ext cx="342266" cy="105411"/>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1 Conector recto" o:spid="_x0000_s1026" style="position:absolute;flip:x 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7.65pt" to="28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" strokecolor="windowText" strokeweight=".5pt"/>
            </w:pict>
          </mc:Fallback>
        </mc:AlternateContent>
      </w:r>
      <w:r>
        <w:rPr>
          <w:noProof/>
          <w:lang w:val="es-ES" w:eastAsia="es-ES"/>
        </w:rPr>
        <mc:AlternateContent>
          <mc:Choice Requires="wps">
            <w:drawing>
              <wp:anchor distT="0" distB="0" distL="114300" distR="114300" simplePos="0" relativeHeight="251702784" behindDoc="0" locked="0" layoutInCell="1" allowOverlap="1" wp14:anchorId="28AA1FD4" wp14:editId="2193DE09">
                <wp:simplePos x="0" y="0"/>
                <wp:positionH relativeFrom="column">
                  <wp:posOffset>2353310</wp:posOffset>
                </wp:positionH>
                <wp:positionV relativeFrom="paragraph">
                  <wp:posOffset>97155</wp:posOffset>
                </wp:positionV>
                <wp:extent cx="114300" cy="0"/>
                <wp:effectExtent l="0" t="0" r="19050" b="19050"/>
                <wp:wrapNone/>
                <wp:docPr id="82" name="82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2 Conector recto" o:spid="_x0000_s1026" style="position:absolute;flip:x;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7.65pt" to="194.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" strokecolor="windowText" strokeweight=".5pt"/>
            </w:pict>
          </mc:Fallback>
        </mc:AlternateContent>
      </w:r>
      <w:r>
        <w:rPr>
          <w:noProof/>
          <w:lang w:val="es-ES" w:eastAsia="es-ES"/>
        </w:rPr>
        <mc:AlternateContent>
          <mc:Choice Requires="wps">
            <w:drawing>
              <wp:anchor distT="0" distB="0" distL="114300" distR="114300" simplePos="0" relativeHeight="251684352" behindDoc="0" locked="0" layoutInCell="1" allowOverlap="1" wp14:anchorId="40B9C6D4" wp14:editId="320D7867">
                <wp:simplePos x="0" y="0"/>
                <wp:positionH relativeFrom="column">
                  <wp:posOffset>3577590</wp:posOffset>
                </wp:positionH>
                <wp:positionV relativeFrom="paragraph">
                  <wp:posOffset>95250</wp:posOffset>
                </wp:positionV>
                <wp:extent cx="505968" cy="225552"/>
                <wp:effectExtent l="0" t="0" r="27940" b="22225"/>
                <wp:wrapNone/>
                <wp:docPr id="37" name="37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cs="Arial"/>
                                <w:w w:val="86"/>
                                <w:sz w:val="14"/>
                                <w:szCs w:val="14"/>
                              </w:rPr>
                              <w:t>SNS-O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7 Proceso alternativo" o:spid="_x0000_s1054" type="#_x0000_t176" style="position:absolute;left:0;text-align:left;margin-left:281.7pt;margin-top:7.5pt;width:39.85pt;height:17.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cs="Arial"/>
                          <w:w w:val="86"/>
                          <w:sz w:val="14"/>
                          <w:szCs w:val="14"/>
                        </w:rPr>
                        <w:t>SNS-O</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85376" behindDoc="0" locked="0" layoutInCell="1" allowOverlap="1" wp14:anchorId="49D0C289" wp14:editId="68C3E7AB">
                <wp:simplePos x="0" y="0"/>
                <wp:positionH relativeFrom="column">
                  <wp:posOffset>3577590</wp:posOffset>
                </wp:positionH>
                <wp:positionV relativeFrom="paragraph">
                  <wp:posOffset>260985</wp:posOffset>
                </wp:positionV>
                <wp:extent cx="505968" cy="225552"/>
                <wp:effectExtent l="0" t="0" r="27940" b="22225"/>
                <wp:wrapNone/>
                <wp:docPr id="38" name="38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cs="Arial"/>
                                <w:w w:val="86"/>
                                <w:sz w:val="14"/>
                                <w:szCs w:val="14"/>
                              </w:rPr>
                              <w:t>INDJ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8 Proceso alternativo" o:spid="_x0000_s1055" type="#_x0000_t176" style="position:absolute;left:0;text-align:left;margin-left:281.7pt;margin-top:20.55pt;width:39.85pt;height:17.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cs="Arial"/>
                          <w:w w:val="86"/>
                          <w:sz w:val="14"/>
                          <w:szCs w:val="14"/>
                        </w:rPr>
                        <w:t>INDJ</w:t>
                      </w:r>
                    </w:p>
                  </w:txbxContent>
                </v:textbox>
              </v:shape>
            </w:pict>
          </mc:Fallback>
        </mc:AlternateContent>
      </w:r>
      <w:r>
        <w:rPr>
          <w:noProof/>
          <w:lang w:val="es-ES" w:eastAsia="es-ES"/>
        </w:rPr>
        <mc:AlternateContent>
          <mc:Choice Requires="wps">
            <w:drawing>
              <wp:anchor distT="0" distB="0" distL="114300" distR="114300" simplePos="0" relativeHeight="251677184" behindDoc="0" locked="0" layoutInCell="1" allowOverlap="1" wp14:anchorId="3E9B8C86" wp14:editId="706ABEC1">
                <wp:simplePos x="0" y="0"/>
                <wp:positionH relativeFrom="column">
                  <wp:posOffset>2472055</wp:posOffset>
                </wp:positionH>
                <wp:positionV relativeFrom="paragraph">
                  <wp:posOffset>219075</wp:posOffset>
                </wp:positionV>
                <wp:extent cx="767080" cy="316992"/>
                <wp:effectExtent l="0" t="0" r="13970" b="26035"/>
                <wp:wrapNone/>
                <wp:docPr id="30" name="30 Proceso alternativo"/>
                <wp:cNvGraphicFramePr/>
                <a:graphic xmlns:a="http://schemas.openxmlformats.org/drawingml/2006/main">
                  <a:graphicData uri="http://schemas.microsoft.com/office/word/2010/wordprocessingShape">
                    <wps:wsp>
                      <wps:cNvSpPr/>
                      <wps:spPr>
                        <a:xfrm>
                          <a:off x="0" y="0"/>
                          <a:ext cx="767080" cy="316992"/>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cs="Arial"/>
                                <w:w w:val="86"/>
                                <w:sz w:val="14"/>
                                <w:szCs w:val="14"/>
                              </w:rPr>
                              <w:t>Cultura, Deporte y Juventud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0 Proceso alternativo" o:spid="_x0000_s1056" type="#_x0000_t176" style="position:absolute;left:0;text-align:left;margin-left:194.65pt;margin-top:17.25pt;width:60.4pt;height:24.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cs="Arial"/>
                          <w:w w:val="86"/>
                          <w:sz w:val="14"/>
                          <w:szCs w:val="14"/>
                        </w:rPr>
                        <w:t>Cultura, Deporte y Juventud</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21216" behindDoc="0" locked="0" layoutInCell="1" allowOverlap="1" wp14:anchorId="4A24D64B" wp14:editId="023DCF8B">
                <wp:simplePos x="0" y="0"/>
                <wp:positionH relativeFrom="column">
                  <wp:posOffset>3239135</wp:posOffset>
                </wp:positionH>
                <wp:positionV relativeFrom="paragraph">
                  <wp:posOffset>101600</wp:posOffset>
                </wp:positionV>
                <wp:extent cx="342899" cy="0"/>
                <wp:effectExtent l="0" t="0" r="19685" b="19050"/>
                <wp:wrapNone/>
                <wp:docPr id="101" name="101 Conector recto"/>
                <wp:cNvGraphicFramePr/>
                <a:graphic xmlns:a="http://schemas.openxmlformats.org/drawingml/2006/main">
                  <a:graphicData uri="http://schemas.microsoft.com/office/word/2010/wordprocessingShape">
                    <wps:wsp>
                      <wps:cNvCnPr/>
                      <wps:spPr>
                        <a:xfrm flipH="1">
                          <a:off x="0" y="0"/>
                          <a:ext cx="342899"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101 Conector recto" o:spid="_x0000_s1026" style="position:absolute;flip:x;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8pt" to="282.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714048" behindDoc="0" locked="0" layoutInCell="1" allowOverlap="1" wp14:anchorId="184FC83D" wp14:editId="47C17D3E">
                <wp:simplePos x="0" y="0"/>
                <wp:positionH relativeFrom="column">
                  <wp:posOffset>4087495</wp:posOffset>
                </wp:positionH>
                <wp:positionV relativeFrom="paragraph">
                  <wp:posOffset>101600</wp:posOffset>
                </wp:positionV>
                <wp:extent cx="151131" cy="0"/>
                <wp:effectExtent l="0" t="0" r="20320" b="19050"/>
                <wp:wrapNone/>
                <wp:docPr id="94" name="94 Conector recto"/>
                <wp:cNvGraphicFramePr/>
                <a:graphic xmlns:a="http://schemas.openxmlformats.org/drawingml/2006/main">
                  <a:graphicData uri="http://schemas.microsoft.com/office/word/2010/wordprocessingShape">
                    <wps:wsp>
                      <wps:cNvCnPr/>
                      <wps:spPr>
                        <a:xfrm flipH="1">
                          <a:off x="0" y="0"/>
                          <a:ext cx="1511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4 Conector recto" o:spid="_x0000_s1026" style="position:absolute;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8pt" to="333.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703808" behindDoc="0" locked="0" layoutInCell="1" allowOverlap="1" wp14:anchorId="64EE7D07" wp14:editId="2C3F56A7">
                <wp:simplePos x="0" y="0"/>
                <wp:positionH relativeFrom="column">
                  <wp:posOffset>2353310</wp:posOffset>
                </wp:positionH>
                <wp:positionV relativeFrom="paragraph">
                  <wp:posOffset>101600</wp:posOffset>
                </wp:positionV>
                <wp:extent cx="114300" cy="0"/>
                <wp:effectExtent l="0" t="0" r="19050" b="19050"/>
                <wp:wrapNone/>
                <wp:docPr id="83" name="83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3 Conector recto" o:spid="_x0000_s1026" style="position:absolute;flip:x;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8pt" to="194.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" strokecolor="windowText" strokeweight=".5pt"/>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78208" behindDoc="0" locked="0" layoutInCell="1" allowOverlap="1" wp14:anchorId="14EC07BB" wp14:editId="3DF15A37">
                <wp:simplePos x="0" y="0"/>
                <wp:positionH relativeFrom="column">
                  <wp:posOffset>2472563</wp:posOffset>
                </wp:positionH>
                <wp:positionV relativeFrom="paragraph">
                  <wp:posOffset>198120</wp:posOffset>
                </wp:positionV>
                <wp:extent cx="767080" cy="554736"/>
                <wp:effectExtent l="0" t="0" r="13970" b="17145"/>
                <wp:wrapNone/>
                <wp:docPr id="31" name="31 Proceso alternativo"/>
                <wp:cNvGraphicFramePr/>
                <a:graphic xmlns:a="http://schemas.openxmlformats.org/drawingml/2006/main">
                  <a:graphicData uri="http://schemas.microsoft.com/office/word/2010/wordprocessingShape">
                    <wps:wsp>
                      <wps:cNvSpPr/>
                      <wps:spPr>
                        <a:xfrm>
                          <a:off x="0" y="0"/>
                          <a:ext cx="767080" cy="554736"/>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cs="Arial"/>
                                <w:w w:val="88"/>
                                <w:sz w:val="14"/>
                                <w:szCs w:val="14"/>
                              </w:rPr>
                              <w:t>Desarrollo Rural, Medio Ambiente y Administración Local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1 Proceso alternativo" o:spid="_x0000_s1057" type="#_x0000_t176" style="position:absolute;left:0;text-align:left;margin-left:194.7pt;margin-top:15.6pt;width:60.4pt;height:43.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" filled="f" strokecolor="windowText" strokeweight=".5pt">
                <v:textbo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cs="Arial"/>
                          <w:w w:val="88"/>
                          <w:sz w:val="14"/>
                          <w:szCs w:val="14"/>
                        </w:rPr>
                        <w:t>Desarrollo Rural, Medio Ambiente y Administración Local</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04832" behindDoc="0" locked="0" layoutInCell="1" allowOverlap="1" wp14:anchorId="6F1EBC2E" wp14:editId="09262680">
                <wp:simplePos x="0" y="0"/>
                <wp:positionH relativeFrom="column">
                  <wp:posOffset>2353310</wp:posOffset>
                </wp:positionH>
                <wp:positionV relativeFrom="paragraph">
                  <wp:posOffset>182245</wp:posOffset>
                </wp:positionV>
                <wp:extent cx="114300" cy="0"/>
                <wp:effectExtent l="0" t="0" r="19050" b="19050"/>
                <wp:wrapNone/>
                <wp:docPr id="84" name="84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4 Conector recto" o:spid="_x0000_s1026" style="position:absolute;flip:x;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14.35pt" to="194.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" strokecolor="windowText" strokeweight=".5pt"/>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686400" behindDoc="0" locked="0" layoutInCell="1" allowOverlap="1" wp14:anchorId="179FC4A9" wp14:editId="674837CC">
                <wp:simplePos x="0" y="0"/>
                <wp:positionH relativeFrom="column">
                  <wp:posOffset>3577590</wp:posOffset>
                </wp:positionH>
                <wp:positionV relativeFrom="paragraph">
                  <wp:posOffset>267335</wp:posOffset>
                </wp:positionV>
                <wp:extent cx="505968" cy="225552"/>
                <wp:effectExtent l="0" t="0" r="27940" b="22225"/>
                <wp:wrapNone/>
                <wp:docPr id="39" name="39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cs="Arial"/>
                                <w:w w:val="86"/>
                                <w:sz w:val="14"/>
                                <w:szCs w:val="14"/>
                              </w:rPr>
                              <w:t>ANAP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9 Proceso alternativo" o:spid="_x0000_s1058" type="#_x0000_t176" style="position:absolute;left:0;text-align:left;margin-left:281.7pt;margin-top:21.05pt;width:39.85pt;height:17.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cs="Arial"/>
                          <w:w w:val="86"/>
                          <w:sz w:val="14"/>
                          <w:szCs w:val="14"/>
                        </w:rPr>
                        <w:t>ANAP</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13024" behindDoc="0" locked="0" layoutInCell="1" allowOverlap="1" wp14:anchorId="589173FC" wp14:editId="5F1B7372">
                <wp:simplePos x="0" y="0"/>
                <wp:positionH relativeFrom="column">
                  <wp:posOffset>4087495</wp:posOffset>
                </wp:positionH>
                <wp:positionV relativeFrom="paragraph">
                  <wp:posOffset>110490</wp:posOffset>
                </wp:positionV>
                <wp:extent cx="151131" cy="0"/>
                <wp:effectExtent l="0" t="0" r="20320" b="19050"/>
                <wp:wrapNone/>
                <wp:docPr id="93" name="93 Conector recto"/>
                <wp:cNvGraphicFramePr/>
                <a:graphic xmlns:a="http://schemas.openxmlformats.org/drawingml/2006/main">
                  <a:graphicData uri="http://schemas.microsoft.com/office/word/2010/wordprocessingShape">
                    <wps:wsp>
                      <wps:cNvCnPr/>
                      <wps:spPr>
                        <a:xfrm flipH="1">
                          <a:off x="0" y="0"/>
                          <a:ext cx="151131"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93 Conector recto" o:spid="_x0000_s1026" style="position:absolute;flip:x;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5pt,8.7pt" to="333.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708928" behindDoc="0" locked="0" layoutInCell="1" allowOverlap="1" wp14:anchorId="3B28C1A5" wp14:editId="259999A1">
                <wp:simplePos x="0" y="0"/>
                <wp:positionH relativeFrom="column">
                  <wp:posOffset>3239136</wp:posOffset>
                </wp:positionH>
                <wp:positionV relativeFrom="paragraph">
                  <wp:posOffset>110490</wp:posOffset>
                </wp:positionV>
                <wp:extent cx="342899" cy="142875"/>
                <wp:effectExtent l="0" t="0" r="19685" b="28575"/>
                <wp:wrapNone/>
                <wp:docPr id="88" name="88 Conector recto"/>
                <wp:cNvGraphicFramePr/>
                <a:graphic xmlns:a="http://schemas.openxmlformats.org/drawingml/2006/main">
                  <a:graphicData uri="http://schemas.microsoft.com/office/word/2010/wordprocessingShape">
                    <wps:wsp>
                      <wps:cNvCnPr/>
                      <wps:spPr>
                        <a:xfrm flipH="1">
                          <a:off x="0" y="0"/>
                          <a:ext cx="342899" cy="14287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8 Conector recto" o:spid="_x0000_s1026" style="position:absolute;flip:x;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8.7pt" to="282.0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" strokecolor="windowText" strokeweight=".5pt"/>
            </w:pict>
          </mc:Fallback>
        </mc:AlternateContent>
      </w:r>
      <w:r>
        <w:rPr>
          <w:noProof/>
          <w:lang w:val="es-ES" w:eastAsia="es-ES"/>
        </w:rPr>
        <mc:AlternateContent>
          <mc:Choice Requires="wps">
            <w:drawing>
              <wp:anchor distT="0" distB="0" distL="114300" distR="114300" simplePos="0" relativeHeight="251705856" behindDoc="0" locked="0" layoutInCell="1" allowOverlap="1" wp14:anchorId="10A7824B" wp14:editId="053E31B2">
                <wp:simplePos x="0" y="0"/>
                <wp:positionH relativeFrom="column">
                  <wp:posOffset>2353310</wp:posOffset>
                </wp:positionH>
                <wp:positionV relativeFrom="paragraph">
                  <wp:posOffset>266700</wp:posOffset>
                </wp:positionV>
                <wp:extent cx="114300" cy="0"/>
                <wp:effectExtent l="0" t="0" r="19050" b="19050"/>
                <wp:wrapNone/>
                <wp:docPr id="85" name="85 Conector recto"/>
                <wp:cNvGraphicFramePr/>
                <a:graphic xmlns:a="http://schemas.openxmlformats.org/drawingml/2006/main">
                  <a:graphicData uri="http://schemas.microsoft.com/office/word/2010/wordprocessingShape">
                    <wps:wsp>
                      <wps:cNvCnPr/>
                      <wps:spPr>
                        <a:xfrm flipH="1">
                          <a:off x="0" y="0"/>
                          <a:ext cx="11430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5 Conector recto" o:spid="_x0000_s1026" style="position:absolute;flip:x;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3pt,21pt" to="194.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" strokecolor="windowText" strokeweight=".5pt"/>
            </w:pict>
          </mc:Fallback>
        </mc:AlternateContent>
      </w:r>
      <w:r>
        <w:rPr>
          <w:noProof/>
          <w:lang w:val="es-ES" w:eastAsia="es-ES"/>
        </w:rPr>
        <mc:AlternateContent>
          <mc:Choice Requires="wps">
            <w:drawing>
              <wp:anchor distT="0" distB="0" distL="114300" distR="114300" simplePos="0" relativeHeight="251679232" behindDoc="0" locked="0" layoutInCell="1" allowOverlap="1" wp14:anchorId="3E0520DA" wp14:editId="65CA24F5">
                <wp:simplePos x="0" y="0"/>
                <wp:positionH relativeFrom="column">
                  <wp:posOffset>2472055</wp:posOffset>
                </wp:positionH>
                <wp:positionV relativeFrom="paragraph">
                  <wp:posOffset>154305</wp:posOffset>
                </wp:positionV>
                <wp:extent cx="767080" cy="249936"/>
                <wp:effectExtent l="0" t="0" r="13970" b="17145"/>
                <wp:wrapNone/>
                <wp:docPr id="32" name="32 Proceso alternativo"/>
                <wp:cNvGraphicFramePr/>
                <a:graphic xmlns:a="http://schemas.openxmlformats.org/drawingml/2006/main">
                  <a:graphicData uri="http://schemas.microsoft.com/office/word/2010/wordprocessingShape">
                    <wps:wsp>
                      <wps:cNvSpPr/>
                      <wps:spPr>
                        <a:xfrm>
                          <a:off x="0" y="0"/>
                          <a:ext cx="767080" cy="249936"/>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cs="Arial"/>
                                <w:w w:val="88"/>
                                <w:sz w:val="14"/>
                                <w:szCs w:val="14"/>
                              </w:rPr>
                              <w:t>Derechos sociales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2 Proceso alternativo" o:spid="_x0000_s1059" type="#_x0000_t176" style="position:absolute;left:0;text-align:left;margin-left:194.65pt;margin-top:12.15pt;width:60.4pt;height:19.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" filled="f" strokecolor="windowText" strokeweight=".5pt">
                <v:textbox>
                  <w:txbxContent>
                    <w:p w:rsidR="006A42CC" w:rsidRPr="00C33468" w:rsidRDefault="006A42CC" w:rsidP="0028205D">
                      <w:pPr>
                        <w:spacing w:after="0"/>
                        <w:ind w:left="-112" w:right="-64" w:firstLine="0"/>
                        <w:jc w:val="center"/>
                        <w:rPr>
                          <w:rFonts w:ascii="Arial" w:hAnsi="Arial" w:cs="Arial"/>
                          <w:w w:val="88"/>
                          <w:sz w:val="14"/>
                          <w:szCs w:val="14"/>
                        </w:rPr>
                      </w:pPr>
                      <w:r>
                        <w:rPr>
                          <w:rFonts w:ascii="Arial" w:hAnsi="Arial" w:cs="Arial"/>
                          <w:w w:val="88"/>
                          <w:sz w:val="14"/>
                          <w:szCs w:val="14"/>
                        </w:rPr>
                        <w:t>Derechos sociales</w:t>
                      </w:r>
                    </w:p>
                  </w:txbxContent>
                </v:textbox>
              </v:shape>
            </w:pict>
          </mc:Fallback>
        </mc:AlternateContent>
      </w:r>
    </w:p>
    <w:p w:rsidR="0028205D" w:rsidRDefault="0028205D" w:rsidP="0028205D">
      <w:pPr>
        <w:pStyle w:val="texto"/>
      </w:pPr>
      <w:r>
        <w:rPr>
          <w:noProof/>
          <w:lang w:val="es-ES" w:eastAsia="es-ES"/>
        </w:rPr>
        <mc:AlternateContent>
          <mc:Choice Requires="wps">
            <w:drawing>
              <wp:anchor distT="0" distB="0" distL="114300" distR="114300" simplePos="0" relativeHeight="251707904" behindDoc="0" locked="0" layoutInCell="1" allowOverlap="1" wp14:anchorId="16F8BC13" wp14:editId="5F53DC0C">
                <wp:simplePos x="0" y="0"/>
                <wp:positionH relativeFrom="column">
                  <wp:posOffset>4086817</wp:posOffset>
                </wp:positionH>
                <wp:positionV relativeFrom="paragraph">
                  <wp:posOffset>213027</wp:posOffset>
                </wp:positionV>
                <wp:extent cx="165810" cy="0"/>
                <wp:effectExtent l="0" t="0" r="24765" b="19050"/>
                <wp:wrapNone/>
                <wp:docPr id="87" name="87 Conector recto"/>
                <wp:cNvGraphicFramePr/>
                <a:graphic xmlns:a="http://schemas.openxmlformats.org/drawingml/2006/main">
                  <a:graphicData uri="http://schemas.microsoft.com/office/word/2010/wordprocessingShape">
                    <wps:wsp>
                      <wps:cNvCnPr/>
                      <wps:spPr>
                        <a:xfrm flipH="1">
                          <a:off x="0" y="0"/>
                          <a:ext cx="165810"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7 Conector recto" o:spid="_x0000_s1026" style="position:absolute;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8pt,16.75pt" to="334.8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" strokecolor="windowText" strokeweight=".5pt"/>
            </w:pict>
          </mc:Fallback>
        </mc:AlternateContent>
      </w:r>
      <w:r>
        <w:rPr>
          <w:noProof/>
          <w:lang w:val="es-ES" w:eastAsia="es-ES"/>
        </w:rPr>
        <mc:AlternateContent>
          <mc:Choice Requires="wps">
            <w:drawing>
              <wp:anchor distT="0" distB="0" distL="114300" distR="114300" simplePos="0" relativeHeight="251709952" behindDoc="0" locked="0" layoutInCell="1" allowOverlap="1" wp14:anchorId="2F2DAC93" wp14:editId="064252AE">
                <wp:simplePos x="0" y="0"/>
                <wp:positionH relativeFrom="column">
                  <wp:posOffset>3239135</wp:posOffset>
                </wp:positionH>
                <wp:positionV relativeFrom="paragraph">
                  <wp:posOffset>79375</wp:posOffset>
                </wp:positionV>
                <wp:extent cx="342266" cy="133351"/>
                <wp:effectExtent l="0" t="0" r="19685" b="19050"/>
                <wp:wrapNone/>
                <wp:docPr id="89" name="89 Conector recto"/>
                <wp:cNvGraphicFramePr/>
                <a:graphic xmlns:a="http://schemas.openxmlformats.org/drawingml/2006/main">
                  <a:graphicData uri="http://schemas.microsoft.com/office/word/2010/wordprocessingShape">
                    <wps:wsp>
                      <wps:cNvCnPr/>
                      <wps:spPr>
                        <a:xfrm flipH="1" flipV="1">
                          <a:off x="0" y="0"/>
                          <a:ext cx="342266" cy="133351"/>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89 Conector recto" o:spid="_x0000_s1026" style="position:absolute;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05pt,6.25pt" to="28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" strokecolor="windowText" strokeweight=".5pt"/>
            </w:pict>
          </mc:Fallback>
        </mc:AlternateContent>
      </w:r>
      <w:r>
        <w:rPr>
          <w:noProof/>
          <w:lang w:val="es-ES" w:eastAsia="es-ES"/>
        </w:rPr>
        <mc:AlternateContent>
          <mc:Choice Requires="wps">
            <w:drawing>
              <wp:anchor distT="0" distB="0" distL="114300" distR="114300" simplePos="0" relativeHeight="251687424" behindDoc="0" locked="0" layoutInCell="1" allowOverlap="1" wp14:anchorId="396A976E" wp14:editId="494035F8">
                <wp:simplePos x="0" y="0"/>
                <wp:positionH relativeFrom="column">
                  <wp:posOffset>3577590</wp:posOffset>
                </wp:positionH>
                <wp:positionV relativeFrom="paragraph">
                  <wp:posOffset>75565</wp:posOffset>
                </wp:positionV>
                <wp:extent cx="505968" cy="225552"/>
                <wp:effectExtent l="0" t="0" r="27940" b="22225"/>
                <wp:wrapNone/>
                <wp:docPr id="40" name="40 Proceso alternativo"/>
                <wp:cNvGraphicFramePr/>
                <a:graphic xmlns:a="http://schemas.openxmlformats.org/drawingml/2006/main">
                  <a:graphicData uri="http://schemas.microsoft.com/office/word/2010/wordprocessingShape">
                    <wps:wsp>
                      <wps:cNvSpPr/>
                      <wps:spPr>
                        <a:xfrm>
                          <a:off x="0" y="0"/>
                          <a:ext cx="505968" cy="225552"/>
                        </a:xfrm>
                        <a:prstGeom prst="flowChartAlternateProcess">
                          <a:avLst/>
                        </a:prstGeom>
                        <a:noFill/>
                        <a:ln w="6350" cap="flat" cmpd="sng" algn="ctr">
                          <a:solidFill>
                            <a:sysClr val="windowText" lastClr="000000"/>
                          </a:solidFill>
                          <a:prstDash val="solid"/>
                        </a:ln>
                        <a:effectLst/>
                      </wps:spPr>
                      <wps:txb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cs="Arial"/>
                                <w:w w:val="86"/>
                                <w:sz w:val="14"/>
                                <w:szCs w:val="14"/>
                              </w:rPr>
                              <w:t>SNE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0 Proceso alternativo" o:spid="_x0000_s1060" type="#_x0000_t176" style="position:absolute;left:0;text-align:left;margin-left:281.7pt;margin-top:5.95pt;width:39.85pt;height:17.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" filled="f" strokecolor="windowText" strokeweight=".5pt">
                <v:textbox>
                  <w:txbxContent>
                    <w:p w:rsidR="006A42CC" w:rsidRPr="00C33468" w:rsidRDefault="006A42CC" w:rsidP="0028205D">
                      <w:pPr>
                        <w:spacing w:after="0"/>
                        <w:ind w:left="-168" w:right="-177" w:firstLine="0"/>
                        <w:jc w:val="center"/>
                        <w:rPr>
                          <w:rFonts w:ascii="Arial" w:hAnsi="Arial" w:cs="Arial"/>
                          <w:w w:val="86"/>
                          <w:sz w:val="14"/>
                          <w:szCs w:val="14"/>
                        </w:rPr>
                      </w:pPr>
                      <w:r>
                        <w:rPr>
                          <w:rFonts w:ascii="Arial" w:hAnsi="Arial" w:cs="Arial"/>
                          <w:w w:val="86"/>
                          <w:sz w:val="14"/>
                          <w:szCs w:val="14"/>
                        </w:rPr>
                        <w:t>SNE</w:t>
                      </w:r>
                    </w:p>
                  </w:txbxContent>
                </v:textbox>
              </v:shape>
            </w:pict>
          </mc:Fallback>
        </mc:AlternateContent>
      </w:r>
    </w:p>
    <w:p w:rsidR="0028205D" w:rsidRPr="000E2288" w:rsidRDefault="0028205D" w:rsidP="0028205D">
      <w:pPr>
        <w:pStyle w:val="texto"/>
      </w:pPr>
    </w:p>
    <w:p w:rsidR="0028205D" w:rsidRPr="007663B8" w:rsidRDefault="0028205D" w:rsidP="0028205D">
      <w:pPr>
        <w:pStyle w:val="texto"/>
      </w:pPr>
      <w:r w:rsidRPr="007663B8">
        <w:lastRenderedPageBreak/>
        <w:t>Del análisis del gráfico anterior destacamos los siguientes aspectos:</w:t>
      </w:r>
    </w:p>
    <w:p w:rsidR="0028205D" w:rsidRPr="00846868"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A 31 de diciembre de 2017</w:t>
      </w:r>
      <w:r w:rsidR="002E36B8">
        <w:rPr>
          <w:rFonts w:cs="Arial"/>
        </w:rPr>
        <w:t xml:space="preserve"> la ACFN se estructuraba en</w:t>
      </w:r>
      <w:r>
        <w:rPr>
          <w:rFonts w:cs="Arial"/>
        </w:rPr>
        <w:t xml:space="preserve"> nueve departame</w:t>
      </w:r>
      <w:r>
        <w:rPr>
          <w:rFonts w:cs="Arial"/>
        </w:rPr>
        <w:t>n</w:t>
      </w:r>
      <w:r>
        <w:rPr>
          <w:rFonts w:cs="Arial"/>
        </w:rPr>
        <w:t xml:space="preserve">tos </w:t>
      </w:r>
      <w:r w:rsidR="002E36B8">
        <w:rPr>
          <w:rFonts w:cs="Arial"/>
        </w:rPr>
        <w:t>a los cuales estaban adscritos</w:t>
      </w:r>
      <w:r>
        <w:rPr>
          <w:rFonts w:cs="Arial"/>
        </w:rPr>
        <w:t xml:space="preserve"> ocho OOAA</w:t>
      </w:r>
      <w:r w:rsidRPr="00846868">
        <w:rPr>
          <w:rFonts w:cs="Arial"/>
        </w:rPr>
        <w:t>.</w:t>
      </w:r>
    </w:p>
    <w:p w:rsidR="0028205D" w:rsidRPr="00EB7C97"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rsidRPr="00EB7C97">
        <w:rPr>
          <w:rFonts w:cs="Arial"/>
        </w:rPr>
        <w:t xml:space="preserve">La </w:t>
      </w:r>
      <w:r>
        <w:rPr>
          <w:rFonts w:cs="Arial"/>
        </w:rPr>
        <w:t>ACFN</w:t>
      </w:r>
      <w:r w:rsidRPr="00EB7C97">
        <w:rPr>
          <w:rFonts w:cs="Arial"/>
        </w:rPr>
        <w:t xml:space="preserve"> participaba mayoritariamente en el capital de 17 empresas a la fecha indicada. Participaba directamente en la empresa Corporación Pública Empresarial de Navarra, S.L.U., (CPEN</w:t>
      </w:r>
      <w:r>
        <w:rPr>
          <w:rFonts w:cs="Arial"/>
        </w:rPr>
        <w:t xml:space="preserve"> en adelante</w:t>
      </w:r>
      <w:r w:rsidRPr="00EB7C97">
        <w:rPr>
          <w:rFonts w:cs="Arial"/>
        </w:rPr>
        <w:t>) en la que posee el 100 por cien del capital, e indirectamente, a través de la CPEN</w:t>
      </w:r>
      <w:r>
        <w:rPr>
          <w:rFonts w:cs="Arial"/>
        </w:rPr>
        <w:t xml:space="preserve"> y de sus sociedades d</w:t>
      </w:r>
      <w:r>
        <w:rPr>
          <w:rFonts w:cs="Arial"/>
        </w:rPr>
        <w:t>e</w:t>
      </w:r>
      <w:r>
        <w:rPr>
          <w:rFonts w:cs="Arial"/>
        </w:rPr>
        <w:t>pendientes</w:t>
      </w:r>
      <w:r w:rsidRPr="00EB7C97">
        <w:rPr>
          <w:rFonts w:cs="Arial"/>
        </w:rPr>
        <w:t>, en las 16</w:t>
      </w:r>
      <w:r>
        <w:rPr>
          <w:rFonts w:cs="Arial"/>
        </w:rPr>
        <w:t xml:space="preserve"> sociedades siguientes:</w:t>
      </w:r>
    </w:p>
    <w:tbl>
      <w:tblPr>
        <w:tblW w:w="8797" w:type="dxa"/>
        <w:jc w:val="center"/>
        <w:tblBorders>
          <w:top w:val="single" w:sz="2" w:space="0" w:color="000000"/>
          <w:bottom w:val="single" w:sz="2" w:space="0" w:color="000000"/>
        </w:tblBorders>
        <w:tblLook w:val="01E0" w:firstRow="1" w:lastRow="1" w:firstColumn="1" w:lastColumn="1" w:noHBand="0" w:noVBand="0"/>
      </w:tblPr>
      <w:tblGrid>
        <w:gridCol w:w="4106"/>
        <w:gridCol w:w="1847"/>
        <w:gridCol w:w="2844"/>
      </w:tblGrid>
      <w:tr w:rsidR="0028205D" w:rsidRPr="00EB7C97" w:rsidTr="008C4202">
        <w:trPr>
          <w:trHeight w:val="255"/>
          <w:jc w:val="center"/>
        </w:trPr>
        <w:tc>
          <w:tcPr>
            <w:tcW w:w="4106" w:type="dxa"/>
            <w:tcBorders>
              <w:top w:val="single" w:sz="4" w:space="0" w:color="auto"/>
              <w:left w:val="nil"/>
              <w:bottom w:val="single" w:sz="4" w:space="0" w:color="000000"/>
              <w:right w:val="nil"/>
            </w:tcBorders>
            <w:shd w:val="clear" w:color="auto" w:fill="8DB3E2" w:themeFill="text2" w:themeFillTint="66"/>
            <w:vAlign w:val="center"/>
            <w:hideMark/>
          </w:tcPr>
          <w:p w:rsidR="0028205D" w:rsidRPr="00EB7C97" w:rsidRDefault="0028205D" w:rsidP="0028205D">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sidRPr="00EB7C97">
              <w:rPr>
                <w:rFonts w:ascii="Arial" w:hAnsi="Arial" w:cs="Arial"/>
                <w:spacing w:val="6"/>
                <w:sz w:val="16"/>
                <w:szCs w:val="16"/>
              </w:rPr>
              <w:t xml:space="preserve">Empresa Pública </w:t>
            </w:r>
          </w:p>
        </w:tc>
        <w:tc>
          <w:tcPr>
            <w:tcW w:w="1847" w:type="dxa"/>
            <w:tcBorders>
              <w:top w:val="single" w:sz="4" w:space="0" w:color="auto"/>
              <w:left w:val="nil"/>
              <w:bottom w:val="single" w:sz="4" w:space="0" w:color="000000"/>
              <w:right w:val="nil"/>
            </w:tcBorders>
            <w:shd w:val="clear" w:color="auto" w:fill="8DB3E2" w:themeFill="text2" w:themeFillTint="66"/>
            <w:vAlign w:val="center"/>
            <w:hideMark/>
          </w:tcPr>
          <w:p w:rsidR="0028205D" w:rsidRPr="00EB7C97" w:rsidRDefault="0028205D" w:rsidP="0028205D">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EB7C97">
              <w:rPr>
                <w:rFonts w:ascii="Arial" w:hAnsi="Arial" w:cs="Arial"/>
                <w:spacing w:val="6"/>
                <w:sz w:val="16"/>
                <w:szCs w:val="16"/>
              </w:rPr>
              <w:t>Porcentaje</w:t>
            </w:r>
          </w:p>
          <w:p w:rsidR="0028205D" w:rsidRPr="00EB7C97" w:rsidRDefault="0028205D" w:rsidP="0028205D">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proofErr w:type="spellStart"/>
            <w:r w:rsidRPr="00EB7C97">
              <w:rPr>
                <w:rFonts w:ascii="Arial" w:hAnsi="Arial" w:cs="Arial"/>
                <w:spacing w:val="6"/>
                <w:sz w:val="16"/>
                <w:szCs w:val="16"/>
              </w:rPr>
              <w:t>participac</w:t>
            </w:r>
            <w:proofErr w:type="spellEnd"/>
            <w:r w:rsidRPr="00EB7C97">
              <w:rPr>
                <w:rFonts w:ascii="Arial" w:hAnsi="Arial" w:cs="Arial"/>
                <w:spacing w:val="6"/>
                <w:sz w:val="16"/>
                <w:szCs w:val="16"/>
              </w:rPr>
              <w:t>. CPEN</w:t>
            </w:r>
          </w:p>
        </w:tc>
        <w:tc>
          <w:tcPr>
            <w:tcW w:w="2844" w:type="dxa"/>
            <w:tcBorders>
              <w:top w:val="single" w:sz="4" w:space="0" w:color="auto"/>
              <w:left w:val="nil"/>
              <w:bottom w:val="single" w:sz="4" w:space="0" w:color="000000"/>
              <w:right w:val="nil"/>
            </w:tcBorders>
            <w:shd w:val="clear" w:color="auto" w:fill="8DB3E2" w:themeFill="text2" w:themeFillTint="66"/>
            <w:vAlign w:val="center"/>
            <w:hideMark/>
          </w:tcPr>
          <w:p w:rsidR="0028205D" w:rsidRPr="00EB7C97" w:rsidRDefault="0028205D" w:rsidP="008C4202">
            <w:pPr>
              <w:keepLines/>
              <w:tabs>
                <w:tab w:val="right" w:pos="2835"/>
                <w:tab w:val="right" w:pos="3969"/>
                <w:tab w:val="right" w:pos="5103"/>
                <w:tab w:val="right" w:pos="6237"/>
                <w:tab w:val="right" w:pos="7371"/>
              </w:tabs>
              <w:spacing w:after="0"/>
              <w:ind w:left="-211" w:firstLine="0"/>
              <w:jc w:val="right"/>
              <w:rPr>
                <w:rFonts w:ascii="Arial" w:hAnsi="Arial" w:cs="Arial"/>
                <w:spacing w:val="6"/>
                <w:sz w:val="16"/>
                <w:szCs w:val="16"/>
              </w:rPr>
            </w:pPr>
            <w:r w:rsidRPr="00EB7C97">
              <w:rPr>
                <w:rFonts w:ascii="Arial" w:hAnsi="Arial" w:cs="Arial"/>
                <w:spacing w:val="6"/>
                <w:sz w:val="16"/>
                <w:szCs w:val="16"/>
              </w:rPr>
              <w:t>Actividad económica</w:t>
            </w:r>
          </w:p>
        </w:tc>
      </w:tr>
      <w:tr w:rsidR="0028205D" w:rsidRPr="00EB7C97" w:rsidTr="008C4202">
        <w:trPr>
          <w:trHeight w:val="198"/>
          <w:jc w:val="center"/>
        </w:trPr>
        <w:tc>
          <w:tcPr>
            <w:tcW w:w="4106" w:type="dxa"/>
            <w:tcBorders>
              <w:top w:val="single" w:sz="4"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Centro Europeo de Empresas e Innovación, S.L. (CEIN)</w:t>
            </w:r>
          </w:p>
        </w:tc>
        <w:tc>
          <w:tcPr>
            <w:tcW w:w="1847" w:type="dxa"/>
            <w:tcBorders>
              <w:top w:val="single" w:sz="4"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4"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Innovación y </w:t>
            </w:r>
            <w:r>
              <w:rPr>
                <w:rFonts w:ascii="Arial Narrow" w:hAnsi="Arial Narrow" w:cs="Arial"/>
                <w:sz w:val="18"/>
                <w:szCs w:val="18"/>
                <w:lang w:val="es-ES" w:eastAsia="es-ES"/>
              </w:rPr>
              <w:t>e</w:t>
            </w:r>
            <w:r w:rsidRPr="00EB7C97">
              <w:rPr>
                <w:rFonts w:ascii="Arial Narrow" w:hAnsi="Arial Narrow" w:cs="Arial"/>
                <w:sz w:val="18"/>
                <w:szCs w:val="18"/>
                <w:lang w:val="es-ES" w:eastAsia="es-ES"/>
              </w:rPr>
              <w:t>mprendedores</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Centro Navarro de Aprendizaje de Idiomas, S.A. (CNAI)</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Educación y </w:t>
            </w:r>
            <w:r>
              <w:rPr>
                <w:rFonts w:ascii="Arial Narrow" w:hAnsi="Arial Narrow" w:cs="Arial"/>
                <w:sz w:val="18"/>
                <w:szCs w:val="18"/>
                <w:lang w:val="es-ES" w:eastAsia="es-ES"/>
              </w:rPr>
              <w:t>t</w:t>
            </w:r>
            <w:r w:rsidRPr="00EB7C97">
              <w:rPr>
                <w:rFonts w:ascii="Arial Narrow" w:hAnsi="Arial Narrow" w:cs="Arial"/>
                <w:sz w:val="18"/>
                <w:szCs w:val="18"/>
                <w:lang w:val="es-ES" w:eastAsia="es-ES"/>
              </w:rPr>
              <w:t>alento</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Ciudad Agroalimentaria de Tudela, S.L. (CAT)</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Agroalimentación</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Gestión Ambiental de Navarra, S.A. (GAN)</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Medio </w:t>
            </w:r>
            <w:r>
              <w:rPr>
                <w:rFonts w:ascii="Arial Narrow" w:hAnsi="Arial Narrow" w:cs="Arial"/>
                <w:sz w:val="18"/>
                <w:szCs w:val="18"/>
                <w:lang w:val="es-ES" w:eastAsia="es-ES"/>
              </w:rPr>
              <w:t>a</w:t>
            </w:r>
            <w:r w:rsidRPr="00EB7C97">
              <w:rPr>
                <w:rFonts w:ascii="Arial Narrow" w:hAnsi="Arial Narrow" w:cs="Arial"/>
                <w:sz w:val="18"/>
                <w:szCs w:val="18"/>
                <w:lang w:val="es-ES" w:eastAsia="es-ES"/>
              </w:rPr>
              <w:t>mbiente</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Instituto Navarro de Tecnologías e Infraestructuras Agro</w:t>
            </w:r>
            <w:r w:rsidRPr="00EB7C97">
              <w:rPr>
                <w:rFonts w:ascii="Arial Narrow" w:hAnsi="Arial Narrow" w:cs="Arial"/>
                <w:sz w:val="18"/>
                <w:szCs w:val="18"/>
                <w:lang w:val="es-ES" w:eastAsia="es-ES"/>
              </w:rPr>
              <w:t>a</w:t>
            </w:r>
            <w:r w:rsidRPr="00EB7C97">
              <w:rPr>
                <w:rFonts w:ascii="Arial Narrow" w:hAnsi="Arial Narrow" w:cs="Arial"/>
                <w:sz w:val="18"/>
                <w:szCs w:val="18"/>
                <w:lang w:val="es-ES" w:eastAsia="es-ES"/>
              </w:rPr>
              <w:t>limentarias, S.A. (INTIA)</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Agroalimentación</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Navarra de Infraestructuras de Cultura, Deporte y Ocio, S.L. (NICDO)</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2" w:space="0" w:color="000000"/>
              <w:left w:val="nil"/>
              <w:bottom w:val="single" w:sz="2" w:space="0" w:color="000000"/>
              <w:right w:val="nil"/>
            </w:tcBorders>
            <w:vAlign w:val="center"/>
            <w:hideMark/>
          </w:tcPr>
          <w:p w:rsidR="008C4202"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Infraestructuras </w:t>
            </w:r>
            <w:r>
              <w:rPr>
                <w:rFonts w:ascii="Arial Narrow" w:hAnsi="Arial Narrow" w:cs="Arial"/>
                <w:sz w:val="18"/>
                <w:szCs w:val="18"/>
                <w:lang w:val="es-ES" w:eastAsia="es-ES"/>
              </w:rPr>
              <w:t>t</w:t>
            </w:r>
            <w:r w:rsidRPr="00EB7C97">
              <w:rPr>
                <w:rFonts w:ascii="Arial Narrow" w:hAnsi="Arial Narrow" w:cs="Arial"/>
                <w:sz w:val="18"/>
                <w:szCs w:val="18"/>
                <w:lang w:val="es-ES" w:eastAsia="es-ES"/>
              </w:rPr>
              <w:t>emáticas,</w:t>
            </w:r>
            <w:r>
              <w:rPr>
                <w:rFonts w:ascii="Arial Narrow" w:hAnsi="Arial Narrow" w:cs="Arial"/>
                <w:sz w:val="18"/>
                <w:szCs w:val="18"/>
                <w:lang w:val="es-ES" w:eastAsia="es-ES"/>
              </w:rPr>
              <w:t xml:space="preserve"> </w:t>
            </w:r>
          </w:p>
          <w:p w:rsidR="0028205D" w:rsidRPr="00EB7C97" w:rsidRDefault="0028205D" w:rsidP="008C4202">
            <w:pPr>
              <w:spacing w:after="0"/>
              <w:ind w:left="-211" w:firstLine="0"/>
              <w:jc w:val="right"/>
              <w:rPr>
                <w:rFonts w:ascii="Arial Narrow" w:hAnsi="Arial Narrow" w:cs="Arial"/>
                <w:sz w:val="18"/>
                <w:szCs w:val="18"/>
                <w:lang w:val="es-ES" w:eastAsia="es-ES"/>
              </w:rPr>
            </w:pPr>
            <w:r>
              <w:rPr>
                <w:rFonts w:ascii="Arial Narrow" w:hAnsi="Arial Narrow" w:cs="Arial"/>
                <w:sz w:val="18"/>
                <w:szCs w:val="18"/>
                <w:lang w:val="es-ES" w:eastAsia="es-ES"/>
              </w:rPr>
              <w:t>cu</w:t>
            </w:r>
            <w:r w:rsidRPr="00EB7C97">
              <w:rPr>
                <w:rFonts w:ascii="Arial Narrow" w:hAnsi="Arial Narrow" w:cs="Arial"/>
                <w:sz w:val="18"/>
                <w:szCs w:val="18"/>
                <w:lang w:val="es-ES" w:eastAsia="es-ES"/>
              </w:rPr>
              <w:t>lturales,</w:t>
            </w:r>
            <w:r>
              <w:rPr>
                <w:rFonts w:ascii="Arial Narrow" w:hAnsi="Arial Narrow" w:cs="Arial"/>
                <w:sz w:val="18"/>
                <w:szCs w:val="18"/>
                <w:lang w:val="es-ES" w:eastAsia="es-ES"/>
              </w:rPr>
              <w:t xml:space="preserve"> ocio y d</w:t>
            </w:r>
            <w:r w:rsidRPr="00EB7C97">
              <w:rPr>
                <w:rFonts w:ascii="Arial Narrow" w:hAnsi="Arial Narrow" w:cs="Arial"/>
                <w:sz w:val="18"/>
                <w:szCs w:val="18"/>
                <w:lang w:val="es-ES" w:eastAsia="es-ES"/>
              </w:rPr>
              <w:t>eporte</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Navarra de Infraestructuras Locales, S.A. (NILSA)</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Infraestructuras locales</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Navarra de Servicios y Tecnologías, S.A. (NASERTIC)</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Servicios y </w:t>
            </w:r>
            <w:r>
              <w:rPr>
                <w:rFonts w:ascii="Arial Narrow" w:hAnsi="Arial Narrow" w:cs="Arial"/>
                <w:sz w:val="18"/>
                <w:szCs w:val="18"/>
                <w:lang w:val="es-ES" w:eastAsia="es-ES"/>
              </w:rPr>
              <w:t>t</w:t>
            </w:r>
            <w:r w:rsidRPr="00EB7C97">
              <w:rPr>
                <w:rFonts w:ascii="Arial Narrow" w:hAnsi="Arial Narrow" w:cs="Arial"/>
                <w:sz w:val="18"/>
                <w:szCs w:val="18"/>
                <w:lang w:val="es-ES" w:eastAsia="es-ES"/>
              </w:rPr>
              <w:t>ecnología para las AAPP</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Navarra de Suelo y Vivienda, S.A. (NASUVINSA)</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Suelo y </w:t>
            </w:r>
            <w:r>
              <w:rPr>
                <w:rFonts w:ascii="Arial Narrow" w:hAnsi="Arial Narrow" w:cs="Arial"/>
                <w:sz w:val="18"/>
                <w:szCs w:val="18"/>
                <w:lang w:val="es-ES" w:eastAsia="es-ES"/>
              </w:rPr>
              <w:t>v</w:t>
            </w:r>
            <w:r w:rsidRPr="00EB7C97">
              <w:rPr>
                <w:rFonts w:ascii="Arial Narrow" w:hAnsi="Arial Narrow" w:cs="Arial"/>
                <w:sz w:val="18"/>
                <w:szCs w:val="18"/>
                <w:lang w:val="es-ES" w:eastAsia="es-ES"/>
              </w:rPr>
              <w:t>ivienda</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Potasas de </w:t>
            </w:r>
            <w:proofErr w:type="spellStart"/>
            <w:r w:rsidRPr="00EB7C97">
              <w:rPr>
                <w:rFonts w:ascii="Arial Narrow" w:hAnsi="Arial Narrow" w:cs="Arial"/>
                <w:sz w:val="18"/>
                <w:szCs w:val="18"/>
                <w:lang w:val="es-ES" w:eastAsia="es-ES"/>
              </w:rPr>
              <w:t>Subiza</w:t>
            </w:r>
            <w:proofErr w:type="spellEnd"/>
            <w:r w:rsidRPr="00EB7C97">
              <w:rPr>
                <w:rFonts w:ascii="Arial Narrow" w:hAnsi="Arial Narrow" w:cs="Arial"/>
                <w:sz w:val="18"/>
                <w:szCs w:val="18"/>
                <w:lang w:val="es-ES" w:eastAsia="es-ES"/>
              </w:rPr>
              <w:t>, S.A.U. (POSUSA)</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2" w:space="0" w:color="000000"/>
              <w:left w:val="nil"/>
              <w:bottom w:val="single" w:sz="2" w:space="0" w:color="000000"/>
              <w:right w:val="nil"/>
            </w:tcBorders>
            <w:vAlign w:val="center"/>
            <w:hideMark/>
          </w:tcPr>
          <w:p w:rsidR="008C4202"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Actividad medioambiental y </w:t>
            </w:r>
          </w:p>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recomposición tejido industrial</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Salinas de Navarra, S.A.</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76</w:t>
            </w:r>
          </w:p>
        </w:tc>
        <w:tc>
          <w:tcPr>
            <w:tcW w:w="2844" w:type="dxa"/>
            <w:tcBorders>
              <w:top w:val="single" w:sz="2" w:space="0" w:color="000000"/>
              <w:left w:val="nil"/>
              <w:bottom w:val="single" w:sz="2" w:space="0" w:color="000000"/>
              <w:right w:val="nil"/>
            </w:tcBorders>
            <w:vAlign w:val="center"/>
            <w:hideMark/>
          </w:tcPr>
          <w:p w:rsidR="008C4202"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Producción y comercialización </w:t>
            </w:r>
          </w:p>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de sal y derivados</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Sociedad de Desarrollo de Navarra, S.L. (SODENA)</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Promoción </w:t>
            </w:r>
            <w:r>
              <w:rPr>
                <w:rFonts w:ascii="Arial Narrow" w:hAnsi="Arial Narrow" w:cs="Arial"/>
                <w:sz w:val="18"/>
                <w:szCs w:val="18"/>
                <w:lang w:val="es-ES" w:eastAsia="es-ES"/>
              </w:rPr>
              <w:t>e</w:t>
            </w:r>
            <w:r w:rsidRPr="00EB7C97">
              <w:rPr>
                <w:rFonts w:ascii="Arial Narrow" w:hAnsi="Arial Narrow" w:cs="Arial"/>
                <w:sz w:val="18"/>
                <w:szCs w:val="18"/>
                <w:lang w:val="es-ES" w:eastAsia="es-ES"/>
              </w:rPr>
              <w:t xml:space="preserve">conómica y </w:t>
            </w:r>
            <w:r>
              <w:rPr>
                <w:rFonts w:ascii="Arial Narrow" w:hAnsi="Arial Narrow" w:cs="Arial"/>
                <w:sz w:val="18"/>
                <w:szCs w:val="18"/>
                <w:lang w:val="es-ES" w:eastAsia="es-ES"/>
              </w:rPr>
              <w:t>f</w:t>
            </w:r>
            <w:r w:rsidRPr="00EB7C97">
              <w:rPr>
                <w:rFonts w:ascii="Arial Narrow" w:hAnsi="Arial Narrow" w:cs="Arial"/>
                <w:sz w:val="18"/>
                <w:szCs w:val="18"/>
                <w:lang w:val="es-ES" w:eastAsia="es-ES"/>
              </w:rPr>
              <w:t>inanciación</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tcPr>
          <w:p w:rsidR="0028205D" w:rsidRPr="00EB7C97" w:rsidRDefault="0028205D" w:rsidP="0028205D">
            <w:pPr>
              <w:spacing w:after="0"/>
              <w:ind w:firstLine="0"/>
              <w:jc w:val="left"/>
              <w:rPr>
                <w:rFonts w:ascii="Arial Narrow" w:hAnsi="Arial Narrow" w:cs="Arial"/>
                <w:sz w:val="18"/>
                <w:szCs w:val="18"/>
                <w:lang w:val="en-US" w:eastAsia="es-ES"/>
              </w:rPr>
            </w:pPr>
            <w:r w:rsidRPr="00EB7C97">
              <w:rPr>
                <w:rFonts w:ascii="Arial Narrow" w:hAnsi="Arial Narrow" w:cs="Arial"/>
                <w:sz w:val="18"/>
                <w:szCs w:val="18"/>
                <w:lang w:val="en-US" w:eastAsia="es-ES"/>
              </w:rPr>
              <w:t>Natural Climate Systems, S.A. (MIYABI)</w:t>
            </w:r>
          </w:p>
        </w:tc>
        <w:tc>
          <w:tcPr>
            <w:tcW w:w="1847" w:type="dxa"/>
            <w:tcBorders>
              <w:top w:val="single" w:sz="2" w:space="0" w:color="000000"/>
              <w:left w:val="nil"/>
              <w:bottom w:val="single" w:sz="2" w:space="0" w:color="000000"/>
              <w:right w:val="nil"/>
            </w:tcBorders>
            <w:vAlign w:val="center"/>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tcBorders>
              <w:top w:val="single" w:sz="2" w:space="0" w:color="000000"/>
              <w:left w:val="nil"/>
              <w:bottom w:val="single" w:sz="2" w:space="0" w:color="000000"/>
              <w:right w:val="nil"/>
            </w:tcBorders>
            <w:vAlign w:val="center"/>
          </w:tcPr>
          <w:p w:rsidR="008C4202"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Promoción, construcción y rehabilitación</w:t>
            </w:r>
          </w:p>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 xml:space="preserve"> con criterios de eficiencia energética</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lang w:val="en-US" w:eastAsia="es-ES"/>
              </w:rPr>
            </w:pPr>
            <w:r w:rsidRPr="00EB7C97">
              <w:rPr>
                <w:rFonts w:ascii="Arial Narrow" w:hAnsi="Arial Narrow" w:cs="Arial"/>
                <w:sz w:val="18"/>
                <w:szCs w:val="18"/>
                <w:lang w:val="en-US" w:eastAsia="es-ES"/>
              </w:rPr>
              <w:t>Start Up Capital Navarra, S.L.</w:t>
            </w:r>
          </w:p>
        </w:tc>
        <w:tc>
          <w:tcPr>
            <w:tcW w:w="1847"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Pr>
                <w:rFonts w:ascii="Arial Narrow" w:hAnsi="Arial Narrow" w:cs="Arial"/>
                <w:sz w:val="18"/>
                <w:szCs w:val="18"/>
                <w:lang w:val="es-ES" w:eastAsia="es-ES"/>
              </w:rPr>
              <w:t>68,46</w:t>
            </w:r>
          </w:p>
        </w:tc>
        <w:tc>
          <w:tcPr>
            <w:tcW w:w="2844" w:type="dxa"/>
            <w:tcBorders>
              <w:top w:val="single" w:sz="2" w:space="0" w:color="000000"/>
              <w:left w:val="nil"/>
              <w:bottom w:val="single" w:sz="2" w:space="0" w:color="000000"/>
              <w:right w:val="nil"/>
            </w:tcBorders>
            <w:vAlign w:val="center"/>
            <w:hideMark/>
          </w:tcPr>
          <w:p w:rsidR="0028205D" w:rsidRPr="00EB7C97" w:rsidRDefault="0028205D" w:rsidP="008C4202">
            <w:pPr>
              <w:spacing w:after="0"/>
              <w:ind w:left="-211"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Promoción y fomento de empresas</w:t>
            </w:r>
          </w:p>
        </w:tc>
      </w:tr>
      <w:tr w:rsidR="0028205D" w:rsidRPr="00EB7C97" w:rsidTr="008C4202">
        <w:trPr>
          <w:trHeight w:val="198"/>
          <w:jc w:val="center"/>
        </w:trPr>
        <w:tc>
          <w:tcPr>
            <w:tcW w:w="4106" w:type="dxa"/>
            <w:tcBorders>
              <w:top w:val="single" w:sz="2" w:space="0" w:color="000000"/>
              <w:left w:val="nil"/>
              <w:bottom w:val="single" w:sz="2" w:space="0" w:color="000000"/>
              <w:right w:val="nil"/>
            </w:tcBorders>
            <w:vAlign w:val="center"/>
            <w:hideMark/>
          </w:tcPr>
          <w:p w:rsidR="0028205D" w:rsidRPr="00EB7C97" w:rsidRDefault="0028205D" w:rsidP="0028205D">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Trabajos Catastrales, S.A. (TRACASA)</w:t>
            </w:r>
          </w:p>
        </w:tc>
        <w:tc>
          <w:tcPr>
            <w:tcW w:w="1847" w:type="dxa"/>
            <w:vMerge w:val="restart"/>
            <w:tcBorders>
              <w:top w:val="single" w:sz="2" w:space="0" w:color="000000"/>
              <w:left w:val="nil"/>
              <w:bottom w:val="single" w:sz="2" w:space="0" w:color="000000"/>
              <w:right w:val="nil"/>
            </w:tcBorders>
            <w:vAlign w:val="center"/>
            <w:hideMark/>
          </w:tcPr>
          <w:p w:rsidR="0028205D" w:rsidRPr="00EB7C97" w:rsidRDefault="0028205D" w:rsidP="0028205D">
            <w:pPr>
              <w:spacing w:after="0"/>
              <w:ind w:left="-94" w:firstLine="0"/>
              <w:jc w:val="right"/>
              <w:rPr>
                <w:rFonts w:ascii="Arial Narrow" w:hAnsi="Arial Narrow" w:cs="Arial"/>
                <w:sz w:val="18"/>
                <w:szCs w:val="18"/>
                <w:lang w:val="es-ES" w:eastAsia="es-ES"/>
              </w:rPr>
            </w:pPr>
            <w:r w:rsidRPr="00EB7C97">
              <w:rPr>
                <w:rFonts w:ascii="Arial Narrow" w:hAnsi="Arial Narrow" w:cs="Arial"/>
                <w:sz w:val="18"/>
                <w:szCs w:val="18"/>
                <w:lang w:val="es-ES" w:eastAsia="es-ES"/>
              </w:rPr>
              <w:t>100</w:t>
            </w:r>
          </w:p>
        </w:tc>
        <w:tc>
          <w:tcPr>
            <w:tcW w:w="2844" w:type="dxa"/>
            <w:vMerge w:val="restart"/>
            <w:tcBorders>
              <w:top w:val="single" w:sz="2" w:space="0" w:color="000000"/>
              <w:left w:val="nil"/>
              <w:bottom w:val="single" w:sz="2" w:space="0" w:color="000000"/>
              <w:right w:val="nil"/>
            </w:tcBorders>
            <w:vAlign w:val="center"/>
            <w:hideMark/>
          </w:tcPr>
          <w:p w:rsidR="0028205D" w:rsidRPr="00EB7C97" w:rsidRDefault="002E36B8" w:rsidP="008C4202">
            <w:pPr>
              <w:spacing w:after="0"/>
              <w:ind w:left="-211" w:firstLine="0"/>
              <w:jc w:val="right"/>
              <w:rPr>
                <w:rFonts w:ascii="Arial Narrow" w:hAnsi="Arial Narrow" w:cs="Arial"/>
                <w:sz w:val="18"/>
                <w:szCs w:val="18"/>
                <w:lang w:val="es-ES" w:eastAsia="es-ES"/>
              </w:rPr>
            </w:pPr>
            <w:r>
              <w:rPr>
                <w:rFonts w:ascii="Arial Narrow" w:hAnsi="Arial Narrow" w:cs="Arial"/>
                <w:sz w:val="18"/>
                <w:szCs w:val="18"/>
                <w:lang w:val="es-ES" w:eastAsia="es-ES"/>
              </w:rPr>
              <w:t>Catastro, cartografía</w:t>
            </w:r>
          </w:p>
        </w:tc>
      </w:tr>
      <w:tr w:rsidR="0028205D" w:rsidRPr="00EB7C97" w:rsidTr="008C4202">
        <w:trPr>
          <w:trHeight w:val="198"/>
          <w:jc w:val="center"/>
        </w:trPr>
        <w:tc>
          <w:tcPr>
            <w:tcW w:w="4106" w:type="dxa"/>
            <w:tcBorders>
              <w:top w:val="single" w:sz="2" w:space="0" w:color="000000"/>
              <w:left w:val="nil"/>
              <w:bottom w:val="single" w:sz="4" w:space="0" w:color="000000"/>
              <w:right w:val="nil"/>
            </w:tcBorders>
            <w:vAlign w:val="center"/>
          </w:tcPr>
          <w:p w:rsidR="0028205D" w:rsidRPr="00EB7C97" w:rsidRDefault="0028205D" w:rsidP="0028205D">
            <w:pPr>
              <w:spacing w:after="0"/>
              <w:ind w:firstLine="0"/>
              <w:jc w:val="left"/>
              <w:rPr>
                <w:rFonts w:ascii="Arial Narrow" w:hAnsi="Arial Narrow" w:cs="Arial"/>
                <w:sz w:val="18"/>
                <w:szCs w:val="18"/>
                <w:lang w:val="es-ES" w:eastAsia="es-ES"/>
              </w:rPr>
            </w:pPr>
            <w:r w:rsidRPr="00EB7C97">
              <w:rPr>
                <w:rFonts w:ascii="Arial Narrow" w:hAnsi="Arial Narrow" w:cs="Arial"/>
                <w:sz w:val="18"/>
                <w:szCs w:val="18"/>
                <w:lang w:val="es-ES" w:eastAsia="es-ES"/>
              </w:rPr>
              <w:t>TRACASA Instrumental, S.L.</w:t>
            </w:r>
          </w:p>
        </w:tc>
        <w:tc>
          <w:tcPr>
            <w:tcW w:w="1847" w:type="dxa"/>
            <w:vMerge/>
            <w:tcBorders>
              <w:top w:val="single" w:sz="2" w:space="0" w:color="000000"/>
              <w:left w:val="nil"/>
              <w:bottom w:val="single" w:sz="4" w:space="0" w:color="000000"/>
              <w:right w:val="nil"/>
            </w:tcBorders>
            <w:vAlign w:val="center"/>
          </w:tcPr>
          <w:p w:rsidR="0028205D" w:rsidRPr="00EB7C97" w:rsidRDefault="0028205D" w:rsidP="0028205D">
            <w:pPr>
              <w:spacing w:after="0"/>
              <w:ind w:left="-94" w:firstLine="0"/>
              <w:jc w:val="center"/>
              <w:rPr>
                <w:rFonts w:ascii="Arial Narrow" w:hAnsi="Arial Narrow" w:cs="Arial"/>
                <w:sz w:val="18"/>
                <w:szCs w:val="18"/>
                <w:lang w:val="es-ES" w:eastAsia="es-ES"/>
              </w:rPr>
            </w:pPr>
          </w:p>
        </w:tc>
        <w:tc>
          <w:tcPr>
            <w:tcW w:w="2844" w:type="dxa"/>
            <w:vMerge/>
            <w:tcBorders>
              <w:top w:val="single" w:sz="2" w:space="0" w:color="000000"/>
              <w:left w:val="nil"/>
              <w:bottom w:val="single" w:sz="4" w:space="0" w:color="000000"/>
              <w:right w:val="nil"/>
            </w:tcBorders>
            <w:vAlign w:val="center"/>
          </w:tcPr>
          <w:p w:rsidR="0028205D" w:rsidRPr="00EB7C97" w:rsidRDefault="0028205D" w:rsidP="008C4202">
            <w:pPr>
              <w:spacing w:after="0"/>
              <w:ind w:left="-211" w:firstLine="0"/>
              <w:jc w:val="left"/>
              <w:rPr>
                <w:rFonts w:ascii="Arial Narrow" w:hAnsi="Arial Narrow" w:cs="Arial"/>
                <w:sz w:val="18"/>
                <w:szCs w:val="18"/>
                <w:lang w:val="es-ES" w:eastAsia="es-ES"/>
              </w:rPr>
            </w:pPr>
          </w:p>
        </w:tc>
      </w:tr>
    </w:tbl>
    <w:p w:rsidR="0028205D" w:rsidRPr="00EB7C97" w:rsidRDefault="0028205D" w:rsidP="0028205D">
      <w:pPr>
        <w:pStyle w:val="texto"/>
        <w:spacing w:before="240"/>
      </w:pPr>
      <w:r w:rsidRPr="00EB7C97">
        <w:t>En comparación con 201</w:t>
      </w:r>
      <w:r>
        <w:t xml:space="preserve">6, no ha habido variación en el número de empresas, si bien la participación en </w:t>
      </w:r>
      <w:proofErr w:type="spellStart"/>
      <w:r>
        <w:t>Start</w:t>
      </w:r>
      <w:proofErr w:type="spellEnd"/>
      <w:r>
        <w:t xml:space="preserve"> Up Capital Navarra, S.L., ha pasado del 59,50 al 68,46 por ciento</w:t>
      </w:r>
      <w:r w:rsidRPr="00EB7C97">
        <w:t>.</w:t>
      </w:r>
    </w:p>
    <w:p w:rsidR="0028205D" w:rsidRPr="00EB7C97" w:rsidRDefault="0028205D" w:rsidP="0028205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rPr>
          <w:rFonts w:cs="Arial"/>
        </w:rPr>
        <w:t>L</w:t>
      </w:r>
      <w:r w:rsidRPr="00EB7C97">
        <w:rPr>
          <w:rFonts w:cs="Arial"/>
        </w:rPr>
        <w:t xml:space="preserve">as fundaciones públicas de la </w:t>
      </w:r>
      <w:r>
        <w:rPr>
          <w:rFonts w:cs="Arial"/>
        </w:rPr>
        <w:t>ACFN</w:t>
      </w:r>
      <w:r w:rsidRPr="00EB7C97">
        <w:rPr>
          <w:rFonts w:cs="Arial"/>
        </w:rPr>
        <w:t xml:space="preserve"> a 31 de diciembre de 201</w:t>
      </w:r>
      <w:r>
        <w:rPr>
          <w:rFonts w:cs="Arial"/>
        </w:rPr>
        <w:t>7</w:t>
      </w:r>
      <w:r w:rsidRPr="00EB7C97">
        <w:rPr>
          <w:rFonts w:cs="Arial"/>
        </w:rPr>
        <w:t xml:space="preserve"> era</w:t>
      </w:r>
      <w:r>
        <w:rPr>
          <w:rFonts w:cs="Arial"/>
        </w:rPr>
        <w:t>n las</w:t>
      </w:r>
      <w:r w:rsidRPr="00EB7C97">
        <w:rPr>
          <w:rFonts w:cs="Arial"/>
        </w:rPr>
        <w:t xml:space="preserve"> siguiente</w:t>
      </w:r>
      <w:r>
        <w:rPr>
          <w:rFonts w:cs="Arial"/>
        </w:rPr>
        <w:t>s</w:t>
      </w:r>
      <w:r w:rsidRPr="00EB7C97">
        <w:rPr>
          <w:rFonts w:cs="Arial"/>
        </w:rPr>
        <w:t xml:space="preserve">: </w:t>
      </w:r>
    </w:p>
    <w:tbl>
      <w:tblPr>
        <w:tblW w:w="8836" w:type="dxa"/>
        <w:jc w:val="center"/>
        <w:tblBorders>
          <w:top w:val="single" w:sz="4" w:space="0" w:color="auto"/>
          <w:bottom w:val="single" w:sz="4" w:space="0" w:color="auto"/>
        </w:tblBorders>
        <w:tblLook w:val="01E0" w:firstRow="1" w:lastRow="1" w:firstColumn="1" w:lastColumn="1" w:noHBand="0" w:noVBand="0"/>
      </w:tblPr>
      <w:tblGrid>
        <w:gridCol w:w="3944"/>
        <w:gridCol w:w="4892"/>
      </w:tblGrid>
      <w:tr w:rsidR="0028205D" w:rsidRPr="00EB7C97" w:rsidTr="00734A6D">
        <w:trPr>
          <w:trHeight w:val="255"/>
          <w:jc w:val="center"/>
        </w:trPr>
        <w:tc>
          <w:tcPr>
            <w:tcW w:w="3944" w:type="dxa"/>
            <w:tcBorders>
              <w:top w:val="single" w:sz="4" w:space="0" w:color="auto"/>
              <w:left w:val="nil"/>
              <w:bottom w:val="single" w:sz="4" w:space="0" w:color="auto"/>
              <w:right w:val="nil"/>
            </w:tcBorders>
            <w:shd w:val="clear" w:color="auto" w:fill="8DB3E2" w:themeFill="text2" w:themeFillTint="66"/>
            <w:vAlign w:val="center"/>
            <w:hideMark/>
          </w:tcPr>
          <w:p w:rsidR="0028205D" w:rsidRPr="00EB7C97" w:rsidRDefault="0028205D" w:rsidP="0028205D">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EB7C97">
              <w:rPr>
                <w:rFonts w:ascii="Arial" w:hAnsi="Arial" w:cs="Arial"/>
                <w:spacing w:val="6"/>
                <w:sz w:val="18"/>
                <w:szCs w:val="18"/>
              </w:rPr>
              <w:t>Fundación</w:t>
            </w:r>
            <w:r>
              <w:rPr>
                <w:rFonts w:ascii="Arial" w:hAnsi="Arial" w:cs="Arial"/>
                <w:spacing w:val="6"/>
                <w:sz w:val="18"/>
                <w:szCs w:val="18"/>
              </w:rPr>
              <w:t xml:space="preserve"> Pública</w:t>
            </w:r>
          </w:p>
        </w:tc>
        <w:tc>
          <w:tcPr>
            <w:tcW w:w="4892" w:type="dxa"/>
            <w:tcBorders>
              <w:top w:val="single" w:sz="4" w:space="0" w:color="auto"/>
              <w:left w:val="nil"/>
              <w:bottom w:val="single" w:sz="4" w:space="0" w:color="auto"/>
              <w:right w:val="nil"/>
            </w:tcBorders>
            <w:shd w:val="clear" w:color="auto" w:fill="8DB3E2" w:themeFill="text2" w:themeFillTint="66"/>
            <w:vAlign w:val="center"/>
            <w:hideMark/>
          </w:tcPr>
          <w:p w:rsidR="0028205D" w:rsidRPr="00EB7C97" w:rsidRDefault="0028205D" w:rsidP="0028205D">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EB7C97">
              <w:rPr>
                <w:rFonts w:ascii="Arial" w:hAnsi="Arial" w:cs="Arial"/>
                <w:spacing w:val="6"/>
                <w:sz w:val="18"/>
                <w:szCs w:val="18"/>
              </w:rPr>
              <w:t>Objeto</w:t>
            </w:r>
          </w:p>
        </w:tc>
      </w:tr>
      <w:tr w:rsidR="0028205D" w:rsidRPr="00EB7C97" w:rsidTr="00734A6D">
        <w:trPr>
          <w:trHeight w:val="198"/>
          <w:jc w:val="center"/>
        </w:trPr>
        <w:tc>
          <w:tcPr>
            <w:tcW w:w="3944" w:type="dxa"/>
            <w:tcBorders>
              <w:top w:val="single" w:sz="4"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lang w:val="es-ES" w:eastAsia="es-ES"/>
              </w:rPr>
            </w:pPr>
            <w:r w:rsidRPr="00EB7C97">
              <w:rPr>
                <w:rFonts w:ascii="Arial Narrow" w:hAnsi="Arial Narrow" w:cs="Arial"/>
                <w:lang w:val="es-ES" w:eastAsia="es-ES"/>
              </w:rPr>
              <w:t>Baluarte</w:t>
            </w:r>
          </w:p>
        </w:tc>
        <w:tc>
          <w:tcPr>
            <w:tcW w:w="4892" w:type="dxa"/>
            <w:tcBorders>
              <w:top w:val="single" w:sz="4"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lang w:val="es-ES" w:eastAsia="es-ES"/>
              </w:rPr>
            </w:pPr>
            <w:r w:rsidRPr="00EB7C97">
              <w:rPr>
                <w:rFonts w:ascii="Arial Narrow" w:hAnsi="Arial Narrow" w:cs="Arial"/>
                <w:lang w:val="es-ES" w:eastAsia="es-ES"/>
              </w:rPr>
              <w:t>Promoción actividades culturales en Baluarte</w:t>
            </w:r>
          </w:p>
        </w:tc>
      </w:tr>
      <w:tr w:rsidR="0028205D" w:rsidRPr="00EB7C97" w:rsidTr="0028205D">
        <w:trPr>
          <w:trHeight w:val="198"/>
          <w:jc w:val="center"/>
        </w:trPr>
        <w:tc>
          <w:tcPr>
            <w:tcW w:w="3944"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lang w:val="es-ES" w:eastAsia="es-ES"/>
              </w:rPr>
            </w:pPr>
            <w:r w:rsidRPr="00EB7C97">
              <w:rPr>
                <w:rFonts w:ascii="Arial Narrow" w:hAnsi="Arial Narrow" w:cs="Arial"/>
                <w:lang w:val="es-ES" w:eastAsia="es-ES"/>
              </w:rPr>
              <w:t>Conservación del Patrimonio Histórico de Navarra</w:t>
            </w:r>
          </w:p>
        </w:tc>
        <w:tc>
          <w:tcPr>
            <w:tcW w:w="4892"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lang w:val="es-ES" w:eastAsia="es-ES"/>
              </w:rPr>
            </w:pPr>
            <w:r w:rsidRPr="00EB7C97">
              <w:rPr>
                <w:rFonts w:ascii="Arial Narrow" w:hAnsi="Arial Narrow" w:cs="Arial"/>
                <w:lang w:val="es-ES" w:eastAsia="es-ES"/>
              </w:rPr>
              <w:t>Conservación y restauración de Bienes de interés cultural</w:t>
            </w:r>
          </w:p>
        </w:tc>
      </w:tr>
      <w:tr w:rsidR="0028205D" w:rsidRPr="00EB7C97" w:rsidTr="0028205D">
        <w:trPr>
          <w:trHeight w:val="198"/>
          <w:jc w:val="center"/>
        </w:trPr>
        <w:tc>
          <w:tcPr>
            <w:tcW w:w="3944"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lang w:val="es-ES" w:eastAsia="es-ES"/>
              </w:rPr>
            </w:pPr>
            <w:r w:rsidRPr="00EB7C97">
              <w:rPr>
                <w:rFonts w:ascii="Arial Narrow" w:hAnsi="Arial Narrow" w:cs="Arial"/>
                <w:lang w:val="es-ES" w:eastAsia="es-ES"/>
              </w:rPr>
              <w:t>Miguel Servet</w:t>
            </w:r>
          </w:p>
        </w:tc>
        <w:tc>
          <w:tcPr>
            <w:tcW w:w="4892"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lang w:val="es-ES" w:eastAsia="es-ES"/>
              </w:rPr>
            </w:pPr>
            <w:r w:rsidRPr="00EB7C97">
              <w:rPr>
                <w:rFonts w:ascii="Arial Narrow" w:hAnsi="Arial Narrow" w:cs="Arial"/>
                <w:lang w:val="es-ES" w:eastAsia="es-ES"/>
              </w:rPr>
              <w:t>Fomento de la investigación sanitaria</w:t>
            </w:r>
          </w:p>
        </w:tc>
      </w:tr>
      <w:tr w:rsidR="0028205D" w:rsidRPr="00EB7C97" w:rsidTr="0028205D">
        <w:trPr>
          <w:trHeight w:val="198"/>
          <w:jc w:val="center"/>
        </w:trPr>
        <w:tc>
          <w:tcPr>
            <w:tcW w:w="3944"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lang w:val="es-ES" w:eastAsia="es-ES"/>
              </w:rPr>
            </w:pPr>
            <w:r w:rsidRPr="00EB7C97">
              <w:rPr>
                <w:rFonts w:ascii="Arial Narrow" w:hAnsi="Arial Narrow" w:cs="Arial"/>
                <w:lang w:val="es-ES" w:eastAsia="es-ES"/>
              </w:rPr>
              <w:t>Tutela de las Personas Adultas</w:t>
            </w:r>
          </w:p>
        </w:tc>
        <w:tc>
          <w:tcPr>
            <w:tcW w:w="4892" w:type="dxa"/>
            <w:tcBorders>
              <w:top w:val="single" w:sz="2" w:space="0" w:color="auto"/>
              <w:left w:val="nil"/>
              <w:bottom w:val="single" w:sz="2" w:space="0" w:color="auto"/>
              <w:right w:val="nil"/>
            </w:tcBorders>
            <w:vAlign w:val="center"/>
            <w:hideMark/>
          </w:tcPr>
          <w:p w:rsidR="0028205D" w:rsidRPr="00EB7C97" w:rsidRDefault="0028205D" w:rsidP="0028205D">
            <w:pPr>
              <w:spacing w:after="0"/>
              <w:ind w:firstLine="0"/>
              <w:jc w:val="left"/>
              <w:rPr>
                <w:rFonts w:ascii="Arial Narrow" w:hAnsi="Arial Narrow" w:cs="Arial"/>
                <w:lang w:val="es-ES" w:eastAsia="es-ES"/>
              </w:rPr>
            </w:pPr>
            <w:r w:rsidRPr="00EB7C97">
              <w:rPr>
                <w:rFonts w:ascii="Arial Narrow" w:hAnsi="Arial Narrow" w:cs="Arial"/>
                <w:lang w:val="es-ES" w:eastAsia="es-ES"/>
              </w:rPr>
              <w:t>Atención y tutela de personas mayores de edad e incapacitadas</w:t>
            </w:r>
          </w:p>
        </w:tc>
      </w:tr>
      <w:tr w:rsidR="0028205D" w:rsidRPr="00EB7C97" w:rsidTr="0028205D">
        <w:trPr>
          <w:trHeight w:val="198"/>
          <w:jc w:val="center"/>
        </w:trPr>
        <w:tc>
          <w:tcPr>
            <w:tcW w:w="3944" w:type="dxa"/>
            <w:tcBorders>
              <w:top w:val="single" w:sz="2" w:space="0" w:color="auto"/>
              <w:left w:val="nil"/>
              <w:bottom w:val="single" w:sz="4" w:space="0" w:color="auto"/>
              <w:right w:val="nil"/>
            </w:tcBorders>
            <w:vAlign w:val="center"/>
          </w:tcPr>
          <w:p w:rsidR="0028205D" w:rsidRPr="00EB7C97" w:rsidRDefault="0028205D" w:rsidP="0028205D">
            <w:pPr>
              <w:spacing w:after="0"/>
              <w:ind w:firstLine="0"/>
              <w:jc w:val="left"/>
              <w:rPr>
                <w:rFonts w:ascii="Arial Narrow" w:hAnsi="Arial Narrow" w:cs="Arial"/>
                <w:lang w:val="es-ES" w:eastAsia="es-ES"/>
              </w:rPr>
            </w:pPr>
            <w:r>
              <w:rPr>
                <w:rFonts w:ascii="Arial Narrow" w:hAnsi="Arial Narrow" w:cs="Arial"/>
                <w:lang w:val="es-ES" w:eastAsia="es-ES"/>
              </w:rPr>
              <w:t>Miguel Induráin</w:t>
            </w:r>
          </w:p>
        </w:tc>
        <w:tc>
          <w:tcPr>
            <w:tcW w:w="4892" w:type="dxa"/>
            <w:tcBorders>
              <w:top w:val="single" w:sz="2" w:space="0" w:color="auto"/>
              <w:left w:val="nil"/>
              <w:bottom w:val="single" w:sz="4" w:space="0" w:color="auto"/>
              <w:right w:val="nil"/>
            </w:tcBorders>
            <w:vAlign w:val="center"/>
          </w:tcPr>
          <w:p w:rsidR="0028205D" w:rsidRPr="00EB7C97" w:rsidRDefault="0028205D" w:rsidP="0028205D">
            <w:pPr>
              <w:spacing w:after="0"/>
              <w:ind w:firstLine="0"/>
              <w:jc w:val="left"/>
              <w:rPr>
                <w:rFonts w:ascii="Arial Narrow" w:hAnsi="Arial Narrow" w:cs="Arial"/>
                <w:lang w:val="es-ES" w:eastAsia="es-ES"/>
              </w:rPr>
            </w:pPr>
            <w:r>
              <w:rPr>
                <w:rFonts w:ascii="Arial Narrow" w:hAnsi="Arial Narrow" w:cs="Arial"/>
                <w:lang w:val="es-ES" w:eastAsia="es-ES"/>
              </w:rPr>
              <w:t>Promoción y desarrollo del deporte y ejercicio físico en Navarra</w:t>
            </w:r>
          </w:p>
        </w:tc>
      </w:tr>
    </w:tbl>
    <w:p w:rsidR="0028205D" w:rsidRPr="00EB7C97" w:rsidRDefault="0028205D" w:rsidP="0028205D">
      <w:pPr>
        <w:pStyle w:val="texto"/>
        <w:spacing w:before="240"/>
        <w:rPr>
          <w:lang w:val="es-ES"/>
        </w:rPr>
      </w:pPr>
      <w:r>
        <w:rPr>
          <w:lang w:val="es-ES"/>
        </w:rPr>
        <w:t>La Fundación Miguel Induráin se considera pública desde el acuerdo de G</w:t>
      </w:r>
      <w:r>
        <w:rPr>
          <w:lang w:val="es-ES"/>
        </w:rPr>
        <w:t>o</w:t>
      </w:r>
      <w:r>
        <w:rPr>
          <w:lang w:val="es-ES"/>
        </w:rPr>
        <w:t>bierno de 15 de marzo de 2017</w:t>
      </w:r>
      <w:r w:rsidRPr="00EB7C97">
        <w:rPr>
          <w:lang w:val="es-ES"/>
        </w:rPr>
        <w:t>.</w:t>
      </w:r>
    </w:p>
    <w:p w:rsidR="0028205D" w:rsidRDefault="0028205D" w:rsidP="0028205D">
      <w:pPr>
        <w:pStyle w:val="texto"/>
        <w:rPr>
          <w:lang w:val="es-ES"/>
        </w:rPr>
      </w:pPr>
    </w:p>
    <w:p w:rsidR="00564F2D" w:rsidRDefault="00564F2D" w:rsidP="0028205D">
      <w:pPr>
        <w:pStyle w:val="texto"/>
        <w:rPr>
          <w:lang w:val="es-ES"/>
        </w:rPr>
      </w:pPr>
    </w:p>
    <w:p w:rsidR="00E848E7" w:rsidRPr="00EB7C97" w:rsidRDefault="00E848E7" w:rsidP="00E848E7">
      <w:pPr>
        <w:pStyle w:val="texto"/>
        <w:rPr>
          <w:lang w:val="es-ES"/>
        </w:rPr>
      </w:pPr>
      <w:r>
        <w:rPr>
          <w:lang w:val="es-ES"/>
        </w:rPr>
        <w:lastRenderedPageBreak/>
        <w:t>L</w:t>
      </w:r>
      <w:r w:rsidRPr="00EB7C97">
        <w:rPr>
          <w:lang w:val="es-ES"/>
        </w:rPr>
        <w:t>os principales datos económicos y de personal a 31 de diciembre de 201</w:t>
      </w:r>
      <w:r>
        <w:rPr>
          <w:lang w:val="es-ES"/>
        </w:rPr>
        <w:t>7</w:t>
      </w:r>
      <w:r w:rsidRPr="00EB7C97">
        <w:rPr>
          <w:lang w:val="es-ES"/>
        </w:rPr>
        <w:t xml:space="preserve"> de las entidades que componen el </w:t>
      </w:r>
      <w:r>
        <w:rPr>
          <w:lang w:val="es-ES"/>
        </w:rPr>
        <w:t>S</w:t>
      </w:r>
      <w:r w:rsidRPr="00EB7C97">
        <w:rPr>
          <w:lang w:val="es-ES"/>
        </w:rPr>
        <w:t xml:space="preserve">ector </w:t>
      </w:r>
      <w:r>
        <w:rPr>
          <w:lang w:val="es-ES"/>
        </w:rPr>
        <w:t>P</w:t>
      </w:r>
      <w:r w:rsidRPr="00EB7C97">
        <w:rPr>
          <w:lang w:val="es-ES"/>
        </w:rPr>
        <w:t xml:space="preserve">úblico </w:t>
      </w:r>
      <w:r>
        <w:rPr>
          <w:lang w:val="es-ES"/>
        </w:rPr>
        <w:t>F</w:t>
      </w:r>
      <w:r w:rsidRPr="00EB7C97">
        <w:rPr>
          <w:lang w:val="es-ES"/>
        </w:rPr>
        <w:t>oral, ampliados y coment</w:t>
      </w:r>
      <w:r w:rsidRPr="00EB7C97">
        <w:rPr>
          <w:lang w:val="es-ES"/>
        </w:rPr>
        <w:t>a</w:t>
      </w:r>
      <w:r w:rsidRPr="00EB7C97">
        <w:rPr>
          <w:lang w:val="es-ES"/>
        </w:rPr>
        <w:t xml:space="preserve">dos en la memoria de las Cuentas Generales, </w:t>
      </w:r>
      <w:r w:rsidR="0047504B">
        <w:rPr>
          <w:lang w:val="es-ES"/>
        </w:rPr>
        <w:t>era</w:t>
      </w:r>
      <w:r w:rsidRPr="00EB7C97">
        <w:rPr>
          <w:lang w:val="es-ES"/>
        </w:rPr>
        <w:t>n los siguientes:</w:t>
      </w:r>
    </w:p>
    <w:p w:rsidR="00E848E7" w:rsidRPr="00EB7C97"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rPr>
          <w:rFonts w:cs="Arial"/>
        </w:rPr>
      </w:pPr>
      <w:r w:rsidRPr="00EB7C97">
        <w:rPr>
          <w:rFonts w:cs="Arial"/>
        </w:rPr>
        <w:t>Administración de la Comunidad Foral</w:t>
      </w:r>
      <w:r>
        <w:rPr>
          <w:rFonts w:cs="Arial"/>
        </w:rPr>
        <w:t xml:space="preserve"> de Navarra:</w:t>
      </w:r>
    </w:p>
    <w:p w:rsidR="00E848E7" w:rsidRPr="00EB7C97" w:rsidRDefault="00E848E7" w:rsidP="00E848E7">
      <w:pPr>
        <w:suppressAutoHyphens/>
        <w:spacing w:after="60"/>
        <w:ind w:firstLine="0"/>
        <w:jc w:val="right"/>
        <w:rPr>
          <w:rFonts w:ascii="Arial" w:hAnsi="Arial"/>
          <w:spacing w:val="6"/>
          <w:sz w:val="17"/>
          <w:szCs w:val="17"/>
        </w:rPr>
      </w:pPr>
      <w:r w:rsidRPr="00EB7C97">
        <w:rPr>
          <w:rFonts w:ascii="Arial" w:hAnsi="Arial"/>
          <w:spacing w:val="6"/>
          <w:sz w:val="17"/>
          <w:szCs w:val="17"/>
        </w:rPr>
        <w:t>(millones de euros)</w:t>
      </w:r>
    </w:p>
    <w:tbl>
      <w:tblPr>
        <w:tblW w:w="8817" w:type="dxa"/>
        <w:jc w:val="center"/>
        <w:tblLayout w:type="fixed"/>
        <w:tblCellMar>
          <w:left w:w="80" w:type="dxa"/>
          <w:right w:w="80" w:type="dxa"/>
        </w:tblCellMar>
        <w:tblLook w:val="04A0" w:firstRow="1" w:lastRow="0" w:firstColumn="1" w:lastColumn="0" w:noHBand="0" w:noVBand="1"/>
      </w:tblPr>
      <w:tblGrid>
        <w:gridCol w:w="3083"/>
        <w:gridCol w:w="2564"/>
        <w:gridCol w:w="3170"/>
      </w:tblGrid>
      <w:tr w:rsidR="00E848E7" w:rsidRPr="00EB7C97" w:rsidTr="00E848E7">
        <w:trPr>
          <w:trHeight w:val="255"/>
          <w:jc w:val="center"/>
        </w:trPr>
        <w:tc>
          <w:tcPr>
            <w:tcW w:w="3083"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left"/>
              <w:rPr>
                <w:rFonts w:ascii="Arial" w:hAnsi="Arial" w:cs="Arial"/>
                <w:spacing w:val="6"/>
                <w:sz w:val="17"/>
                <w:szCs w:val="17"/>
              </w:rPr>
            </w:pPr>
          </w:p>
        </w:tc>
        <w:tc>
          <w:tcPr>
            <w:tcW w:w="2564"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EB7C97">
              <w:rPr>
                <w:rFonts w:ascii="Arial" w:hAnsi="Arial" w:cs="Arial"/>
                <w:spacing w:val="6"/>
                <w:sz w:val="17"/>
                <w:szCs w:val="17"/>
              </w:rPr>
              <w:t>Derechos</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EB7C97">
              <w:rPr>
                <w:rFonts w:ascii="Arial" w:hAnsi="Arial" w:cs="Arial"/>
                <w:spacing w:val="6"/>
                <w:sz w:val="17"/>
                <w:szCs w:val="17"/>
              </w:rPr>
              <w:t>reconocidos</w:t>
            </w:r>
          </w:p>
        </w:tc>
        <w:tc>
          <w:tcPr>
            <w:tcW w:w="3170"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EB7C97">
              <w:rPr>
                <w:rFonts w:ascii="Arial" w:hAnsi="Arial" w:cs="Arial"/>
                <w:spacing w:val="6"/>
                <w:sz w:val="17"/>
                <w:szCs w:val="17"/>
              </w:rPr>
              <w:t>Obligaciones</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EB7C97">
              <w:rPr>
                <w:rFonts w:ascii="Arial" w:hAnsi="Arial" w:cs="Arial"/>
                <w:spacing w:val="6"/>
                <w:sz w:val="17"/>
                <w:szCs w:val="17"/>
              </w:rPr>
              <w:t>reconocidas</w:t>
            </w:r>
          </w:p>
        </w:tc>
      </w:tr>
      <w:tr w:rsidR="00E848E7" w:rsidRPr="004F6DCC" w:rsidTr="00E848E7">
        <w:trPr>
          <w:cantSplit/>
          <w:trHeight w:val="198"/>
          <w:jc w:val="center"/>
        </w:trPr>
        <w:tc>
          <w:tcPr>
            <w:tcW w:w="3083" w:type="dxa"/>
            <w:tcBorders>
              <w:top w:val="single" w:sz="4" w:space="0" w:color="auto"/>
              <w:left w:val="nil"/>
              <w:bottom w:val="single" w:sz="2" w:space="0" w:color="auto"/>
              <w:right w:val="nil"/>
            </w:tcBorders>
            <w:vAlign w:val="center"/>
            <w:hideMark/>
          </w:tcPr>
          <w:p w:rsidR="00E848E7" w:rsidRPr="004F6DCC" w:rsidRDefault="00E848E7" w:rsidP="00E848E7">
            <w:pPr>
              <w:spacing w:after="0"/>
              <w:ind w:firstLine="0"/>
              <w:jc w:val="left"/>
              <w:rPr>
                <w:rFonts w:ascii="Arial Narrow" w:hAnsi="Arial Narrow" w:cs="Arial"/>
                <w:lang w:val="es-ES" w:eastAsia="es-ES"/>
              </w:rPr>
            </w:pPr>
            <w:r w:rsidRPr="004F6DCC">
              <w:rPr>
                <w:rFonts w:ascii="Arial Narrow" w:hAnsi="Arial Narrow" w:cs="Arial"/>
                <w:lang w:val="es-ES" w:eastAsia="es-ES"/>
              </w:rPr>
              <w:t>Departamentos</w:t>
            </w:r>
          </w:p>
        </w:tc>
        <w:tc>
          <w:tcPr>
            <w:tcW w:w="2564" w:type="dxa"/>
            <w:tcBorders>
              <w:top w:val="single" w:sz="4"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lang w:val="es-ES" w:eastAsia="es-ES"/>
              </w:rPr>
            </w:pPr>
            <w:r>
              <w:rPr>
                <w:rFonts w:ascii="Arial Narrow" w:hAnsi="Arial Narrow" w:cs="Arial"/>
                <w:lang w:val="es-ES" w:eastAsia="es-ES"/>
              </w:rPr>
              <w:t>597,40</w:t>
            </w:r>
          </w:p>
        </w:tc>
        <w:tc>
          <w:tcPr>
            <w:tcW w:w="3170" w:type="dxa"/>
            <w:tcBorders>
              <w:top w:val="single" w:sz="4"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lang w:val="es-ES" w:eastAsia="es-ES"/>
              </w:rPr>
            </w:pPr>
            <w:r>
              <w:rPr>
                <w:rFonts w:ascii="Arial Narrow" w:hAnsi="Arial Narrow" w:cs="Arial"/>
                <w:lang w:val="es-ES" w:eastAsia="es-ES"/>
              </w:rPr>
              <w:t>2.197,50</w:t>
            </w:r>
          </w:p>
        </w:tc>
      </w:tr>
      <w:tr w:rsidR="00E848E7" w:rsidRPr="004F6DCC" w:rsidTr="00E848E7">
        <w:trPr>
          <w:cantSplit/>
          <w:trHeight w:val="198"/>
          <w:jc w:val="center"/>
        </w:trPr>
        <w:tc>
          <w:tcPr>
            <w:tcW w:w="3083" w:type="dxa"/>
            <w:tcBorders>
              <w:top w:val="single" w:sz="2" w:space="0" w:color="auto"/>
              <w:left w:val="nil"/>
              <w:bottom w:val="single" w:sz="4" w:space="0" w:color="auto"/>
              <w:right w:val="nil"/>
            </w:tcBorders>
            <w:vAlign w:val="center"/>
            <w:hideMark/>
          </w:tcPr>
          <w:p w:rsidR="00E848E7" w:rsidRPr="004F6DCC" w:rsidRDefault="00E848E7" w:rsidP="00E848E7">
            <w:pPr>
              <w:spacing w:after="0"/>
              <w:ind w:firstLine="0"/>
              <w:jc w:val="left"/>
              <w:rPr>
                <w:rFonts w:ascii="Arial Narrow" w:hAnsi="Arial Narrow" w:cs="Arial"/>
                <w:lang w:val="es-ES" w:eastAsia="es-ES"/>
              </w:rPr>
            </w:pPr>
            <w:r>
              <w:rPr>
                <w:rFonts w:ascii="Arial Narrow" w:hAnsi="Arial Narrow" w:cs="Arial"/>
                <w:lang w:val="es-ES" w:eastAsia="es-ES"/>
              </w:rPr>
              <w:t>OOAA</w:t>
            </w:r>
          </w:p>
        </w:tc>
        <w:tc>
          <w:tcPr>
            <w:tcW w:w="2564" w:type="dxa"/>
            <w:tcBorders>
              <w:top w:val="single" w:sz="2" w:space="0" w:color="auto"/>
              <w:left w:val="nil"/>
              <w:bottom w:val="single" w:sz="4" w:space="0" w:color="auto"/>
              <w:right w:val="nil"/>
            </w:tcBorders>
            <w:vAlign w:val="center"/>
          </w:tcPr>
          <w:p w:rsidR="00E848E7" w:rsidRPr="004F6DCC" w:rsidRDefault="00E848E7" w:rsidP="00E848E7">
            <w:pPr>
              <w:spacing w:after="0"/>
              <w:ind w:firstLine="0"/>
              <w:jc w:val="right"/>
              <w:rPr>
                <w:rFonts w:ascii="Arial Narrow" w:hAnsi="Arial Narrow" w:cs="Arial"/>
                <w:lang w:val="es-ES" w:eastAsia="es-ES"/>
              </w:rPr>
            </w:pPr>
            <w:r w:rsidRPr="004F6DCC">
              <w:rPr>
                <w:rFonts w:ascii="Arial Narrow" w:hAnsi="Arial Narrow" w:cs="Arial"/>
                <w:lang w:val="es-ES" w:eastAsia="es-ES"/>
              </w:rPr>
              <w:t>3.</w:t>
            </w:r>
            <w:r>
              <w:rPr>
                <w:rFonts w:ascii="Arial Narrow" w:hAnsi="Arial Narrow" w:cs="Arial"/>
                <w:lang w:val="es-ES" w:eastAsia="es-ES"/>
              </w:rPr>
              <w:t>930,83</w:t>
            </w:r>
          </w:p>
        </w:tc>
        <w:tc>
          <w:tcPr>
            <w:tcW w:w="3170" w:type="dxa"/>
            <w:tcBorders>
              <w:top w:val="single" w:sz="2" w:space="0" w:color="auto"/>
              <w:left w:val="nil"/>
              <w:bottom w:val="single" w:sz="4" w:space="0" w:color="auto"/>
              <w:right w:val="nil"/>
            </w:tcBorders>
            <w:vAlign w:val="center"/>
          </w:tcPr>
          <w:p w:rsidR="00E848E7" w:rsidRPr="004F6DCC" w:rsidRDefault="00E848E7" w:rsidP="00E848E7">
            <w:pPr>
              <w:spacing w:after="0"/>
              <w:ind w:firstLine="0"/>
              <w:jc w:val="right"/>
              <w:rPr>
                <w:rFonts w:ascii="Arial Narrow" w:hAnsi="Arial Narrow" w:cs="Arial"/>
                <w:lang w:val="es-ES" w:eastAsia="es-ES"/>
              </w:rPr>
            </w:pPr>
            <w:r>
              <w:rPr>
                <w:rFonts w:ascii="Arial Narrow" w:hAnsi="Arial Narrow" w:cs="Arial"/>
                <w:lang w:val="es-ES" w:eastAsia="es-ES"/>
              </w:rPr>
              <w:t>1.786</w:t>
            </w:r>
            <w:r w:rsidRPr="004F6DCC">
              <w:rPr>
                <w:rFonts w:ascii="Arial Narrow" w:hAnsi="Arial Narrow" w:cs="Arial"/>
                <w:lang w:val="es-ES" w:eastAsia="es-ES"/>
              </w:rPr>
              <w:t>,</w:t>
            </w:r>
            <w:r>
              <w:rPr>
                <w:rFonts w:ascii="Arial Narrow" w:hAnsi="Arial Narrow" w:cs="Arial"/>
                <w:lang w:val="es-ES" w:eastAsia="es-ES"/>
              </w:rPr>
              <w:t>25</w:t>
            </w:r>
          </w:p>
        </w:tc>
      </w:tr>
      <w:tr w:rsidR="00E848E7" w:rsidRPr="0047504B" w:rsidTr="00E848E7">
        <w:trPr>
          <w:trHeight w:val="255"/>
          <w:jc w:val="center"/>
        </w:trPr>
        <w:tc>
          <w:tcPr>
            <w:tcW w:w="3083" w:type="dxa"/>
            <w:tcBorders>
              <w:top w:val="single" w:sz="4" w:space="0" w:color="auto"/>
              <w:left w:val="nil"/>
              <w:bottom w:val="single" w:sz="4" w:space="0" w:color="auto"/>
              <w:right w:val="nil"/>
            </w:tcBorders>
            <w:shd w:val="clear" w:color="auto" w:fill="8DB3E2" w:themeFill="text2" w:themeFillTint="66"/>
            <w:vAlign w:val="center"/>
          </w:tcPr>
          <w:p w:rsidR="00E848E7" w:rsidRPr="0047504B" w:rsidRDefault="00E848E7" w:rsidP="00E848E7">
            <w:pPr>
              <w:spacing w:after="0"/>
              <w:ind w:firstLine="0"/>
              <w:jc w:val="left"/>
              <w:rPr>
                <w:rFonts w:ascii="Arial" w:hAnsi="Arial" w:cs="Arial"/>
                <w:sz w:val="18"/>
                <w:szCs w:val="18"/>
                <w:lang w:val="es-ES" w:eastAsia="es-ES"/>
              </w:rPr>
            </w:pPr>
            <w:r w:rsidRPr="0047504B">
              <w:rPr>
                <w:rFonts w:ascii="Arial" w:hAnsi="Arial" w:cs="Arial"/>
                <w:sz w:val="18"/>
                <w:szCs w:val="18"/>
                <w:lang w:val="es-ES" w:eastAsia="es-ES"/>
              </w:rPr>
              <w:t>Total</w:t>
            </w:r>
          </w:p>
        </w:tc>
        <w:tc>
          <w:tcPr>
            <w:tcW w:w="2564" w:type="dxa"/>
            <w:tcBorders>
              <w:top w:val="single" w:sz="4" w:space="0" w:color="auto"/>
              <w:left w:val="nil"/>
              <w:bottom w:val="single" w:sz="4" w:space="0" w:color="auto"/>
              <w:right w:val="nil"/>
            </w:tcBorders>
            <w:shd w:val="clear" w:color="auto" w:fill="8DB3E2" w:themeFill="text2" w:themeFillTint="66"/>
            <w:vAlign w:val="center"/>
          </w:tcPr>
          <w:p w:rsidR="00E848E7" w:rsidRPr="0047504B" w:rsidRDefault="00E848E7" w:rsidP="00E848E7">
            <w:pPr>
              <w:spacing w:after="0"/>
              <w:ind w:firstLine="0"/>
              <w:jc w:val="right"/>
              <w:rPr>
                <w:rFonts w:ascii="Arial" w:hAnsi="Arial" w:cs="Arial"/>
                <w:sz w:val="18"/>
                <w:szCs w:val="18"/>
                <w:lang w:val="es-ES" w:eastAsia="es-ES"/>
              </w:rPr>
            </w:pPr>
            <w:r w:rsidRPr="0047504B">
              <w:rPr>
                <w:rFonts w:ascii="Arial" w:hAnsi="Arial" w:cs="Arial"/>
                <w:sz w:val="18"/>
                <w:szCs w:val="18"/>
                <w:lang w:val="es-ES" w:eastAsia="es-ES"/>
              </w:rPr>
              <w:t>4.528,23</w:t>
            </w:r>
          </w:p>
        </w:tc>
        <w:tc>
          <w:tcPr>
            <w:tcW w:w="3170" w:type="dxa"/>
            <w:tcBorders>
              <w:top w:val="single" w:sz="4" w:space="0" w:color="auto"/>
              <w:left w:val="nil"/>
              <w:bottom w:val="single" w:sz="4" w:space="0" w:color="auto"/>
              <w:right w:val="nil"/>
            </w:tcBorders>
            <w:shd w:val="clear" w:color="auto" w:fill="8DB3E2" w:themeFill="text2" w:themeFillTint="66"/>
            <w:vAlign w:val="center"/>
          </w:tcPr>
          <w:p w:rsidR="00E848E7" w:rsidRPr="0047504B" w:rsidRDefault="00E848E7" w:rsidP="00E848E7">
            <w:pPr>
              <w:spacing w:after="0"/>
              <w:ind w:firstLine="0"/>
              <w:jc w:val="right"/>
              <w:rPr>
                <w:rFonts w:ascii="Arial" w:hAnsi="Arial" w:cs="Arial"/>
                <w:sz w:val="18"/>
                <w:szCs w:val="18"/>
                <w:lang w:val="es-ES" w:eastAsia="es-ES"/>
              </w:rPr>
            </w:pPr>
            <w:r w:rsidRPr="0047504B">
              <w:rPr>
                <w:rFonts w:ascii="Arial" w:hAnsi="Arial" w:cs="Arial"/>
                <w:sz w:val="18"/>
                <w:szCs w:val="18"/>
                <w:lang w:val="es-ES" w:eastAsia="es-ES"/>
              </w:rPr>
              <w:t>3.983,75</w:t>
            </w:r>
          </w:p>
        </w:tc>
      </w:tr>
      <w:tr w:rsidR="0047504B" w:rsidRPr="00EB7C97" w:rsidTr="00E1691A">
        <w:trPr>
          <w:trHeight w:val="255"/>
          <w:jc w:val="center"/>
        </w:trPr>
        <w:tc>
          <w:tcPr>
            <w:tcW w:w="5647" w:type="dxa"/>
            <w:gridSpan w:val="2"/>
            <w:tcBorders>
              <w:top w:val="single" w:sz="4" w:space="0" w:color="auto"/>
              <w:left w:val="nil"/>
              <w:bottom w:val="single" w:sz="4" w:space="0" w:color="auto"/>
              <w:right w:val="nil"/>
            </w:tcBorders>
            <w:shd w:val="clear" w:color="auto" w:fill="auto"/>
            <w:vAlign w:val="center"/>
          </w:tcPr>
          <w:p w:rsidR="0047504B" w:rsidRDefault="0047504B" w:rsidP="00E848E7">
            <w:pPr>
              <w:spacing w:after="0"/>
              <w:ind w:firstLine="0"/>
              <w:jc w:val="right"/>
              <w:rPr>
                <w:rFonts w:ascii="Arial Narrow" w:hAnsi="Arial Narrow" w:cs="Arial"/>
                <w:sz w:val="19"/>
                <w:szCs w:val="19"/>
                <w:lang w:val="es-ES" w:eastAsia="es-ES"/>
              </w:rPr>
            </w:pPr>
          </w:p>
        </w:tc>
        <w:tc>
          <w:tcPr>
            <w:tcW w:w="3170" w:type="dxa"/>
            <w:tcBorders>
              <w:top w:val="single" w:sz="4" w:space="0" w:color="auto"/>
              <w:left w:val="nil"/>
              <w:bottom w:val="single" w:sz="4" w:space="0" w:color="auto"/>
              <w:right w:val="nil"/>
            </w:tcBorders>
            <w:shd w:val="clear" w:color="auto" w:fill="auto"/>
            <w:vAlign w:val="center"/>
          </w:tcPr>
          <w:p w:rsidR="0047504B" w:rsidRPr="00EB7C97" w:rsidRDefault="0047504B" w:rsidP="00E848E7">
            <w:pPr>
              <w:spacing w:after="0"/>
              <w:ind w:firstLine="0"/>
              <w:jc w:val="right"/>
              <w:rPr>
                <w:rFonts w:ascii="Arial Narrow" w:hAnsi="Arial Narrow" w:cs="Arial"/>
                <w:sz w:val="19"/>
                <w:szCs w:val="19"/>
                <w:lang w:val="es-ES" w:eastAsia="es-ES"/>
              </w:rPr>
            </w:pPr>
          </w:p>
        </w:tc>
      </w:tr>
      <w:tr w:rsidR="0047504B" w:rsidRPr="0047504B" w:rsidTr="0047504B">
        <w:trPr>
          <w:trHeight w:val="255"/>
          <w:jc w:val="center"/>
        </w:trPr>
        <w:tc>
          <w:tcPr>
            <w:tcW w:w="5647" w:type="dxa"/>
            <w:gridSpan w:val="2"/>
            <w:tcBorders>
              <w:top w:val="single" w:sz="4" w:space="0" w:color="auto"/>
              <w:left w:val="nil"/>
              <w:bottom w:val="single" w:sz="4" w:space="0" w:color="auto"/>
              <w:right w:val="nil"/>
            </w:tcBorders>
            <w:shd w:val="clear" w:color="auto" w:fill="8DB3E2" w:themeFill="text2" w:themeFillTint="66"/>
            <w:vAlign w:val="center"/>
          </w:tcPr>
          <w:p w:rsidR="0047504B" w:rsidRPr="0047504B" w:rsidRDefault="0047504B" w:rsidP="0047504B">
            <w:pPr>
              <w:spacing w:after="0"/>
              <w:ind w:firstLine="0"/>
              <w:jc w:val="right"/>
              <w:rPr>
                <w:rFonts w:ascii="Arial" w:hAnsi="Arial" w:cs="Arial"/>
                <w:sz w:val="18"/>
                <w:szCs w:val="18"/>
                <w:lang w:val="es-ES" w:eastAsia="es-ES"/>
              </w:rPr>
            </w:pPr>
            <w:r w:rsidRPr="0047504B">
              <w:rPr>
                <w:rFonts w:ascii="Arial" w:hAnsi="Arial" w:cs="Arial"/>
                <w:sz w:val="18"/>
                <w:szCs w:val="18"/>
                <w:lang w:val="es-ES" w:eastAsia="es-ES"/>
              </w:rPr>
              <w:t>Personal a 31 de diciembre de 2017</w:t>
            </w:r>
          </w:p>
        </w:tc>
        <w:tc>
          <w:tcPr>
            <w:tcW w:w="3170" w:type="dxa"/>
            <w:tcBorders>
              <w:top w:val="single" w:sz="4" w:space="0" w:color="auto"/>
              <w:left w:val="nil"/>
              <w:bottom w:val="single" w:sz="4" w:space="0" w:color="auto"/>
              <w:right w:val="nil"/>
            </w:tcBorders>
            <w:shd w:val="clear" w:color="auto" w:fill="8DB3E2" w:themeFill="text2" w:themeFillTint="66"/>
            <w:vAlign w:val="center"/>
          </w:tcPr>
          <w:p w:rsidR="0047504B" w:rsidRPr="0047504B" w:rsidRDefault="0047504B" w:rsidP="0047504B">
            <w:pPr>
              <w:spacing w:after="0"/>
              <w:ind w:firstLine="0"/>
              <w:jc w:val="right"/>
              <w:rPr>
                <w:rFonts w:ascii="Arial" w:hAnsi="Arial" w:cs="Arial"/>
                <w:sz w:val="18"/>
                <w:szCs w:val="18"/>
                <w:lang w:val="es-ES" w:eastAsia="es-ES"/>
              </w:rPr>
            </w:pPr>
            <w:r>
              <w:rPr>
                <w:rFonts w:ascii="Arial" w:hAnsi="Arial" w:cs="Arial"/>
                <w:sz w:val="18"/>
                <w:szCs w:val="18"/>
                <w:lang w:val="es-ES" w:eastAsia="es-ES"/>
              </w:rPr>
              <w:t>28.020</w:t>
            </w:r>
          </w:p>
        </w:tc>
      </w:tr>
    </w:tbl>
    <w:p w:rsidR="00E848E7" w:rsidRPr="00EB7C97"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before="240" w:after="120"/>
        <w:ind w:left="0" w:firstLine="289"/>
        <w:rPr>
          <w:rFonts w:cs="Arial"/>
        </w:rPr>
      </w:pPr>
      <w:r w:rsidRPr="00EB7C97">
        <w:rPr>
          <w:rFonts w:cs="Arial"/>
        </w:rPr>
        <w:t>Sociedades públicas consolidadas</w:t>
      </w:r>
      <w:r>
        <w:rPr>
          <w:rFonts w:cs="Arial"/>
        </w:rPr>
        <w:t>:</w:t>
      </w:r>
    </w:p>
    <w:p w:rsidR="00E848E7" w:rsidRPr="004F6DCC" w:rsidRDefault="00E848E7" w:rsidP="00E848E7">
      <w:pPr>
        <w:tabs>
          <w:tab w:val="left" w:pos="480"/>
        </w:tabs>
        <w:spacing w:after="40"/>
        <w:ind w:firstLine="0"/>
        <w:jc w:val="right"/>
        <w:rPr>
          <w:rFonts w:ascii="Arial" w:hAnsi="Arial"/>
          <w:spacing w:val="6"/>
          <w:sz w:val="17"/>
          <w:szCs w:val="17"/>
        </w:rPr>
      </w:pPr>
      <w:r w:rsidRPr="004F6DCC">
        <w:rPr>
          <w:rFonts w:ascii="Arial" w:hAnsi="Arial"/>
          <w:spacing w:val="6"/>
          <w:sz w:val="17"/>
          <w:szCs w:val="17"/>
        </w:rPr>
        <w:t>(miles de euros)</w:t>
      </w:r>
    </w:p>
    <w:tbl>
      <w:tblPr>
        <w:tblW w:w="8856" w:type="dxa"/>
        <w:jc w:val="center"/>
        <w:tblLayout w:type="fixed"/>
        <w:tblCellMar>
          <w:left w:w="80" w:type="dxa"/>
          <w:right w:w="80" w:type="dxa"/>
        </w:tblCellMar>
        <w:tblLook w:val="04A0" w:firstRow="1" w:lastRow="0" w:firstColumn="1" w:lastColumn="0" w:noHBand="0" w:noVBand="1"/>
      </w:tblPr>
      <w:tblGrid>
        <w:gridCol w:w="2314"/>
        <w:gridCol w:w="1134"/>
        <w:gridCol w:w="1396"/>
        <w:gridCol w:w="1519"/>
        <w:gridCol w:w="1214"/>
        <w:gridCol w:w="1279"/>
      </w:tblGrid>
      <w:tr w:rsidR="00E848E7" w:rsidRPr="00EB7C97" w:rsidTr="00150EEC">
        <w:trPr>
          <w:trHeight w:val="255"/>
          <w:jc w:val="center"/>
        </w:trPr>
        <w:tc>
          <w:tcPr>
            <w:tcW w:w="2314"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p>
        </w:tc>
        <w:tc>
          <w:tcPr>
            <w:tcW w:w="1134"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EB7C97">
              <w:rPr>
                <w:rFonts w:ascii="Arial" w:hAnsi="Arial" w:cs="Arial"/>
                <w:spacing w:val="6"/>
                <w:sz w:val="16"/>
                <w:szCs w:val="16"/>
              </w:rPr>
              <w:t>Resultado del ejercicio</w:t>
            </w:r>
          </w:p>
        </w:tc>
        <w:tc>
          <w:tcPr>
            <w:tcW w:w="1396"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EB7C97">
              <w:rPr>
                <w:rFonts w:ascii="Arial" w:hAnsi="Arial" w:cs="Arial"/>
                <w:spacing w:val="6"/>
                <w:sz w:val="16"/>
                <w:szCs w:val="16"/>
              </w:rPr>
              <w:t xml:space="preserve">Subvenciones </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EB7C97">
              <w:rPr>
                <w:rFonts w:ascii="Arial" w:hAnsi="Arial" w:cs="Arial"/>
                <w:spacing w:val="6"/>
                <w:sz w:val="16"/>
                <w:szCs w:val="16"/>
              </w:rPr>
              <w:t>Admón. Foral</w:t>
            </w:r>
          </w:p>
        </w:tc>
        <w:tc>
          <w:tcPr>
            <w:tcW w:w="1519"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EB7C97">
              <w:rPr>
                <w:rFonts w:ascii="Arial" w:hAnsi="Arial" w:cs="Arial"/>
                <w:spacing w:val="6"/>
                <w:sz w:val="16"/>
                <w:szCs w:val="16"/>
              </w:rPr>
              <w:t xml:space="preserve">Endeudamiento largo plazo </w:t>
            </w:r>
          </w:p>
        </w:tc>
        <w:tc>
          <w:tcPr>
            <w:tcW w:w="1214"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EB7C97">
              <w:rPr>
                <w:rFonts w:ascii="Arial" w:hAnsi="Arial" w:cs="Arial"/>
                <w:spacing w:val="6"/>
                <w:sz w:val="16"/>
                <w:szCs w:val="16"/>
              </w:rPr>
              <w:t>Patrimonio</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EB7C97">
              <w:rPr>
                <w:rFonts w:ascii="Arial" w:hAnsi="Arial" w:cs="Arial"/>
                <w:spacing w:val="6"/>
                <w:sz w:val="16"/>
                <w:szCs w:val="16"/>
              </w:rPr>
              <w:t xml:space="preserve"> neto</w:t>
            </w:r>
          </w:p>
        </w:tc>
        <w:tc>
          <w:tcPr>
            <w:tcW w:w="1279"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EB7C97">
              <w:rPr>
                <w:rFonts w:ascii="Arial" w:hAnsi="Arial" w:cs="Arial"/>
                <w:spacing w:val="6"/>
                <w:sz w:val="16"/>
                <w:szCs w:val="16"/>
              </w:rPr>
              <w:t>Nº medio de empleados</w:t>
            </w:r>
          </w:p>
        </w:tc>
      </w:tr>
      <w:tr w:rsidR="00E848E7" w:rsidRPr="004F6DCC" w:rsidTr="00E848E7">
        <w:trPr>
          <w:trHeight w:val="198"/>
          <w:jc w:val="center"/>
        </w:trPr>
        <w:tc>
          <w:tcPr>
            <w:tcW w:w="2314" w:type="dxa"/>
            <w:tcBorders>
              <w:top w:val="single" w:sz="4" w:space="0" w:color="auto"/>
              <w:left w:val="nil"/>
              <w:bottom w:val="single" w:sz="4" w:space="0" w:color="auto"/>
              <w:right w:val="nil"/>
            </w:tcBorders>
            <w:vAlign w:val="center"/>
          </w:tcPr>
          <w:p w:rsidR="00E848E7" w:rsidRPr="004F6DCC" w:rsidRDefault="00E848E7" w:rsidP="00E848E7">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4F6DCC">
              <w:rPr>
                <w:rFonts w:ascii="Arial Narrow" w:hAnsi="Arial Narrow"/>
                <w:spacing w:val="6"/>
              </w:rPr>
              <w:t xml:space="preserve">Datos tras consolidación </w:t>
            </w:r>
            <w:r>
              <w:rPr>
                <w:rFonts w:ascii="Arial Narrow" w:hAnsi="Arial Narrow"/>
                <w:spacing w:val="6"/>
              </w:rPr>
              <w:t xml:space="preserve">de las 17 </w:t>
            </w:r>
            <w:r w:rsidRPr="004F6DCC">
              <w:rPr>
                <w:rFonts w:ascii="Arial Narrow" w:hAnsi="Arial Narrow"/>
                <w:spacing w:val="6"/>
              </w:rPr>
              <w:t>sociedades</w:t>
            </w:r>
          </w:p>
        </w:tc>
        <w:tc>
          <w:tcPr>
            <w:tcW w:w="1134" w:type="dxa"/>
            <w:tcBorders>
              <w:top w:val="single" w:sz="4" w:space="0" w:color="auto"/>
              <w:left w:val="nil"/>
              <w:bottom w:val="single" w:sz="4" w:space="0" w:color="auto"/>
              <w:right w:val="nil"/>
            </w:tcBorders>
            <w:vAlign w:val="center"/>
          </w:tcPr>
          <w:p w:rsidR="00E848E7" w:rsidRPr="004F6DCC" w:rsidRDefault="00E848E7" w:rsidP="00E848E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4F6DCC">
              <w:rPr>
                <w:rFonts w:ascii="Arial Narrow" w:hAnsi="Arial Narrow"/>
                <w:spacing w:val="6"/>
              </w:rPr>
              <w:t>-</w:t>
            </w:r>
            <w:r>
              <w:rPr>
                <w:rFonts w:ascii="Arial Narrow" w:hAnsi="Arial Narrow"/>
                <w:spacing w:val="6"/>
              </w:rPr>
              <w:t>369</w:t>
            </w:r>
          </w:p>
        </w:tc>
        <w:tc>
          <w:tcPr>
            <w:tcW w:w="1396" w:type="dxa"/>
            <w:tcBorders>
              <w:top w:val="single" w:sz="4" w:space="0" w:color="auto"/>
              <w:left w:val="nil"/>
              <w:bottom w:val="single" w:sz="4" w:space="0" w:color="auto"/>
              <w:right w:val="nil"/>
            </w:tcBorders>
            <w:vAlign w:val="center"/>
          </w:tcPr>
          <w:p w:rsidR="00E848E7" w:rsidRPr="004F6DCC" w:rsidRDefault="00E848E7" w:rsidP="00E848E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10.153</w:t>
            </w:r>
          </w:p>
        </w:tc>
        <w:tc>
          <w:tcPr>
            <w:tcW w:w="1519" w:type="dxa"/>
            <w:tcBorders>
              <w:top w:val="single" w:sz="4" w:space="0" w:color="auto"/>
              <w:left w:val="nil"/>
              <w:bottom w:val="single" w:sz="4" w:space="0" w:color="auto"/>
              <w:right w:val="nil"/>
            </w:tcBorders>
            <w:vAlign w:val="center"/>
          </w:tcPr>
          <w:p w:rsidR="00E848E7" w:rsidRPr="004F6DCC" w:rsidRDefault="00E848E7" w:rsidP="00E848E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120.549</w:t>
            </w:r>
          </w:p>
        </w:tc>
        <w:tc>
          <w:tcPr>
            <w:tcW w:w="1214" w:type="dxa"/>
            <w:tcBorders>
              <w:top w:val="single" w:sz="4" w:space="0" w:color="auto"/>
              <w:left w:val="nil"/>
              <w:bottom w:val="single" w:sz="4" w:space="0" w:color="auto"/>
              <w:right w:val="nil"/>
            </w:tcBorders>
            <w:vAlign w:val="center"/>
          </w:tcPr>
          <w:p w:rsidR="00E848E7" w:rsidRPr="004F6DCC" w:rsidRDefault="00E848E7" w:rsidP="00E848E7">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641.542</w:t>
            </w:r>
          </w:p>
        </w:tc>
        <w:tc>
          <w:tcPr>
            <w:tcW w:w="1279" w:type="dxa"/>
            <w:tcBorders>
              <w:top w:val="single" w:sz="4" w:space="0" w:color="auto"/>
              <w:left w:val="nil"/>
              <w:bottom w:val="single" w:sz="4" w:space="0" w:color="auto"/>
              <w:right w:val="nil"/>
            </w:tcBorders>
            <w:vAlign w:val="center"/>
          </w:tcPr>
          <w:p w:rsidR="00E848E7" w:rsidRPr="004F6DCC" w:rsidRDefault="00E848E7" w:rsidP="00E848E7">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4F6DCC">
              <w:rPr>
                <w:rFonts w:ascii="Arial Narrow" w:hAnsi="Arial Narrow"/>
                <w:spacing w:val="6"/>
              </w:rPr>
              <w:t>1</w:t>
            </w:r>
            <w:r>
              <w:rPr>
                <w:rFonts w:ascii="Arial Narrow" w:hAnsi="Arial Narrow"/>
                <w:spacing w:val="6"/>
              </w:rPr>
              <w:t>.188</w:t>
            </w:r>
            <w:r w:rsidRPr="004F6DCC">
              <w:rPr>
                <w:rFonts w:ascii="Arial Narrow" w:hAnsi="Arial Narrow"/>
                <w:spacing w:val="6"/>
              </w:rPr>
              <w:fldChar w:fldCharType="begin"/>
            </w:r>
            <w:r w:rsidRPr="004F6DCC">
              <w:rPr>
                <w:rFonts w:ascii="Arial Narrow" w:hAnsi="Arial Narrow"/>
                <w:spacing w:val="6"/>
              </w:rPr>
              <w:instrText xml:space="preserve"> =SUM(ABOVE) </w:instrText>
            </w:r>
            <w:r w:rsidRPr="004F6DCC">
              <w:rPr>
                <w:rFonts w:ascii="Arial Narrow" w:hAnsi="Arial Narrow"/>
                <w:spacing w:val="6"/>
              </w:rPr>
              <w:fldChar w:fldCharType="end"/>
            </w:r>
          </w:p>
        </w:tc>
      </w:tr>
    </w:tbl>
    <w:p w:rsidR="00E848E7" w:rsidRPr="00EB7C97"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before="240" w:after="120"/>
        <w:ind w:left="0" w:firstLine="289"/>
        <w:rPr>
          <w:rFonts w:cs="Arial"/>
        </w:rPr>
      </w:pPr>
      <w:r w:rsidRPr="00EB7C97">
        <w:rPr>
          <w:rFonts w:cs="Arial"/>
        </w:rPr>
        <w:t>Fundaciones</w:t>
      </w:r>
      <w:r>
        <w:rPr>
          <w:rFonts w:cs="Arial"/>
        </w:rPr>
        <w:t>:</w:t>
      </w:r>
    </w:p>
    <w:p w:rsidR="00E848E7" w:rsidRPr="004F6DCC" w:rsidRDefault="00E848E7" w:rsidP="00E848E7">
      <w:pPr>
        <w:tabs>
          <w:tab w:val="left" w:pos="480"/>
        </w:tabs>
        <w:spacing w:after="40"/>
        <w:ind w:firstLine="0"/>
        <w:jc w:val="right"/>
        <w:rPr>
          <w:rFonts w:ascii="Arial" w:hAnsi="Arial"/>
          <w:spacing w:val="6"/>
          <w:sz w:val="17"/>
          <w:szCs w:val="17"/>
        </w:rPr>
      </w:pPr>
      <w:r w:rsidRPr="004F6DCC">
        <w:rPr>
          <w:rFonts w:ascii="Arial" w:hAnsi="Arial"/>
          <w:spacing w:val="6"/>
          <w:sz w:val="17"/>
          <w:szCs w:val="17"/>
        </w:rPr>
        <w:t>(miles de euros</w:t>
      </w:r>
      <w:r>
        <w:rPr>
          <w:rFonts w:ascii="Arial" w:hAnsi="Arial"/>
          <w:spacing w:val="6"/>
          <w:sz w:val="17"/>
          <w:szCs w:val="17"/>
        </w:rPr>
        <w:t>, salvo que se indique nº</w:t>
      </w:r>
      <w:r w:rsidRPr="004F6DCC">
        <w:rPr>
          <w:rFonts w:ascii="Arial" w:hAnsi="Arial"/>
          <w:spacing w:val="6"/>
          <w:sz w:val="17"/>
          <w:szCs w:val="17"/>
        </w:rPr>
        <w:t>)</w:t>
      </w:r>
    </w:p>
    <w:tbl>
      <w:tblPr>
        <w:tblW w:w="8843" w:type="dxa"/>
        <w:jc w:val="center"/>
        <w:tblBorders>
          <w:top w:val="single" w:sz="4" w:space="0" w:color="auto"/>
          <w:bottom w:val="single" w:sz="4" w:space="0" w:color="auto"/>
          <w:insideH w:val="single" w:sz="4" w:space="0" w:color="auto"/>
        </w:tblBorders>
        <w:tblLayout w:type="fixed"/>
        <w:tblCellMar>
          <w:left w:w="80" w:type="dxa"/>
          <w:right w:w="80" w:type="dxa"/>
        </w:tblCellMar>
        <w:tblLook w:val="04A0" w:firstRow="1" w:lastRow="0" w:firstColumn="1" w:lastColumn="0" w:noHBand="0" w:noVBand="1"/>
      </w:tblPr>
      <w:tblGrid>
        <w:gridCol w:w="4142"/>
        <w:gridCol w:w="1521"/>
        <w:gridCol w:w="1555"/>
        <w:gridCol w:w="1625"/>
      </w:tblGrid>
      <w:tr w:rsidR="00E848E7" w:rsidRPr="00EB7C97" w:rsidTr="00E848E7">
        <w:trPr>
          <w:trHeight w:val="240"/>
          <w:jc w:val="center"/>
        </w:trPr>
        <w:tc>
          <w:tcPr>
            <w:tcW w:w="4142"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EB7C97">
              <w:rPr>
                <w:rFonts w:ascii="Arial" w:hAnsi="Arial" w:cs="Arial"/>
                <w:spacing w:val="6"/>
                <w:sz w:val="18"/>
                <w:szCs w:val="18"/>
              </w:rPr>
              <w:t>Fundaciones</w:t>
            </w:r>
          </w:p>
        </w:tc>
        <w:tc>
          <w:tcPr>
            <w:tcW w:w="1521"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Excedente  del ejercicio</w:t>
            </w:r>
          </w:p>
        </w:tc>
        <w:tc>
          <w:tcPr>
            <w:tcW w:w="1555"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Patrimonio</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 xml:space="preserve"> neto</w:t>
            </w:r>
          </w:p>
        </w:tc>
        <w:tc>
          <w:tcPr>
            <w:tcW w:w="1625"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 xml:space="preserve">Nº medio de </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empleados</w:t>
            </w:r>
          </w:p>
        </w:tc>
      </w:tr>
      <w:tr w:rsidR="00E848E7" w:rsidRPr="004F6DCC" w:rsidTr="00E848E7">
        <w:trPr>
          <w:trHeight w:val="198"/>
          <w:jc w:val="center"/>
        </w:trPr>
        <w:tc>
          <w:tcPr>
            <w:tcW w:w="4142" w:type="dxa"/>
            <w:tcBorders>
              <w:top w:val="single" w:sz="4" w:space="0" w:color="auto"/>
              <w:left w:val="nil"/>
              <w:bottom w:val="single" w:sz="4" w:space="0" w:color="auto"/>
              <w:right w:val="nil"/>
            </w:tcBorders>
            <w:shd w:val="clear" w:color="auto" w:fill="auto"/>
            <w:vAlign w:val="center"/>
          </w:tcPr>
          <w:p w:rsidR="00E848E7" w:rsidRPr="004F6DCC" w:rsidRDefault="00E848E7" w:rsidP="00E848E7">
            <w:pPr>
              <w:spacing w:after="0"/>
              <w:ind w:firstLine="0"/>
              <w:jc w:val="left"/>
              <w:rPr>
                <w:rFonts w:ascii="Arial Narrow" w:hAnsi="Arial Narrow" w:cs="Arial"/>
                <w:lang w:val="es-ES" w:eastAsia="es-ES"/>
              </w:rPr>
            </w:pPr>
            <w:r w:rsidRPr="004F6DCC">
              <w:rPr>
                <w:rFonts w:ascii="Arial Narrow" w:hAnsi="Arial Narrow" w:cs="Arial"/>
                <w:lang w:val="es-ES" w:eastAsia="es-ES"/>
              </w:rPr>
              <w:t xml:space="preserve">Total </w:t>
            </w:r>
            <w:r>
              <w:rPr>
                <w:rFonts w:ascii="Arial Narrow" w:hAnsi="Arial Narrow" w:cs="Arial"/>
                <w:lang w:val="es-ES" w:eastAsia="es-ES"/>
              </w:rPr>
              <w:t>cinco</w:t>
            </w:r>
            <w:r w:rsidRPr="004F6DCC">
              <w:rPr>
                <w:rFonts w:ascii="Arial Narrow" w:hAnsi="Arial Narrow" w:cs="Arial"/>
                <w:lang w:val="es-ES" w:eastAsia="es-ES"/>
              </w:rPr>
              <w:t xml:space="preserve"> fundaciones públicas</w:t>
            </w:r>
          </w:p>
        </w:tc>
        <w:tc>
          <w:tcPr>
            <w:tcW w:w="1521" w:type="dxa"/>
            <w:tcBorders>
              <w:top w:val="single" w:sz="4" w:space="0" w:color="auto"/>
              <w:left w:val="nil"/>
              <w:bottom w:val="single" w:sz="4" w:space="0" w:color="auto"/>
              <w:right w:val="nil"/>
            </w:tcBorders>
            <w:shd w:val="clear" w:color="auto" w:fill="auto"/>
            <w:vAlign w:val="center"/>
          </w:tcPr>
          <w:p w:rsidR="00E848E7" w:rsidRPr="004F6DCC" w:rsidRDefault="00E848E7" w:rsidP="00E848E7">
            <w:pPr>
              <w:spacing w:after="0"/>
              <w:ind w:firstLine="0"/>
              <w:jc w:val="right"/>
              <w:rPr>
                <w:rFonts w:ascii="Arial Narrow" w:hAnsi="Arial Narrow" w:cs="Arial"/>
                <w:lang w:val="es-ES" w:eastAsia="es-ES"/>
              </w:rPr>
            </w:pPr>
            <w:r>
              <w:rPr>
                <w:rFonts w:ascii="Arial Narrow" w:hAnsi="Arial Narrow" w:cs="Arial"/>
                <w:lang w:val="es-ES" w:eastAsia="es-ES"/>
              </w:rPr>
              <w:t>219</w:t>
            </w:r>
          </w:p>
        </w:tc>
        <w:tc>
          <w:tcPr>
            <w:tcW w:w="1555" w:type="dxa"/>
            <w:tcBorders>
              <w:top w:val="single" w:sz="4" w:space="0" w:color="auto"/>
              <w:left w:val="nil"/>
              <w:bottom w:val="single" w:sz="4" w:space="0" w:color="auto"/>
              <w:right w:val="nil"/>
            </w:tcBorders>
            <w:shd w:val="clear" w:color="auto" w:fill="auto"/>
            <w:vAlign w:val="center"/>
          </w:tcPr>
          <w:p w:rsidR="00E848E7" w:rsidRPr="004F6DCC" w:rsidRDefault="00E848E7" w:rsidP="00E848E7">
            <w:pPr>
              <w:spacing w:after="0"/>
              <w:ind w:firstLine="0"/>
              <w:jc w:val="right"/>
              <w:rPr>
                <w:rFonts w:ascii="Arial Narrow" w:hAnsi="Arial Narrow" w:cs="Arial"/>
                <w:lang w:val="es-ES" w:eastAsia="es-ES"/>
              </w:rPr>
            </w:pPr>
            <w:r>
              <w:rPr>
                <w:rFonts w:ascii="Arial Narrow" w:hAnsi="Arial Narrow" w:cs="Arial"/>
                <w:lang w:val="es-ES" w:eastAsia="es-ES"/>
              </w:rPr>
              <w:t>1.839</w:t>
            </w:r>
          </w:p>
        </w:tc>
        <w:tc>
          <w:tcPr>
            <w:tcW w:w="1625" w:type="dxa"/>
            <w:tcBorders>
              <w:top w:val="single" w:sz="4" w:space="0" w:color="auto"/>
              <w:left w:val="nil"/>
              <w:bottom w:val="single" w:sz="4" w:space="0" w:color="auto"/>
              <w:right w:val="nil"/>
            </w:tcBorders>
            <w:shd w:val="clear" w:color="auto" w:fill="auto"/>
            <w:vAlign w:val="center"/>
          </w:tcPr>
          <w:p w:rsidR="00E848E7" w:rsidRPr="004F6DCC" w:rsidRDefault="00E848E7" w:rsidP="00E848E7">
            <w:pPr>
              <w:spacing w:after="0"/>
              <w:ind w:firstLine="0"/>
              <w:jc w:val="right"/>
              <w:rPr>
                <w:rFonts w:ascii="Arial Narrow" w:hAnsi="Arial Narrow" w:cs="Arial"/>
                <w:lang w:val="es-ES" w:eastAsia="es-ES"/>
              </w:rPr>
            </w:pPr>
            <w:r>
              <w:rPr>
                <w:rFonts w:ascii="Arial Narrow" w:hAnsi="Arial Narrow" w:cs="Arial"/>
                <w:lang w:val="es-ES" w:eastAsia="es-ES"/>
              </w:rPr>
              <w:t>15</w:t>
            </w:r>
            <w:r w:rsidRPr="004F6DCC">
              <w:rPr>
                <w:rFonts w:ascii="Arial Narrow" w:hAnsi="Arial Narrow" w:cs="Arial"/>
                <w:lang w:val="es-ES" w:eastAsia="es-ES"/>
              </w:rPr>
              <w:t>4</w:t>
            </w:r>
          </w:p>
        </w:tc>
      </w:tr>
    </w:tbl>
    <w:p w:rsidR="00E848E7" w:rsidRPr="00EB7C97"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before="240" w:after="240"/>
        <w:ind w:left="0" w:firstLine="289"/>
        <w:rPr>
          <w:rFonts w:cs="Arial"/>
        </w:rPr>
      </w:pPr>
      <w:r w:rsidRPr="00EB7C97">
        <w:rPr>
          <w:rFonts w:cs="Arial"/>
        </w:rPr>
        <w:t>Otras entidades</w:t>
      </w:r>
      <w:r>
        <w:rPr>
          <w:rFonts w:cs="Arial"/>
        </w:rPr>
        <w:t>:</w:t>
      </w:r>
    </w:p>
    <w:tbl>
      <w:tblPr>
        <w:tblW w:w="8819" w:type="dxa"/>
        <w:jc w:val="center"/>
        <w:tblBorders>
          <w:top w:val="single" w:sz="4" w:space="0" w:color="auto"/>
          <w:bottom w:val="single" w:sz="4" w:space="0" w:color="auto"/>
          <w:insideH w:val="single" w:sz="4" w:space="0" w:color="auto"/>
        </w:tblBorders>
        <w:tblLayout w:type="fixed"/>
        <w:tblCellMar>
          <w:left w:w="80" w:type="dxa"/>
          <w:right w:w="80" w:type="dxa"/>
        </w:tblCellMar>
        <w:tblLook w:val="04A0" w:firstRow="1" w:lastRow="0" w:firstColumn="1" w:lastColumn="0" w:noHBand="0" w:noVBand="1"/>
      </w:tblPr>
      <w:tblGrid>
        <w:gridCol w:w="2142"/>
        <w:gridCol w:w="1669"/>
        <w:gridCol w:w="1669"/>
        <w:gridCol w:w="2048"/>
        <w:gridCol w:w="1291"/>
      </w:tblGrid>
      <w:tr w:rsidR="00E848E7" w:rsidRPr="00EB7C97" w:rsidTr="00150EEC">
        <w:trPr>
          <w:trHeight w:val="255"/>
          <w:jc w:val="center"/>
        </w:trPr>
        <w:tc>
          <w:tcPr>
            <w:tcW w:w="2142" w:type="dxa"/>
            <w:tcBorders>
              <w:top w:val="single" w:sz="4" w:space="0" w:color="auto"/>
              <w:left w:val="nil"/>
              <w:bottom w:val="single" w:sz="4" w:space="0" w:color="auto"/>
              <w:right w:val="nil"/>
            </w:tcBorders>
            <w:shd w:val="clear" w:color="auto" w:fill="8DB3E2" w:themeFill="text2" w:themeFillTint="66"/>
            <w:vAlign w:val="center"/>
            <w:hideMark/>
          </w:tcPr>
          <w:p w:rsidR="00E848E7" w:rsidRPr="00EB7C97" w:rsidRDefault="00E848E7" w:rsidP="00E848E7">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EB7C97">
              <w:rPr>
                <w:rFonts w:ascii="Arial" w:hAnsi="Arial" w:cs="Arial"/>
                <w:spacing w:val="6"/>
                <w:sz w:val="18"/>
                <w:szCs w:val="18"/>
              </w:rPr>
              <w:t>Entidad</w:t>
            </w:r>
          </w:p>
        </w:tc>
        <w:tc>
          <w:tcPr>
            <w:tcW w:w="1669"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Derechos</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reconocidos</w:t>
            </w:r>
          </w:p>
        </w:tc>
        <w:tc>
          <w:tcPr>
            <w:tcW w:w="1669"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Obligaciones</w:t>
            </w:r>
          </w:p>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reconocidas</w:t>
            </w:r>
          </w:p>
        </w:tc>
        <w:tc>
          <w:tcPr>
            <w:tcW w:w="2048"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Remanente devuelto a la Hacienda Foral</w:t>
            </w:r>
          </w:p>
        </w:tc>
        <w:tc>
          <w:tcPr>
            <w:tcW w:w="1291" w:type="dxa"/>
            <w:tcBorders>
              <w:top w:val="single" w:sz="4" w:space="0" w:color="auto"/>
              <w:left w:val="nil"/>
              <w:bottom w:val="single" w:sz="4" w:space="0" w:color="auto"/>
              <w:right w:val="nil"/>
            </w:tcBorders>
            <w:shd w:val="clear" w:color="auto" w:fill="8DB3E2" w:themeFill="text2" w:themeFillTint="66"/>
            <w:vAlign w:val="center"/>
          </w:tcPr>
          <w:p w:rsidR="00E848E7" w:rsidRPr="00EB7C97" w:rsidRDefault="00E848E7" w:rsidP="00E848E7">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 xml:space="preserve">Personal a </w:t>
            </w:r>
          </w:p>
          <w:p w:rsidR="00E848E7" w:rsidRPr="00EB7C97" w:rsidRDefault="00E848E7" w:rsidP="00A5369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EB7C97">
              <w:rPr>
                <w:rFonts w:ascii="Arial" w:hAnsi="Arial" w:cs="Arial"/>
                <w:spacing w:val="6"/>
                <w:sz w:val="18"/>
                <w:szCs w:val="18"/>
              </w:rPr>
              <w:t>31</w:t>
            </w:r>
            <w:r w:rsidR="00A53690">
              <w:rPr>
                <w:rFonts w:ascii="Arial" w:hAnsi="Arial" w:cs="Arial"/>
                <w:spacing w:val="6"/>
                <w:sz w:val="18"/>
                <w:szCs w:val="18"/>
              </w:rPr>
              <w:t>/</w:t>
            </w:r>
            <w:r w:rsidRPr="00EB7C97">
              <w:rPr>
                <w:rFonts w:ascii="Arial" w:hAnsi="Arial" w:cs="Arial"/>
                <w:spacing w:val="6"/>
                <w:sz w:val="18"/>
                <w:szCs w:val="18"/>
              </w:rPr>
              <w:t>12</w:t>
            </w:r>
            <w:r w:rsidR="00A53690">
              <w:rPr>
                <w:rFonts w:ascii="Arial" w:hAnsi="Arial" w:cs="Arial"/>
                <w:spacing w:val="6"/>
                <w:sz w:val="18"/>
                <w:szCs w:val="18"/>
              </w:rPr>
              <w:t>/</w:t>
            </w:r>
            <w:r w:rsidRPr="00EB7C97">
              <w:rPr>
                <w:rFonts w:ascii="Arial" w:hAnsi="Arial" w:cs="Arial"/>
                <w:spacing w:val="6"/>
                <w:sz w:val="18"/>
                <w:szCs w:val="18"/>
              </w:rPr>
              <w:t>201</w:t>
            </w:r>
            <w:r>
              <w:rPr>
                <w:rFonts w:ascii="Arial" w:hAnsi="Arial" w:cs="Arial"/>
                <w:spacing w:val="6"/>
                <w:sz w:val="18"/>
                <w:szCs w:val="18"/>
              </w:rPr>
              <w:t>7</w:t>
            </w:r>
          </w:p>
        </w:tc>
      </w:tr>
      <w:tr w:rsidR="00E848E7" w:rsidRPr="004F6DCC" w:rsidTr="00E848E7">
        <w:trPr>
          <w:trHeight w:val="198"/>
          <w:jc w:val="center"/>
        </w:trPr>
        <w:tc>
          <w:tcPr>
            <w:tcW w:w="2142" w:type="dxa"/>
            <w:tcBorders>
              <w:top w:val="single" w:sz="4" w:space="0" w:color="auto"/>
              <w:left w:val="nil"/>
              <w:bottom w:val="single" w:sz="2" w:space="0" w:color="auto"/>
              <w:right w:val="nil"/>
            </w:tcBorders>
            <w:vAlign w:val="center"/>
            <w:hideMark/>
          </w:tcPr>
          <w:p w:rsidR="00E848E7" w:rsidRPr="004F6DCC" w:rsidRDefault="00E848E7" w:rsidP="00E848E7">
            <w:pPr>
              <w:spacing w:after="0"/>
              <w:ind w:firstLine="0"/>
              <w:jc w:val="left"/>
              <w:rPr>
                <w:rFonts w:ascii="Arial Narrow" w:hAnsi="Arial Narrow" w:cs="Arial"/>
                <w:lang w:val="es-ES" w:eastAsia="es-ES"/>
              </w:rPr>
            </w:pPr>
            <w:r w:rsidRPr="004F6DCC">
              <w:rPr>
                <w:rFonts w:ascii="Arial Narrow" w:hAnsi="Arial Narrow" w:cs="Arial"/>
                <w:lang w:val="es-ES" w:eastAsia="es-ES"/>
              </w:rPr>
              <w:t>Parlamento de Navarra</w:t>
            </w:r>
          </w:p>
        </w:tc>
        <w:tc>
          <w:tcPr>
            <w:tcW w:w="1669" w:type="dxa"/>
            <w:tcBorders>
              <w:top w:val="single" w:sz="4"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lang w:val="es-ES" w:eastAsia="es-ES"/>
              </w:rPr>
            </w:pPr>
            <w:r>
              <w:rPr>
                <w:rFonts w:ascii="Arial Narrow" w:hAnsi="Arial Narrow" w:cs="Arial"/>
                <w:lang w:val="es-ES" w:eastAsia="es-ES"/>
              </w:rPr>
              <w:t>13.639.317</w:t>
            </w:r>
          </w:p>
        </w:tc>
        <w:tc>
          <w:tcPr>
            <w:tcW w:w="1669" w:type="dxa"/>
            <w:tcBorders>
              <w:top w:val="single" w:sz="4"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lang w:val="es-ES" w:eastAsia="es-ES"/>
              </w:rPr>
            </w:pPr>
            <w:r>
              <w:rPr>
                <w:rFonts w:ascii="Arial Narrow" w:hAnsi="Arial Narrow" w:cs="Arial"/>
                <w:lang w:val="es-ES" w:eastAsia="es-ES"/>
              </w:rPr>
              <w:t>11.019.207</w:t>
            </w:r>
          </w:p>
        </w:tc>
        <w:tc>
          <w:tcPr>
            <w:tcW w:w="2048" w:type="dxa"/>
            <w:tcBorders>
              <w:top w:val="single" w:sz="4"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lang w:val="es-ES" w:eastAsia="es-ES"/>
              </w:rPr>
            </w:pPr>
            <w:r>
              <w:rPr>
                <w:rFonts w:ascii="Arial Narrow" w:hAnsi="Arial Narrow" w:cs="Arial"/>
                <w:lang w:val="es-ES" w:eastAsia="es-ES"/>
              </w:rPr>
              <w:t>1.920.037</w:t>
            </w:r>
          </w:p>
        </w:tc>
        <w:tc>
          <w:tcPr>
            <w:tcW w:w="1291" w:type="dxa"/>
            <w:tcBorders>
              <w:top w:val="single" w:sz="4"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lang w:val="es-ES" w:eastAsia="es-ES"/>
              </w:rPr>
            </w:pPr>
            <w:r w:rsidRPr="004F6DCC">
              <w:rPr>
                <w:rFonts w:ascii="Arial Narrow" w:hAnsi="Arial Narrow" w:cs="Arial"/>
                <w:lang w:val="es-ES" w:eastAsia="es-ES"/>
              </w:rPr>
              <w:t>73</w:t>
            </w:r>
          </w:p>
        </w:tc>
      </w:tr>
      <w:tr w:rsidR="00E848E7" w:rsidRPr="004F6DCC" w:rsidTr="00E848E7">
        <w:trPr>
          <w:trHeight w:val="198"/>
          <w:jc w:val="center"/>
        </w:trPr>
        <w:tc>
          <w:tcPr>
            <w:tcW w:w="2142"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left"/>
              <w:rPr>
                <w:rFonts w:ascii="Arial Narrow" w:hAnsi="Arial Narrow" w:cs="Arial"/>
                <w:lang w:val="es-ES" w:eastAsia="es-ES"/>
              </w:rPr>
            </w:pPr>
            <w:r w:rsidRPr="004F6DCC">
              <w:rPr>
                <w:rFonts w:ascii="Arial Narrow" w:hAnsi="Arial Narrow" w:cs="Arial"/>
                <w:lang w:val="es-ES" w:eastAsia="es-ES"/>
              </w:rPr>
              <w:t>Cámara de Comptos</w:t>
            </w:r>
          </w:p>
        </w:tc>
        <w:tc>
          <w:tcPr>
            <w:tcW w:w="1669"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lang w:val="es-ES" w:eastAsia="es-ES"/>
              </w:rPr>
            </w:pPr>
            <w:r>
              <w:rPr>
                <w:rFonts w:ascii="Arial Narrow" w:hAnsi="Arial Narrow" w:cs="Arial"/>
                <w:lang w:val="es-ES" w:eastAsia="es-ES"/>
              </w:rPr>
              <w:t>2.583.383</w:t>
            </w:r>
          </w:p>
        </w:tc>
        <w:tc>
          <w:tcPr>
            <w:tcW w:w="1669"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lang w:val="es-ES" w:eastAsia="es-ES"/>
              </w:rPr>
            </w:pPr>
            <w:r>
              <w:rPr>
                <w:rFonts w:ascii="Arial Narrow" w:hAnsi="Arial Narrow" w:cs="Arial"/>
                <w:lang w:val="es-ES" w:eastAsia="es-ES"/>
              </w:rPr>
              <w:t>2.339.099</w:t>
            </w:r>
          </w:p>
        </w:tc>
        <w:tc>
          <w:tcPr>
            <w:tcW w:w="2048"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lang w:val="es-ES" w:eastAsia="es-ES"/>
              </w:rPr>
            </w:pPr>
            <w:r>
              <w:rPr>
                <w:rFonts w:ascii="Arial Narrow" w:hAnsi="Arial Narrow" w:cs="Arial"/>
                <w:lang w:val="es-ES" w:eastAsia="es-ES"/>
              </w:rPr>
              <w:t>131.525</w:t>
            </w:r>
          </w:p>
        </w:tc>
        <w:tc>
          <w:tcPr>
            <w:tcW w:w="1291"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lang w:val="es-ES" w:eastAsia="es-ES"/>
              </w:rPr>
            </w:pPr>
            <w:r>
              <w:rPr>
                <w:rFonts w:ascii="Arial Narrow" w:hAnsi="Arial Narrow" w:cs="Arial"/>
                <w:lang w:val="es-ES" w:eastAsia="es-ES"/>
              </w:rPr>
              <w:t>35</w:t>
            </w:r>
          </w:p>
        </w:tc>
      </w:tr>
      <w:tr w:rsidR="00E848E7" w:rsidRPr="004F6DCC" w:rsidTr="00E848E7">
        <w:trPr>
          <w:trHeight w:val="198"/>
          <w:jc w:val="center"/>
        </w:trPr>
        <w:tc>
          <w:tcPr>
            <w:tcW w:w="2142"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left"/>
              <w:rPr>
                <w:rFonts w:ascii="Arial Narrow" w:hAnsi="Arial Narrow" w:cs="Arial"/>
                <w:lang w:val="es-ES" w:eastAsia="es-ES"/>
              </w:rPr>
            </w:pPr>
            <w:r w:rsidRPr="004F6DCC">
              <w:rPr>
                <w:rFonts w:ascii="Arial Narrow" w:hAnsi="Arial Narrow" w:cs="Arial"/>
                <w:lang w:val="es-ES" w:eastAsia="es-ES"/>
              </w:rPr>
              <w:t>Defensor del Pueblo</w:t>
            </w:r>
          </w:p>
        </w:tc>
        <w:tc>
          <w:tcPr>
            <w:tcW w:w="1669"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lang w:val="es-ES" w:eastAsia="es-ES"/>
              </w:rPr>
            </w:pPr>
            <w:r>
              <w:rPr>
                <w:rFonts w:ascii="Arial Narrow" w:hAnsi="Arial Narrow" w:cs="Arial"/>
                <w:lang w:val="es-ES" w:eastAsia="es-ES"/>
              </w:rPr>
              <w:t>755.574</w:t>
            </w:r>
          </w:p>
        </w:tc>
        <w:tc>
          <w:tcPr>
            <w:tcW w:w="1669"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lang w:val="es-ES" w:eastAsia="es-ES"/>
              </w:rPr>
            </w:pPr>
            <w:r>
              <w:rPr>
                <w:rFonts w:ascii="Arial Narrow" w:hAnsi="Arial Narrow" w:cs="Arial"/>
                <w:lang w:val="es-ES" w:eastAsia="es-ES"/>
              </w:rPr>
              <w:t>658.720</w:t>
            </w:r>
          </w:p>
        </w:tc>
        <w:tc>
          <w:tcPr>
            <w:tcW w:w="2048"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lang w:val="es-ES" w:eastAsia="es-ES"/>
              </w:rPr>
            </w:pPr>
            <w:r>
              <w:rPr>
                <w:rFonts w:ascii="Arial Narrow" w:hAnsi="Arial Narrow" w:cs="Arial"/>
                <w:lang w:val="es-ES" w:eastAsia="es-ES"/>
              </w:rPr>
              <w:t>96.854</w:t>
            </w:r>
          </w:p>
        </w:tc>
        <w:tc>
          <w:tcPr>
            <w:tcW w:w="1291" w:type="dxa"/>
            <w:tcBorders>
              <w:top w:val="single" w:sz="2" w:space="0" w:color="auto"/>
              <w:left w:val="nil"/>
              <w:bottom w:val="single" w:sz="2" w:space="0" w:color="auto"/>
              <w:right w:val="nil"/>
            </w:tcBorders>
            <w:vAlign w:val="center"/>
          </w:tcPr>
          <w:p w:rsidR="00E848E7" w:rsidRPr="004F6DCC" w:rsidRDefault="00E848E7" w:rsidP="00E848E7">
            <w:pPr>
              <w:spacing w:after="0"/>
              <w:ind w:firstLine="0"/>
              <w:jc w:val="right"/>
              <w:rPr>
                <w:rFonts w:ascii="Arial Narrow" w:hAnsi="Arial Narrow" w:cs="Arial"/>
                <w:lang w:val="es-ES" w:eastAsia="es-ES"/>
              </w:rPr>
            </w:pPr>
            <w:r>
              <w:rPr>
                <w:rFonts w:ascii="Arial Narrow" w:hAnsi="Arial Narrow" w:cs="Arial"/>
                <w:lang w:val="es-ES" w:eastAsia="es-ES"/>
              </w:rPr>
              <w:t>8</w:t>
            </w:r>
          </w:p>
        </w:tc>
      </w:tr>
      <w:tr w:rsidR="00E848E7" w:rsidRPr="004F6DCC" w:rsidTr="00E848E7">
        <w:trPr>
          <w:trHeight w:val="198"/>
          <w:jc w:val="center"/>
        </w:trPr>
        <w:tc>
          <w:tcPr>
            <w:tcW w:w="2142" w:type="dxa"/>
            <w:tcBorders>
              <w:top w:val="single" w:sz="2" w:space="0" w:color="auto"/>
              <w:left w:val="nil"/>
              <w:bottom w:val="single" w:sz="4" w:space="0" w:color="auto"/>
              <w:right w:val="nil"/>
            </w:tcBorders>
            <w:vAlign w:val="center"/>
          </w:tcPr>
          <w:p w:rsidR="00E848E7" w:rsidRPr="004F6DCC" w:rsidRDefault="00E848E7" w:rsidP="00E848E7">
            <w:pPr>
              <w:spacing w:after="0"/>
              <w:ind w:firstLine="0"/>
              <w:jc w:val="left"/>
              <w:rPr>
                <w:rFonts w:ascii="Arial Narrow" w:hAnsi="Arial Narrow" w:cs="Arial"/>
                <w:lang w:val="es-ES" w:eastAsia="es-ES"/>
              </w:rPr>
            </w:pPr>
            <w:r w:rsidRPr="004F6DCC">
              <w:rPr>
                <w:rFonts w:ascii="Arial Narrow" w:hAnsi="Arial Narrow" w:cs="Arial"/>
                <w:lang w:val="es-ES" w:eastAsia="es-ES"/>
              </w:rPr>
              <w:t>Consejo de Navarra</w:t>
            </w:r>
          </w:p>
        </w:tc>
        <w:tc>
          <w:tcPr>
            <w:tcW w:w="1669" w:type="dxa"/>
            <w:tcBorders>
              <w:top w:val="single" w:sz="2" w:space="0" w:color="auto"/>
              <w:left w:val="nil"/>
              <w:bottom w:val="single" w:sz="4" w:space="0" w:color="auto"/>
              <w:right w:val="nil"/>
            </w:tcBorders>
            <w:vAlign w:val="center"/>
          </w:tcPr>
          <w:p w:rsidR="00E848E7" w:rsidRPr="004F6DCC" w:rsidRDefault="00E848E7" w:rsidP="00E848E7">
            <w:pPr>
              <w:spacing w:after="0"/>
              <w:ind w:firstLine="0"/>
              <w:jc w:val="right"/>
              <w:rPr>
                <w:rFonts w:ascii="Arial Narrow" w:hAnsi="Arial Narrow" w:cs="Arial"/>
                <w:lang w:val="es-ES" w:eastAsia="es-ES"/>
              </w:rPr>
            </w:pPr>
            <w:r>
              <w:rPr>
                <w:rFonts w:ascii="Arial Narrow" w:hAnsi="Arial Narrow" w:cs="Arial"/>
                <w:lang w:val="es-ES" w:eastAsia="es-ES"/>
              </w:rPr>
              <w:t>372.541</w:t>
            </w:r>
          </w:p>
        </w:tc>
        <w:tc>
          <w:tcPr>
            <w:tcW w:w="1669" w:type="dxa"/>
            <w:tcBorders>
              <w:top w:val="single" w:sz="2" w:space="0" w:color="auto"/>
              <w:left w:val="nil"/>
              <w:bottom w:val="single" w:sz="4" w:space="0" w:color="auto"/>
              <w:right w:val="nil"/>
            </w:tcBorders>
            <w:vAlign w:val="center"/>
          </w:tcPr>
          <w:p w:rsidR="00E848E7" w:rsidRPr="004F6DCC" w:rsidRDefault="00E848E7" w:rsidP="00E848E7">
            <w:pPr>
              <w:spacing w:after="0"/>
              <w:ind w:firstLine="0"/>
              <w:jc w:val="right"/>
              <w:rPr>
                <w:rFonts w:ascii="Arial Narrow" w:hAnsi="Arial Narrow" w:cs="Arial"/>
                <w:lang w:val="es-ES" w:eastAsia="es-ES"/>
              </w:rPr>
            </w:pPr>
            <w:r>
              <w:rPr>
                <w:rFonts w:ascii="Arial Narrow" w:hAnsi="Arial Narrow" w:cs="Arial"/>
                <w:lang w:val="es-ES" w:eastAsia="es-ES"/>
              </w:rPr>
              <w:t>295.906</w:t>
            </w:r>
          </w:p>
        </w:tc>
        <w:tc>
          <w:tcPr>
            <w:tcW w:w="2048" w:type="dxa"/>
            <w:tcBorders>
              <w:top w:val="single" w:sz="2" w:space="0" w:color="auto"/>
              <w:left w:val="nil"/>
              <w:bottom w:val="single" w:sz="4" w:space="0" w:color="auto"/>
              <w:right w:val="nil"/>
            </w:tcBorders>
            <w:vAlign w:val="center"/>
          </w:tcPr>
          <w:p w:rsidR="00E848E7" w:rsidRPr="004F6DCC" w:rsidRDefault="00E848E7" w:rsidP="00E848E7">
            <w:pPr>
              <w:spacing w:after="0"/>
              <w:ind w:firstLine="0"/>
              <w:jc w:val="right"/>
              <w:rPr>
                <w:rFonts w:ascii="Arial Narrow" w:hAnsi="Arial Narrow" w:cs="Arial"/>
                <w:lang w:val="es-ES" w:eastAsia="es-ES"/>
              </w:rPr>
            </w:pPr>
            <w:r>
              <w:rPr>
                <w:rFonts w:ascii="Arial Narrow" w:hAnsi="Arial Narrow" w:cs="Arial"/>
                <w:lang w:val="es-ES" w:eastAsia="es-ES"/>
              </w:rPr>
              <w:t>76.635</w:t>
            </w:r>
          </w:p>
        </w:tc>
        <w:tc>
          <w:tcPr>
            <w:tcW w:w="1291" w:type="dxa"/>
            <w:tcBorders>
              <w:top w:val="single" w:sz="2" w:space="0" w:color="auto"/>
              <w:left w:val="nil"/>
              <w:bottom w:val="single" w:sz="4" w:space="0" w:color="auto"/>
              <w:right w:val="nil"/>
            </w:tcBorders>
            <w:vAlign w:val="center"/>
          </w:tcPr>
          <w:p w:rsidR="00E848E7" w:rsidRPr="004F6DCC" w:rsidRDefault="00E848E7" w:rsidP="00E848E7">
            <w:pPr>
              <w:spacing w:after="0"/>
              <w:ind w:firstLine="0"/>
              <w:jc w:val="right"/>
              <w:rPr>
                <w:rFonts w:ascii="Arial Narrow" w:hAnsi="Arial Narrow" w:cs="Arial"/>
                <w:lang w:val="es-ES" w:eastAsia="es-ES"/>
              </w:rPr>
            </w:pPr>
            <w:r w:rsidRPr="004F6DCC">
              <w:rPr>
                <w:rFonts w:ascii="Arial Narrow" w:hAnsi="Arial Narrow" w:cs="Arial"/>
                <w:lang w:val="es-ES" w:eastAsia="es-ES"/>
              </w:rPr>
              <w:t>2</w:t>
            </w:r>
          </w:p>
        </w:tc>
      </w:tr>
    </w:tbl>
    <w:p w:rsidR="00343FF1" w:rsidRDefault="00343FF1" w:rsidP="00343FF1">
      <w:pPr>
        <w:pStyle w:val="texto"/>
        <w:spacing w:before="240"/>
      </w:pPr>
      <w:bookmarkStart w:id="10" w:name="_Toc418853773"/>
      <w:bookmarkStart w:id="11" w:name="_Toc402180170"/>
      <w:r>
        <w:t>El Sector Público Foral aquí detallado es sobre el que hemos desarrollado nuestro trabajo. El detallado a continuación, teniendo en cuenta la normativa de estabilidad presupuestaria y sostenibilidad financiera, es el que hemos consid</w:t>
      </w:r>
      <w:r>
        <w:t>e</w:t>
      </w:r>
      <w:r>
        <w:t xml:space="preserve">rado para el análisis del cumplimiento de las reglas establecidas en el epígrafe </w:t>
      </w:r>
      <w:r w:rsidR="00041EA3">
        <w:t>V.3. de este informe.</w:t>
      </w:r>
    </w:p>
    <w:p w:rsidR="00E848E7" w:rsidRPr="00597CCA" w:rsidRDefault="007941A1" w:rsidP="00597CCA">
      <w:pPr>
        <w:pStyle w:val="atitulo2"/>
        <w:spacing w:before="240"/>
        <w:rPr>
          <w:bCs w:val="0"/>
          <w:iCs w:val="0"/>
        </w:rPr>
      </w:pPr>
      <w:bookmarkStart w:id="12" w:name="_Toc530034655"/>
      <w:r>
        <w:rPr>
          <w:bCs w:val="0"/>
          <w:iCs w:val="0"/>
        </w:rPr>
        <w:t xml:space="preserve">II.2. </w:t>
      </w:r>
      <w:r w:rsidR="00E848E7" w:rsidRPr="00597CCA">
        <w:rPr>
          <w:bCs w:val="0"/>
          <w:iCs w:val="0"/>
        </w:rPr>
        <w:t>Sector Administración Pública de Navarra según la Ley Orgánica 2/2012, de 27 de abril, de Estabilidad Presupuestaria y Sostenibilidad Financiera</w:t>
      </w:r>
      <w:bookmarkEnd w:id="10"/>
      <w:bookmarkEnd w:id="11"/>
      <w:bookmarkEnd w:id="12"/>
    </w:p>
    <w:p w:rsidR="00E848E7" w:rsidRPr="00EB7C97" w:rsidRDefault="00E848E7" w:rsidP="00E848E7">
      <w:pPr>
        <w:pStyle w:val="texto"/>
      </w:pPr>
      <w:r w:rsidRPr="00EB7C97">
        <w:t xml:space="preserve">En términos de contabilidad nacional (SEC´2010), </w:t>
      </w:r>
      <w:r w:rsidRPr="00EB7C97">
        <w:rPr>
          <w:spacing w:val="4"/>
        </w:rPr>
        <w:t>para</w:t>
      </w:r>
      <w:r w:rsidRPr="00EB7C97">
        <w:t xml:space="preserve"> 201</w:t>
      </w:r>
      <w:r>
        <w:t>7</w:t>
      </w:r>
      <w:r w:rsidRPr="00EB7C97">
        <w:t>, se consideran Sector Administración Pública de Navarra:</w:t>
      </w:r>
    </w:p>
    <w:p w:rsidR="00E848E7" w:rsidRPr="004F6DCC"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rPr>
          <w:rFonts w:cs="Arial"/>
        </w:rPr>
      </w:pPr>
      <w:r w:rsidRPr="004F6DCC">
        <w:rPr>
          <w:rFonts w:cs="Arial"/>
        </w:rPr>
        <w:t xml:space="preserve">La </w:t>
      </w:r>
      <w:r>
        <w:rPr>
          <w:rFonts w:cs="Arial"/>
        </w:rPr>
        <w:t>ACFN</w:t>
      </w:r>
      <w:r w:rsidRPr="004F6DCC">
        <w:rPr>
          <w:rFonts w:cs="Arial"/>
        </w:rPr>
        <w:t xml:space="preserve"> y sus </w:t>
      </w:r>
      <w:r>
        <w:rPr>
          <w:rFonts w:cs="Arial"/>
        </w:rPr>
        <w:t>OOAA</w:t>
      </w:r>
      <w:r w:rsidRPr="004F6DCC">
        <w:rPr>
          <w:rFonts w:cs="Arial"/>
        </w:rPr>
        <w:t>.</w:t>
      </w:r>
    </w:p>
    <w:p w:rsidR="00E848E7" w:rsidRPr="004F6DCC"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rPr>
          <w:rFonts w:cs="Arial"/>
        </w:rPr>
      </w:pPr>
      <w:r w:rsidRPr="004F6DCC">
        <w:rPr>
          <w:rFonts w:cs="Arial"/>
        </w:rPr>
        <w:lastRenderedPageBreak/>
        <w:t>El Parlamento de Navarra y sus entes dependientes.</w:t>
      </w:r>
    </w:p>
    <w:p w:rsidR="00E848E7" w:rsidRPr="004F6DCC"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rPr>
          <w:rFonts w:cs="Arial"/>
        </w:rPr>
      </w:pPr>
      <w:r w:rsidRPr="004F6DCC">
        <w:rPr>
          <w:rFonts w:cs="Arial"/>
        </w:rPr>
        <w:t>La Universidad Pública de Navarra.</w:t>
      </w:r>
    </w:p>
    <w:p w:rsidR="00E848E7" w:rsidRPr="004F6DCC"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F6DCC">
        <w:rPr>
          <w:rFonts w:cs="Arial"/>
        </w:rPr>
        <w:t>Las sociedades públicas de la Comunidad Foral que prestan servicios o produzcan bienes que no se financian mayoritariamente con ingresos comerci</w:t>
      </w:r>
      <w:r w:rsidRPr="004F6DCC">
        <w:rPr>
          <w:rFonts w:cs="Arial"/>
        </w:rPr>
        <w:t>a</w:t>
      </w:r>
      <w:r w:rsidRPr="004F6DCC">
        <w:rPr>
          <w:rFonts w:cs="Arial"/>
        </w:rPr>
        <w:t>les. En concreto, para 201</w:t>
      </w:r>
      <w:r>
        <w:rPr>
          <w:rFonts w:cs="Arial"/>
        </w:rPr>
        <w:t>7</w:t>
      </w:r>
      <w:r w:rsidRPr="004F6DCC">
        <w:rPr>
          <w:rFonts w:cs="Arial"/>
        </w:rPr>
        <w:t xml:space="preserve"> se consideran administraciones públicas las 1</w:t>
      </w:r>
      <w:r>
        <w:rPr>
          <w:rFonts w:cs="Arial"/>
        </w:rPr>
        <w:t>4</w:t>
      </w:r>
      <w:r w:rsidRPr="004F6DCC">
        <w:rPr>
          <w:rFonts w:cs="Arial"/>
        </w:rPr>
        <w:t xml:space="preserve"> s</w:t>
      </w:r>
      <w:r w:rsidRPr="004F6DCC">
        <w:rPr>
          <w:rFonts w:cs="Arial"/>
        </w:rPr>
        <w:t>o</w:t>
      </w:r>
      <w:r w:rsidRPr="004F6DCC">
        <w:rPr>
          <w:rFonts w:cs="Arial"/>
        </w:rPr>
        <w:t>ciedades siguientes: CPEN, CNAI, CEIN, CAT, GAN, INTIA, NICDO, N</w:t>
      </w:r>
      <w:r w:rsidR="0047504B">
        <w:rPr>
          <w:rFonts w:cs="Arial"/>
        </w:rPr>
        <w:t>ASERTIC</w:t>
      </w:r>
      <w:r w:rsidRPr="004F6DCC">
        <w:rPr>
          <w:rFonts w:cs="Arial"/>
        </w:rPr>
        <w:t>, S</w:t>
      </w:r>
      <w:r w:rsidR="0047504B">
        <w:rPr>
          <w:rFonts w:cs="Arial"/>
        </w:rPr>
        <w:t>ODENA</w:t>
      </w:r>
      <w:r w:rsidRPr="004F6DCC">
        <w:rPr>
          <w:rFonts w:cs="Arial"/>
        </w:rPr>
        <w:t xml:space="preserve">, </w:t>
      </w:r>
      <w:proofErr w:type="spellStart"/>
      <w:r w:rsidRPr="004F6DCC">
        <w:rPr>
          <w:rFonts w:cs="Arial"/>
        </w:rPr>
        <w:t>Tracasa</w:t>
      </w:r>
      <w:proofErr w:type="spellEnd"/>
      <w:r>
        <w:rPr>
          <w:rFonts w:cs="Arial"/>
        </w:rPr>
        <w:t>,</w:t>
      </w:r>
      <w:r w:rsidRPr="004F6DCC">
        <w:rPr>
          <w:rFonts w:cs="Arial"/>
        </w:rPr>
        <w:t xml:space="preserve"> </w:t>
      </w:r>
      <w:proofErr w:type="spellStart"/>
      <w:r w:rsidRPr="004F6DCC">
        <w:rPr>
          <w:rFonts w:cs="Arial"/>
        </w:rPr>
        <w:t>Tracasa</w:t>
      </w:r>
      <w:proofErr w:type="spellEnd"/>
      <w:r>
        <w:rPr>
          <w:rFonts w:cs="Arial"/>
        </w:rPr>
        <w:t xml:space="preserve"> Instrumental</w:t>
      </w:r>
      <w:r w:rsidRPr="004F6DCC">
        <w:rPr>
          <w:rFonts w:cs="Arial"/>
        </w:rPr>
        <w:t xml:space="preserve">, </w:t>
      </w:r>
      <w:proofErr w:type="spellStart"/>
      <w:r w:rsidRPr="004F6DCC">
        <w:rPr>
          <w:rFonts w:cs="Arial"/>
        </w:rPr>
        <w:t>Start</w:t>
      </w:r>
      <w:proofErr w:type="spellEnd"/>
      <w:r w:rsidRPr="004F6DCC">
        <w:rPr>
          <w:rFonts w:cs="Arial"/>
        </w:rPr>
        <w:t xml:space="preserve"> UP Capital Nav</w:t>
      </w:r>
      <w:r w:rsidRPr="004F6DCC">
        <w:rPr>
          <w:rFonts w:cs="Arial"/>
        </w:rPr>
        <w:t>a</w:t>
      </w:r>
      <w:r w:rsidRPr="004F6DCC">
        <w:rPr>
          <w:rFonts w:cs="Arial"/>
        </w:rPr>
        <w:t>rra,</w:t>
      </w:r>
      <w:r>
        <w:rPr>
          <w:rFonts w:cs="Arial"/>
        </w:rPr>
        <w:t xml:space="preserve"> </w:t>
      </w:r>
      <w:r w:rsidRPr="004F6DCC">
        <w:rPr>
          <w:rFonts w:cs="Arial"/>
        </w:rPr>
        <w:t>Caviar Per Se</w:t>
      </w:r>
      <w:r>
        <w:rPr>
          <w:rFonts w:cs="Arial"/>
        </w:rPr>
        <w:t>,</w:t>
      </w:r>
      <w:r w:rsidRPr="004F6DCC">
        <w:rPr>
          <w:rFonts w:cs="Arial"/>
        </w:rPr>
        <w:t xml:space="preserve"> que se encuentra en liquidación, </w:t>
      </w:r>
      <w:r>
        <w:rPr>
          <w:rFonts w:cs="Arial"/>
        </w:rPr>
        <w:t>y P</w:t>
      </w:r>
      <w:r w:rsidR="0047504B">
        <w:rPr>
          <w:rFonts w:cs="Arial"/>
        </w:rPr>
        <w:t>OSUSA</w:t>
      </w:r>
      <w:r>
        <w:rPr>
          <w:rFonts w:cs="Arial"/>
        </w:rPr>
        <w:t xml:space="preserve"> que está en esa misma situación y se incluye por primera vez en 2017.</w:t>
      </w:r>
    </w:p>
    <w:p w:rsidR="00E848E7" w:rsidRDefault="00E848E7" w:rsidP="00E848E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0"/>
        <w:ind w:left="0" w:firstLine="284"/>
      </w:pPr>
      <w:r>
        <w:rPr>
          <w:rFonts w:cs="Arial"/>
        </w:rPr>
        <w:t>Por otro lado, ocho</w:t>
      </w:r>
      <w:r w:rsidRPr="00C843EB">
        <w:rPr>
          <w:rFonts w:cs="Arial"/>
        </w:rPr>
        <w:t xml:space="preserve"> fundaciones </w:t>
      </w:r>
      <w:r>
        <w:rPr>
          <w:rFonts w:cs="Arial"/>
        </w:rPr>
        <w:t>que son</w:t>
      </w:r>
      <w:r w:rsidR="0047504B">
        <w:rPr>
          <w:rFonts w:cs="Arial"/>
        </w:rPr>
        <w:t xml:space="preserve"> las cuatro </w:t>
      </w:r>
      <w:r w:rsidRPr="00C843EB">
        <w:rPr>
          <w:rFonts w:ascii="Times New (W1)" w:hAnsi="Times New (W1)"/>
          <w:spacing w:val="4"/>
        </w:rPr>
        <w:t xml:space="preserve">públicas </w:t>
      </w:r>
      <w:r>
        <w:rPr>
          <w:rFonts w:ascii="Times New (W1)" w:hAnsi="Times New (W1)"/>
          <w:spacing w:val="4"/>
        </w:rPr>
        <w:t>citadas, a e</w:t>
      </w:r>
      <w:r>
        <w:rPr>
          <w:rFonts w:ascii="Times New (W1)" w:hAnsi="Times New (W1)"/>
          <w:spacing w:val="4"/>
        </w:rPr>
        <w:t>x</w:t>
      </w:r>
      <w:r>
        <w:rPr>
          <w:rFonts w:ascii="Times New (W1)" w:hAnsi="Times New (W1)"/>
          <w:spacing w:val="4"/>
        </w:rPr>
        <w:t>cepción de la Miguel Induráin,</w:t>
      </w:r>
      <w:r w:rsidRPr="00C843EB">
        <w:rPr>
          <w:rFonts w:ascii="Times New (W1)" w:hAnsi="Times New (W1)"/>
          <w:spacing w:val="4"/>
        </w:rPr>
        <w:t xml:space="preserve"> y otras</w:t>
      </w:r>
      <w:r w:rsidR="00343FF1">
        <w:rPr>
          <w:rFonts w:ascii="Times New (W1)" w:hAnsi="Times New (W1)"/>
          <w:spacing w:val="4"/>
        </w:rPr>
        <w:t xml:space="preserve"> cuatro</w:t>
      </w:r>
      <w:r w:rsidRPr="00C843EB">
        <w:rPr>
          <w:rFonts w:ascii="Times New (W1)" w:hAnsi="Times New (W1)"/>
          <w:spacing w:val="4"/>
        </w:rPr>
        <w:t xml:space="preserve"> </w:t>
      </w:r>
      <w:r w:rsidRPr="00C843EB">
        <w:t>con dependencia económica: Fu</w:t>
      </w:r>
      <w:r w:rsidRPr="00C843EB">
        <w:t>n</w:t>
      </w:r>
      <w:r w:rsidRPr="00C843EB">
        <w:t xml:space="preserve">dación </w:t>
      </w:r>
      <w:proofErr w:type="spellStart"/>
      <w:r w:rsidRPr="00C843EB">
        <w:t>Cener-Ciemat</w:t>
      </w:r>
      <w:proofErr w:type="spellEnd"/>
      <w:r w:rsidRPr="00C843EB">
        <w:t>, Fundación Amado Alonso, Fundación Centro de Arte Contempo</w:t>
      </w:r>
      <w:r>
        <w:t>ráneo de Huarte, y la Fundación Instituto de Investigación Sanitaria de Navarra considerada por primera vez en 2017</w:t>
      </w:r>
      <w:r w:rsidRPr="00C843EB">
        <w:t xml:space="preserve">. </w:t>
      </w:r>
    </w:p>
    <w:p w:rsidR="00343FF1" w:rsidRPr="00C843EB" w:rsidRDefault="00343FF1" w:rsidP="00343FF1">
      <w:pPr>
        <w:pStyle w:val="texto"/>
        <w:tabs>
          <w:tab w:val="clear" w:pos="2835"/>
          <w:tab w:val="clear" w:pos="3969"/>
          <w:tab w:val="clear" w:pos="5103"/>
          <w:tab w:val="clear" w:pos="6237"/>
          <w:tab w:val="clear" w:pos="7371"/>
          <w:tab w:val="left" w:pos="480"/>
          <w:tab w:val="num" w:pos="600"/>
          <w:tab w:val="num" w:pos="720"/>
          <w:tab w:val="num" w:pos="1320"/>
          <w:tab w:val="num" w:pos="1948"/>
        </w:tabs>
        <w:spacing w:before="120" w:after="0"/>
        <w:ind w:left="284" w:firstLine="0"/>
      </w:pPr>
    </w:p>
    <w:p w:rsidR="00E848E7" w:rsidRDefault="00E848E7" w:rsidP="00E848E7">
      <w:pPr>
        <w:spacing w:after="0"/>
        <w:ind w:firstLine="0"/>
        <w:jc w:val="left"/>
        <w:rPr>
          <w:rFonts w:ascii="Arial" w:hAnsi="Arial"/>
          <w:b/>
          <w:color w:val="000000"/>
          <w:kern w:val="28"/>
          <w:sz w:val="25"/>
          <w:szCs w:val="26"/>
        </w:rPr>
      </w:pPr>
      <w:r>
        <w:br w:type="page"/>
      </w:r>
    </w:p>
    <w:p w:rsidR="0006619D" w:rsidRPr="00F377C9" w:rsidRDefault="0006619D" w:rsidP="0006619D">
      <w:pPr>
        <w:pStyle w:val="atitulo1"/>
      </w:pPr>
      <w:bookmarkStart w:id="13" w:name="_Toc525907428"/>
      <w:bookmarkStart w:id="14" w:name="_Toc530034656"/>
      <w:r>
        <w:lastRenderedPageBreak/>
        <w:t>I</w:t>
      </w:r>
      <w:r w:rsidRPr="00F377C9">
        <w:t>II. Opinión</w:t>
      </w:r>
      <w:bookmarkEnd w:id="13"/>
      <w:bookmarkEnd w:id="14"/>
    </w:p>
    <w:p w:rsidR="0006619D" w:rsidRPr="00F377C9" w:rsidRDefault="0006619D" w:rsidP="0006619D">
      <w:pPr>
        <w:pStyle w:val="texto"/>
      </w:pPr>
      <w:r w:rsidRPr="00F377C9">
        <w:t xml:space="preserve">Hemos fiscalizado las </w:t>
      </w:r>
      <w:r>
        <w:t>c</w:t>
      </w:r>
      <w:r w:rsidRPr="00F377C9">
        <w:t xml:space="preserve">uentas </w:t>
      </w:r>
      <w:r>
        <w:t>anu</w:t>
      </w:r>
      <w:r w:rsidRPr="00F377C9">
        <w:t xml:space="preserve">ales de </w:t>
      </w:r>
      <w:r>
        <w:t>la ACFN y sus OOAA</w:t>
      </w:r>
      <w:r w:rsidRPr="00F377C9">
        <w:t xml:space="preserve"> correspo</w:t>
      </w:r>
      <w:r w:rsidRPr="00F377C9">
        <w:t>n</w:t>
      </w:r>
      <w:r w:rsidRPr="00F377C9">
        <w:t>dientes al ejercicio de 201</w:t>
      </w:r>
      <w:r>
        <w:t>7</w:t>
      </w:r>
      <w:r w:rsidRPr="00F377C9">
        <w:t>, cuyos estados contables se recogen de forma r</w:t>
      </w:r>
      <w:r w:rsidRPr="00F377C9">
        <w:t>e</w:t>
      </w:r>
      <w:r w:rsidRPr="00F377C9">
        <w:t>sumida en el epígrafe I</w:t>
      </w:r>
      <w:r>
        <w:t>V</w:t>
      </w:r>
      <w:r w:rsidRPr="00F377C9">
        <w:t xml:space="preserve"> de este informe y de forma completa en la memoria que se adjunta en el mismo.</w:t>
      </w:r>
    </w:p>
    <w:p w:rsidR="0006619D" w:rsidRPr="00F377C9" w:rsidRDefault="0006619D" w:rsidP="0006619D">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 xml:space="preserve">Responsabilidad del Gobierno de Navarra </w:t>
      </w:r>
    </w:p>
    <w:p w:rsidR="0006619D" w:rsidRPr="00F377C9" w:rsidRDefault="0006619D" w:rsidP="0006619D">
      <w:pPr>
        <w:pStyle w:val="texto"/>
      </w:pPr>
      <w:r w:rsidRPr="00F377C9">
        <w:t xml:space="preserve">El Departamento de Hacienda y Política Financiera es el responsable de </w:t>
      </w:r>
      <w:r>
        <w:t>el</w:t>
      </w:r>
      <w:r>
        <w:t>a</w:t>
      </w:r>
      <w:r>
        <w:t xml:space="preserve">borar </w:t>
      </w:r>
      <w:r w:rsidRPr="00F377C9">
        <w:t xml:space="preserve">las </w:t>
      </w:r>
      <w:r>
        <w:t>C</w:t>
      </w:r>
      <w:r w:rsidRPr="00F377C9">
        <w:t>uentas</w:t>
      </w:r>
      <w:r>
        <w:t xml:space="preserve"> Generales de Navarra</w:t>
      </w:r>
      <w:r w:rsidRPr="00F377C9">
        <w:t xml:space="preserve">, de forma que expresen la imagen fiel de la </w:t>
      </w:r>
      <w:r>
        <w:t>ejecución</w:t>
      </w:r>
      <w:r w:rsidRPr="00F377C9">
        <w:t xml:space="preserve"> presupuestaria, del patrimonio, de los resultados y de la situ</w:t>
      </w:r>
      <w:r w:rsidRPr="00F377C9">
        <w:t>a</w:t>
      </w:r>
      <w:r w:rsidRPr="00F377C9">
        <w:t xml:space="preserve">ción financiera de la </w:t>
      </w:r>
      <w:r>
        <w:t>ACFN</w:t>
      </w:r>
      <w:r w:rsidRPr="00F377C9">
        <w:t xml:space="preserve"> y sus </w:t>
      </w:r>
      <w:r>
        <w:t>OOAA</w:t>
      </w:r>
      <w:r w:rsidRPr="00F377C9">
        <w:t xml:space="preserve"> de conformidad con el marco norm</w:t>
      </w:r>
      <w:r w:rsidRPr="00F377C9">
        <w:t>a</w:t>
      </w:r>
      <w:r w:rsidRPr="00F377C9">
        <w:t>tivo de información financiera pública aplicable</w:t>
      </w:r>
      <w:r>
        <w:t>;</w:t>
      </w:r>
      <w:r w:rsidRPr="00F377C9">
        <w:t xml:space="preserve"> </w:t>
      </w:r>
      <w:r>
        <w:t>también</w:t>
      </w:r>
      <w:r w:rsidRPr="00F377C9">
        <w:t xml:space="preserve"> </w:t>
      </w:r>
      <w:r>
        <w:t>es responsable del</w:t>
      </w:r>
      <w:r w:rsidRPr="00F377C9">
        <w:t xml:space="preserve"> control interno que considere necesario para permitir la preparación y present</w:t>
      </w:r>
      <w:r w:rsidRPr="00F377C9">
        <w:t>a</w:t>
      </w:r>
      <w:r w:rsidRPr="00F377C9">
        <w:t xml:space="preserve">ción de las cuentas </w:t>
      </w:r>
      <w:r>
        <w:t>anua</w:t>
      </w:r>
      <w:r w:rsidRPr="00F377C9">
        <w:t>les libres de incorrección material, debida a fraude o error.</w:t>
      </w:r>
    </w:p>
    <w:p w:rsidR="0006619D" w:rsidRPr="00906B9C" w:rsidRDefault="0006619D" w:rsidP="0006619D">
      <w:pPr>
        <w:pStyle w:val="texto"/>
      </w:pPr>
      <w:r>
        <w:t>El Proyecto de Ley Foral de C</w:t>
      </w:r>
      <w:r w:rsidRPr="00F377C9">
        <w:t xml:space="preserve">uentas </w:t>
      </w:r>
      <w:r>
        <w:t>G</w:t>
      </w:r>
      <w:r w:rsidRPr="00F377C9">
        <w:t>enerales de Navarra de 201</w:t>
      </w:r>
      <w:r>
        <w:t>7</w:t>
      </w:r>
      <w:r w:rsidRPr="00F377C9">
        <w:t xml:space="preserve"> fue aprobado por el Gobierno de Navarra en sesión celebrada el 2</w:t>
      </w:r>
      <w:r>
        <w:t>7</w:t>
      </w:r>
      <w:r w:rsidRPr="00F377C9">
        <w:t xml:space="preserve"> de junio de 201</w:t>
      </w:r>
      <w:r>
        <w:t>8</w:t>
      </w:r>
      <w:r w:rsidRPr="00F377C9">
        <w:t xml:space="preserve"> y remitido al Parlamento de Navarra, </w:t>
      </w:r>
      <w:r w:rsidRPr="00906B9C">
        <w:t xml:space="preserve">el cual mediante acuerdo de la Mesa del 3 de septiembre, lo trasladó a la Cámara de Comptos. </w:t>
      </w:r>
    </w:p>
    <w:p w:rsidR="0006619D" w:rsidRPr="00F377C9" w:rsidRDefault="0006619D" w:rsidP="0006619D">
      <w:pPr>
        <w:pStyle w:val="texto"/>
      </w:pPr>
      <w:r w:rsidRPr="00906B9C">
        <w:t xml:space="preserve">Además de la responsabilidad </w:t>
      </w:r>
      <w:r w:rsidRPr="00F377C9">
        <w:t xml:space="preserve">de </w:t>
      </w:r>
      <w:r>
        <w:t>elaborar las C</w:t>
      </w:r>
      <w:r w:rsidRPr="00F377C9">
        <w:t xml:space="preserve">uentas </w:t>
      </w:r>
      <w:r>
        <w:t>Generales</w:t>
      </w:r>
      <w:r w:rsidRPr="00F377C9">
        <w:t>, debe gara</w:t>
      </w:r>
      <w:r w:rsidRPr="00F377C9">
        <w:t>n</w:t>
      </w:r>
      <w:r w:rsidRPr="00F377C9">
        <w:t>tizar que las actividades, operaciones presupuestarias y financieras y la info</w:t>
      </w:r>
      <w:r w:rsidRPr="00F377C9">
        <w:t>r</w:t>
      </w:r>
      <w:r w:rsidRPr="00F377C9">
        <w:t xml:space="preserve">mación reflejadas en las cuentas </w:t>
      </w:r>
      <w:r>
        <w:t>anu</w:t>
      </w:r>
      <w:r w:rsidRPr="00F377C9">
        <w:t>ales resultan conformes con las normas aplicables</w:t>
      </w:r>
      <w:r>
        <w:t>,</w:t>
      </w:r>
      <w:r w:rsidRPr="00F377C9">
        <w:t xml:space="preserve"> y establecer los sistemas de control interno que consideren neces</w:t>
      </w:r>
      <w:r w:rsidRPr="00F377C9">
        <w:t>a</w:t>
      </w:r>
      <w:r w:rsidRPr="00F377C9">
        <w:t>rio para esa finalidad.</w:t>
      </w:r>
    </w:p>
    <w:p w:rsidR="0006619D" w:rsidRPr="00F377C9" w:rsidRDefault="0006619D" w:rsidP="0006619D">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Responsabilidad de la Cámara de Comptos de Navarra</w:t>
      </w:r>
    </w:p>
    <w:p w:rsidR="0006619D" w:rsidRPr="00F377C9" w:rsidRDefault="0006619D" w:rsidP="0006619D">
      <w:pPr>
        <w:pStyle w:val="texto"/>
      </w:pPr>
      <w:r w:rsidRPr="00F377C9">
        <w:t xml:space="preserve">Nuestra responsabilidad es expresar una opinión sobre las </w:t>
      </w:r>
      <w:r>
        <w:t>c</w:t>
      </w:r>
      <w:r w:rsidRPr="00F377C9">
        <w:t xml:space="preserve">uentas </w:t>
      </w:r>
      <w:r>
        <w:t>anu</w:t>
      </w:r>
      <w:r w:rsidRPr="00F377C9">
        <w:t>ales de 201</w:t>
      </w:r>
      <w:r>
        <w:t>7 de la ACFN y sus OOAA</w:t>
      </w:r>
      <w:r w:rsidRPr="00F377C9">
        <w:t xml:space="preserve"> y sobre la legalidad de las operaciones efectu</w:t>
      </w:r>
      <w:r w:rsidRPr="00F377C9">
        <w:t>a</w:t>
      </w:r>
      <w:r w:rsidRPr="00F377C9">
        <w:t xml:space="preserve">das basada en nuestra fiscalización. </w:t>
      </w:r>
    </w:p>
    <w:p w:rsidR="0006619D" w:rsidRPr="00F377C9" w:rsidRDefault="0006619D" w:rsidP="0006619D">
      <w:pPr>
        <w:pStyle w:val="texto"/>
      </w:pPr>
      <w:r w:rsidRPr="00F377C9">
        <w:t>Para ello, hemos llevado a cabo la misma de conformidad con los principios fundamentales de fiscalización de las Instituciones Públicas de Control E</w:t>
      </w:r>
      <w:r w:rsidRPr="00F377C9">
        <w:t>x</w:t>
      </w:r>
      <w:r w:rsidRPr="00F377C9">
        <w:t xml:space="preserve">terno. Dichos principios exigen que cumplamos los requerimientos de ética, así como que planifiquemos y ejecutemos la fiscalización con el fin de obtener una seguridad razonable de que las cuentas anuales están libres de incorrecciones materiales y que las actividades, </w:t>
      </w:r>
      <w:r>
        <w:t>operaciones presupuestarias y</w:t>
      </w:r>
      <w:r w:rsidRPr="00F377C9">
        <w:t xml:space="preserve"> financieras</w:t>
      </w:r>
      <w:r>
        <w:t xml:space="preserve"> re</w:t>
      </w:r>
      <w:r>
        <w:t>a</w:t>
      </w:r>
      <w:r>
        <w:t>lizadas durante el ejercicio,</w:t>
      </w:r>
      <w:r w:rsidRPr="00F377C9">
        <w:t xml:space="preserve"> y la información reflejadas en los estados financi</w:t>
      </w:r>
      <w:r w:rsidRPr="00F377C9">
        <w:t>e</w:t>
      </w:r>
      <w:r w:rsidRPr="00F377C9">
        <w:t xml:space="preserve">ros resultan, en todos los aspectos significativos, conformes con la normativa vigente. </w:t>
      </w:r>
    </w:p>
    <w:p w:rsidR="0006619D" w:rsidRPr="00F377C9" w:rsidRDefault="0006619D" w:rsidP="0006619D">
      <w:pPr>
        <w:pStyle w:val="texto"/>
      </w:pPr>
      <w:r w:rsidRPr="00F377C9">
        <w:t>Una fiscalización requiere la aplicación de procedimientos para obtener ev</w:t>
      </w:r>
      <w:r w:rsidRPr="00F377C9">
        <w:t>i</w:t>
      </w:r>
      <w:r w:rsidRPr="00F377C9">
        <w:t xml:space="preserve">dencia de auditoría sobre los importes y la información revelada en las cuentas </w:t>
      </w:r>
      <w:r w:rsidRPr="00F377C9">
        <w:lastRenderedPageBreak/>
        <w:t>anuales y sobre el cumplimiento de los aspectos relevantes establecidos en la normativa durante el ejercicio fiscalizado. Los procedimientos seleccionados dependen del juicio del auditor, incluida la valoración de los riesgos tanto de incorrección material en las cuentas anuales, debida a fraude o error, como de incumplimientos significativos de la legalidad. Al efectuar dichas valoraciones del riesgo, el auditor tiene en cuenta el control interno relevante para la form</w:t>
      </w:r>
      <w:r w:rsidRPr="00F377C9">
        <w:t>u</w:t>
      </w:r>
      <w:r w:rsidRPr="00F377C9">
        <w:t>lación por parte de la entidad de las cuentas anuales y para garantizar el cu</w:t>
      </w:r>
      <w:r w:rsidRPr="00F377C9">
        <w:t>m</w:t>
      </w:r>
      <w:r w:rsidRPr="00F377C9">
        <w:t>plimiento de la legalidad, con el fin de diseñar los procedimientos de auditoría que sean adecuados en función de las circunstancias, y no con la finalidad de expresar una opinión sobre la eficacia del control interno de la entidad. Una auditoría también incluye la evaluación de la adecuación de las políticas cont</w:t>
      </w:r>
      <w:r w:rsidRPr="00F377C9">
        <w:t>a</w:t>
      </w:r>
      <w:r w:rsidRPr="00F377C9">
        <w:t>bles aplicadas y de la razonabilidad de las estimaciones contables realizadas por la dirección, así como la evaluación de la presentación de las cuentas anu</w:t>
      </w:r>
      <w:r w:rsidRPr="00F377C9">
        <w:t>a</w:t>
      </w:r>
      <w:r w:rsidRPr="00F377C9">
        <w:t>les tomadas en su conjunto.</w:t>
      </w:r>
    </w:p>
    <w:p w:rsidR="0006619D" w:rsidRPr="00F377C9" w:rsidRDefault="0006619D" w:rsidP="0006619D">
      <w:pPr>
        <w:pStyle w:val="texto"/>
      </w:pPr>
      <w:r w:rsidRPr="00F377C9">
        <w:t>Consideramos que la evidencia de auditoría que hemos obtenido proporciona una base suficiente y adecuada para fundamentar nuestra opinión.</w:t>
      </w:r>
    </w:p>
    <w:p w:rsidR="0006619D" w:rsidRPr="00F377C9" w:rsidRDefault="0006619D" w:rsidP="0006619D">
      <w:pPr>
        <w:pStyle w:val="atitulo2"/>
      </w:pPr>
      <w:bookmarkStart w:id="15" w:name="_Toc463350238"/>
      <w:bookmarkStart w:id="16" w:name="_Toc494270372"/>
      <w:bookmarkStart w:id="17" w:name="_Toc525907429"/>
      <w:bookmarkStart w:id="18" w:name="_Toc530034657"/>
      <w:bookmarkStart w:id="19" w:name="_Toc402180175"/>
      <w:bookmarkStart w:id="20" w:name="_Toc188167196"/>
      <w:bookmarkStart w:id="21" w:name="_Toc303592533"/>
      <w:bookmarkStart w:id="22" w:name="_Toc309383716"/>
      <w:bookmarkStart w:id="23" w:name="_Toc339016605"/>
      <w:r w:rsidRPr="00F377C9">
        <w:t>I</w:t>
      </w:r>
      <w:r>
        <w:t>I</w:t>
      </w:r>
      <w:r w:rsidRPr="00F377C9">
        <w:t xml:space="preserve">I.1. Opinión de auditoría financiera sobre las cuentas </w:t>
      </w:r>
      <w:r>
        <w:t>anuales</w:t>
      </w:r>
      <w:r w:rsidRPr="00F377C9">
        <w:t xml:space="preserve"> de 201</w:t>
      </w:r>
      <w:bookmarkEnd w:id="15"/>
      <w:bookmarkEnd w:id="16"/>
      <w:r>
        <w:t>7</w:t>
      </w:r>
      <w:bookmarkEnd w:id="17"/>
      <w:bookmarkEnd w:id="18"/>
    </w:p>
    <w:p w:rsidR="0006619D" w:rsidRPr="00F377C9" w:rsidRDefault="0006619D" w:rsidP="0006619D">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Fundamento de la opinión financiera con salvedades</w:t>
      </w:r>
    </w:p>
    <w:p w:rsidR="0006619D" w:rsidRPr="00F377C9" w:rsidRDefault="0006619D" w:rsidP="0006619D">
      <w:pPr>
        <w:tabs>
          <w:tab w:val="center" w:pos="2835"/>
          <w:tab w:val="center" w:pos="3969"/>
          <w:tab w:val="center" w:pos="5103"/>
          <w:tab w:val="center" w:pos="6237"/>
          <w:tab w:val="center" w:pos="7371"/>
        </w:tabs>
        <w:ind w:firstLine="284"/>
        <w:rPr>
          <w:spacing w:val="6"/>
          <w:sz w:val="26"/>
          <w:szCs w:val="24"/>
        </w:rPr>
      </w:pPr>
      <w:r w:rsidRPr="00F377C9">
        <w:rPr>
          <w:spacing w:val="6"/>
          <w:sz w:val="26"/>
          <w:szCs w:val="24"/>
        </w:rPr>
        <w:t>a) Como ha venido insistiendo esta Cámara en anteriores informes, no se aplican en toda su extensión las cuentas, criterios y principios que el Plan G</w:t>
      </w:r>
      <w:r w:rsidRPr="00F377C9">
        <w:rPr>
          <w:spacing w:val="6"/>
          <w:sz w:val="26"/>
          <w:szCs w:val="24"/>
        </w:rPr>
        <w:t>e</w:t>
      </w:r>
      <w:r w:rsidRPr="00F377C9">
        <w:rPr>
          <w:spacing w:val="6"/>
          <w:sz w:val="26"/>
          <w:szCs w:val="24"/>
        </w:rPr>
        <w:t xml:space="preserve">neral de Contabilidad Pública </w:t>
      </w:r>
      <w:r>
        <w:rPr>
          <w:spacing w:val="6"/>
          <w:sz w:val="26"/>
          <w:szCs w:val="24"/>
        </w:rPr>
        <w:t xml:space="preserve">de 2010 </w:t>
      </w:r>
      <w:r w:rsidRPr="00F377C9">
        <w:rPr>
          <w:spacing w:val="6"/>
          <w:sz w:val="26"/>
          <w:szCs w:val="24"/>
        </w:rPr>
        <w:t>contiene para el tratamiento contable adecuado de los impuestos, deudores</w:t>
      </w:r>
      <w:r>
        <w:rPr>
          <w:spacing w:val="6"/>
          <w:sz w:val="26"/>
          <w:szCs w:val="24"/>
        </w:rPr>
        <w:t xml:space="preserve">, </w:t>
      </w:r>
      <w:r w:rsidRPr="00F377C9">
        <w:rPr>
          <w:spacing w:val="6"/>
          <w:sz w:val="26"/>
          <w:szCs w:val="24"/>
        </w:rPr>
        <w:t>acreedores tributarios</w:t>
      </w:r>
      <w:r>
        <w:rPr>
          <w:spacing w:val="6"/>
          <w:sz w:val="26"/>
          <w:szCs w:val="24"/>
        </w:rPr>
        <w:t xml:space="preserve"> e inmovilizado principalmente</w:t>
      </w:r>
      <w:r w:rsidRPr="00F377C9">
        <w:rPr>
          <w:spacing w:val="6"/>
          <w:sz w:val="26"/>
          <w:szCs w:val="24"/>
        </w:rPr>
        <w:t xml:space="preserve">. Este hecho unido a la existencia de disfunciones entre la </w:t>
      </w:r>
      <w:r w:rsidRPr="00F377C9">
        <w:rPr>
          <w:spacing w:val="6"/>
          <w:sz w:val="26"/>
          <w:szCs w:val="26"/>
        </w:rPr>
        <w:t>cont</w:t>
      </w:r>
      <w:r w:rsidRPr="00F377C9">
        <w:rPr>
          <w:spacing w:val="6"/>
          <w:sz w:val="26"/>
          <w:szCs w:val="26"/>
        </w:rPr>
        <w:t>a</w:t>
      </w:r>
      <w:r w:rsidRPr="00F377C9">
        <w:rPr>
          <w:spacing w:val="6"/>
          <w:sz w:val="26"/>
          <w:szCs w:val="26"/>
        </w:rPr>
        <w:t>bilidad auxiliar de terceros</w:t>
      </w:r>
      <w:r>
        <w:rPr>
          <w:spacing w:val="6"/>
          <w:sz w:val="26"/>
          <w:szCs w:val="26"/>
        </w:rPr>
        <w:t xml:space="preserve"> y gestión tributaria</w:t>
      </w:r>
      <w:r w:rsidRPr="00F377C9">
        <w:rPr>
          <w:spacing w:val="6"/>
          <w:sz w:val="26"/>
          <w:szCs w:val="26"/>
        </w:rPr>
        <w:t xml:space="preserve"> (</w:t>
      </w:r>
      <w:proofErr w:type="spellStart"/>
      <w:r w:rsidRPr="00F377C9">
        <w:rPr>
          <w:spacing w:val="6"/>
          <w:sz w:val="26"/>
          <w:szCs w:val="26"/>
        </w:rPr>
        <w:t>CAT</w:t>
      </w:r>
      <w:r>
        <w:rPr>
          <w:spacing w:val="6"/>
          <w:sz w:val="26"/>
          <w:szCs w:val="26"/>
        </w:rPr>
        <w:t>yGT</w:t>
      </w:r>
      <w:proofErr w:type="spellEnd"/>
      <w:r w:rsidRPr="00F377C9">
        <w:rPr>
          <w:spacing w:val="6"/>
          <w:sz w:val="26"/>
          <w:szCs w:val="26"/>
        </w:rPr>
        <w:t>) y el sistema contable SAPGE21</w:t>
      </w:r>
      <w:r w:rsidRPr="00F377C9">
        <w:rPr>
          <w:spacing w:val="6"/>
          <w:sz w:val="26"/>
          <w:szCs w:val="24"/>
        </w:rPr>
        <w:t xml:space="preserve"> y a otros errores de menor relevancia de clasificación de cuentas o epígrafes, motiva que la estructura del estado de liquidación del presupuesto de ingresos, del resultado presupuestario, del remanente de tesorería y del balance, no se adecúen a los modelos establecidos en la normativa contable citada</w:t>
      </w:r>
      <w:r>
        <w:rPr>
          <w:spacing w:val="6"/>
          <w:sz w:val="26"/>
          <w:szCs w:val="24"/>
        </w:rPr>
        <w:t xml:space="preserve">, ni </w:t>
      </w:r>
      <w:r w:rsidR="00041EA3">
        <w:rPr>
          <w:spacing w:val="6"/>
          <w:sz w:val="26"/>
          <w:szCs w:val="24"/>
        </w:rPr>
        <w:t>se presenten</w:t>
      </w:r>
      <w:r>
        <w:rPr>
          <w:spacing w:val="6"/>
          <w:sz w:val="26"/>
          <w:szCs w:val="24"/>
        </w:rPr>
        <w:t xml:space="preserve"> todos los estados previstos</w:t>
      </w:r>
      <w:r w:rsidRPr="00F377C9">
        <w:rPr>
          <w:spacing w:val="6"/>
          <w:sz w:val="26"/>
          <w:szCs w:val="24"/>
        </w:rPr>
        <w:t xml:space="preserve">. </w:t>
      </w:r>
    </w:p>
    <w:p w:rsidR="0006619D" w:rsidRPr="00F377C9" w:rsidRDefault="0006619D" w:rsidP="0006619D">
      <w:pPr>
        <w:tabs>
          <w:tab w:val="center" w:pos="2835"/>
          <w:tab w:val="center" w:pos="3969"/>
          <w:tab w:val="center" w:pos="5103"/>
          <w:tab w:val="center" w:pos="6237"/>
          <w:tab w:val="center" w:pos="7371"/>
        </w:tabs>
        <w:ind w:firstLine="284"/>
        <w:rPr>
          <w:spacing w:val="6"/>
          <w:sz w:val="26"/>
          <w:szCs w:val="24"/>
        </w:rPr>
      </w:pPr>
      <w:r w:rsidRPr="00F377C9">
        <w:rPr>
          <w:spacing w:val="6"/>
          <w:sz w:val="26"/>
          <w:szCs w:val="24"/>
        </w:rPr>
        <w:t xml:space="preserve">b) No se registran en el balance, ni la memoria contiene información sobre las obligaciones actuariales generadas por el montepío del personal funcionario activo y pasivo de la </w:t>
      </w:r>
      <w:r>
        <w:rPr>
          <w:spacing w:val="6"/>
          <w:sz w:val="26"/>
          <w:szCs w:val="24"/>
        </w:rPr>
        <w:t>ACFN</w:t>
      </w:r>
      <w:r w:rsidRPr="00F377C9">
        <w:rPr>
          <w:spacing w:val="6"/>
          <w:sz w:val="26"/>
          <w:szCs w:val="24"/>
        </w:rPr>
        <w:t>. De acuerdo con los estudios y valoraciones real</w:t>
      </w:r>
      <w:r w:rsidRPr="00F377C9">
        <w:rPr>
          <w:spacing w:val="6"/>
          <w:sz w:val="26"/>
          <w:szCs w:val="24"/>
        </w:rPr>
        <w:t>i</w:t>
      </w:r>
      <w:r w:rsidRPr="00F377C9">
        <w:rPr>
          <w:spacing w:val="6"/>
          <w:sz w:val="26"/>
          <w:szCs w:val="24"/>
        </w:rPr>
        <w:t>zados</w:t>
      </w:r>
      <w:r>
        <w:rPr>
          <w:spacing w:val="6"/>
          <w:sz w:val="26"/>
          <w:szCs w:val="24"/>
        </w:rPr>
        <w:t xml:space="preserve"> por el Gobierno de Navarra</w:t>
      </w:r>
      <w:r w:rsidRPr="00F377C9">
        <w:rPr>
          <w:spacing w:val="6"/>
          <w:sz w:val="26"/>
          <w:szCs w:val="24"/>
        </w:rPr>
        <w:t>, el coste derivado de las prestaciones de d</w:t>
      </w:r>
      <w:r w:rsidRPr="00F377C9">
        <w:rPr>
          <w:spacing w:val="6"/>
          <w:sz w:val="26"/>
          <w:szCs w:val="24"/>
        </w:rPr>
        <w:t>i</w:t>
      </w:r>
      <w:r w:rsidRPr="00F377C9">
        <w:rPr>
          <w:spacing w:val="6"/>
          <w:sz w:val="26"/>
          <w:szCs w:val="24"/>
        </w:rPr>
        <w:t>cho montepío para el periodo 201</w:t>
      </w:r>
      <w:r>
        <w:rPr>
          <w:spacing w:val="6"/>
          <w:sz w:val="26"/>
          <w:szCs w:val="24"/>
        </w:rPr>
        <w:t>8</w:t>
      </w:r>
      <w:r w:rsidRPr="00F377C9">
        <w:rPr>
          <w:spacing w:val="6"/>
          <w:sz w:val="26"/>
          <w:szCs w:val="24"/>
        </w:rPr>
        <w:t>-2087</w:t>
      </w:r>
      <w:r w:rsidRPr="00F377C9">
        <w:rPr>
          <w:spacing w:val="6"/>
          <w:sz w:val="26"/>
          <w:szCs w:val="24"/>
        </w:rPr>
        <w:softHyphen/>
        <w:t xml:space="preserve"> se estima en torno a </w:t>
      </w:r>
      <w:r>
        <w:rPr>
          <w:spacing w:val="6"/>
          <w:sz w:val="26"/>
          <w:szCs w:val="24"/>
        </w:rPr>
        <w:t>1.980</w:t>
      </w:r>
      <w:r w:rsidRPr="00F377C9">
        <w:rPr>
          <w:spacing w:val="6"/>
          <w:sz w:val="26"/>
          <w:szCs w:val="24"/>
        </w:rPr>
        <w:t xml:space="preserve"> millones de euros constantes.</w:t>
      </w:r>
    </w:p>
    <w:p w:rsidR="0006619D" w:rsidRDefault="0006619D" w:rsidP="0006619D">
      <w:pPr>
        <w:tabs>
          <w:tab w:val="center" w:pos="2835"/>
          <w:tab w:val="center" w:pos="3969"/>
          <w:tab w:val="center" w:pos="5103"/>
          <w:tab w:val="center" w:pos="6237"/>
          <w:tab w:val="center" w:pos="7371"/>
        </w:tabs>
        <w:ind w:firstLine="284"/>
        <w:rPr>
          <w:spacing w:val="6"/>
          <w:sz w:val="26"/>
          <w:szCs w:val="24"/>
        </w:rPr>
      </w:pPr>
      <w:r w:rsidRPr="00F377C9">
        <w:rPr>
          <w:spacing w:val="6"/>
          <w:sz w:val="26"/>
          <w:szCs w:val="24"/>
        </w:rPr>
        <w:t>c) En el balance de situación no ha sido posible obtener evidencia de la r</w:t>
      </w:r>
      <w:r w:rsidRPr="00F377C9">
        <w:rPr>
          <w:spacing w:val="6"/>
          <w:sz w:val="26"/>
          <w:szCs w:val="24"/>
        </w:rPr>
        <w:t>a</w:t>
      </w:r>
      <w:r w:rsidRPr="00F377C9">
        <w:rPr>
          <w:spacing w:val="6"/>
          <w:sz w:val="26"/>
          <w:szCs w:val="24"/>
        </w:rPr>
        <w:t>zonabilidad del saldo contable de “Inmovilizaciones Materiales” que, a 31 de diciembre de 201</w:t>
      </w:r>
      <w:r>
        <w:rPr>
          <w:spacing w:val="6"/>
          <w:sz w:val="26"/>
          <w:szCs w:val="24"/>
        </w:rPr>
        <w:t>7</w:t>
      </w:r>
      <w:r w:rsidRPr="00F377C9">
        <w:rPr>
          <w:spacing w:val="6"/>
          <w:sz w:val="26"/>
          <w:szCs w:val="24"/>
        </w:rPr>
        <w:t xml:space="preserve">, asciende a </w:t>
      </w:r>
      <w:r>
        <w:rPr>
          <w:spacing w:val="6"/>
          <w:sz w:val="26"/>
          <w:szCs w:val="24"/>
        </w:rPr>
        <w:t>2.269,84</w:t>
      </w:r>
      <w:r w:rsidRPr="00F377C9">
        <w:rPr>
          <w:spacing w:val="6"/>
          <w:sz w:val="26"/>
          <w:szCs w:val="24"/>
        </w:rPr>
        <w:t xml:space="preserve"> millones, dado que el mismo no está respaldado por un inventario general de bienes adecuadamente valorado de acuerdo con los principios y criterios contables aplicables.</w:t>
      </w:r>
    </w:p>
    <w:p w:rsidR="0006619D" w:rsidRPr="00F377C9" w:rsidRDefault="0006619D" w:rsidP="0006619D">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lastRenderedPageBreak/>
        <w:t>Opinión de auditoría financiera</w:t>
      </w:r>
      <w:r>
        <w:rPr>
          <w:rFonts w:ascii="Arial" w:hAnsi="Arial"/>
          <w:i/>
          <w:iCs/>
          <w:color w:val="000000"/>
          <w:spacing w:val="10"/>
          <w:kern w:val="28"/>
          <w:sz w:val="25"/>
          <w:szCs w:val="26"/>
        </w:rPr>
        <w:t xml:space="preserve"> con salvedades</w:t>
      </w:r>
    </w:p>
    <w:p w:rsidR="0006619D" w:rsidRPr="00F377C9" w:rsidRDefault="0006619D" w:rsidP="0006619D">
      <w:pPr>
        <w:pStyle w:val="texto"/>
      </w:pPr>
      <w:r w:rsidRPr="00F377C9">
        <w:t>En nuestra opinión</w:t>
      </w:r>
      <w:r w:rsidRPr="00F377C9">
        <w:rPr>
          <w:i/>
        </w:rPr>
        <w:t>,</w:t>
      </w:r>
      <w:r w:rsidRPr="00F377C9">
        <w:t xml:space="preserve"> excepto por los efectos de los hechos descritos en los p</w:t>
      </w:r>
      <w:r w:rsidRPr="00F377C9">
        <w:t>á</w:t>
      </w:r>
      <w:r w:rsidRPr="00F377C9">
        <w:t>rrafos a) y b) del apartado de “Fundamento de la opinión financiera con salv</w:t>
      </w:r>
      <w:r w:rsidRPr="00F377C9">
        <w:t>e</w:t>
      </w:r>
      <w:r w:rsidRPr="00F377C9">
        <w:t xml:space="preserve">dades”, y excepto por los posibles efectos de la limitación al alcance descrita en el párrafo </w:t>
      </w:r>
      <w:r>
        <w:t>c</w:t>
      </w:r>
      <w:r w:rsidRPr="00F377C9">
        <w:t>),</w:t>
      </w:r>
      <w:r w:rsidRPr="00F377C9">
        <w:rPr>
          <w:i/>
          <w:color w:val="FF0000"/>
        </w:rPr>
        <w:t xml:space="preserve"> </w:t>
      </w:r>
      <w:r w:rsidRPr="00F377C9">
        <w:t xml:space="preserve">las </w:t>
      </w:r>
      <w:r>
        <w:t>c</w:t>
      </w:r>
      <w:r w:rsidRPr="00F377C9">
        <w:t xml:space="preserve">uentas </w:t>
      </w:r>
      <w:r>
        <w:t>anu</w:t>
      </w:r>
      <w:r w:rsidRPr="00F377C9">
        <w:t>ales adjuntas expresan, en todos los aspectos significativos,</w:t>
      </w:r>
      <w:r>
        <w:t xml:space="preserve"> la imagen fiel del patrimonio </w:t>
      </w:r>
      <w:r w:rsidRPr="00257C11">
        <w:t>y de la situación</w:t>
      </w:r>
      <w:r w:rsidRPr="00F377C9">
        <w:t xml:space="preserve"> financiera de la </w:t>
      </w:r>
      <w:r>
        <w:t>ACFN</w:t>
      </w:r>
      <w:r w:rsidRPr="00F377C9">
        <w:t xml:space="preserve"> y sus </w:t>
      </w:r>
      <w:r>
        <w:t>OOAA</w:t>
      </w:r>
      <w:r w:rsidRPr="00F377C9">
        <w:t xml:space="preserve"> a 31 de dici</w:t>
      </w:r>
      <w:r>
        <w:t>embre de 2017, así como de</w:t>
      </w:r>
      <w:r w:rsidRPr="00F377C9">
        <w:t xml:space="preserve"> sus resultados económicos y presupuestarios correspondientes al ejercicio anual terminado en dicha fecha, de conformidad con el marco normativo de información financiera pública aplicable y, en particular, con los principios y criterios contables</w:t>
      </w:r>
      <w:r>
        <w:t xml:space="preserve"> y pr</w:t>
      </w:r>
      <w:r>
        <w:t>e</w:t>
      </w:r>
      <w:r>
        <w:t>supuestarios</w:t>
      </w:r>
      <w:r w:rsidRPr="00F377C9">
        <w:t xml:space="preserve"> contenidos en el mismo.</w:t>
      </w:r>
    </w:p>
    <w:p w:rsidR="0006619D" w:rsidRPr="00F377C9" w:rsidRDefault="0006619D" w:rsidP="0006619D">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Párrafo de énfasis</w:t>
      </w:r>
    </w:p>
    <w:p w:rsidR="0006619D" w:rsidRPr="00F377C9" w:rsidRDefault="0006619D" w:rsidP="0006619D">
      <w:pPr>
        <w:pStyle w:val="texto"/>
      </w:pPr>
      <w:r w:rsidRPr="00F377C9">
        <w:t>Llamamos la atención sobre los siguientes aspectos contenido</w:t>
      </w:r>
      <w:r>
        <w:t xml:space="preserve">s en las cuentas anuales </w:t>
      </w:r>
      <w:r w:rsidRPr="00F377C9">
        <w:t>que no afectan a la opinión emitida:</w:t>
      </w:r>
    </w:p>
    <w:p w:rsidR="0006619D" w:rsidRPr="0006619D" w:rsidRDefault="0006619D" w:rsidP="00041EA3">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4"/>
        <w:rPr>
          <w:rFonts w:cs="Arial"/>
        </w:rPr>
      </w:pPr>
      <w:r w:rsidRPr="0006619D">
        <w:rPr>
          <w:rFonts w:cs="Arial"/>
        </w:rPr>
        <w:t xml:space="preserve">Según se indica en la memoria de las Cuentas Generales, </w:t>
      </w:r>
      <w:r w:rsidR="00041EA3">
        <w:rPr>
          <w:rFonts w:cs="Arial"/>
        </w:rPr>
        <w:t xml:space="preserve">en </w:t>
      </w:r>
      <w:r w:rsidRPr="0006619D">
        <w:rPr>
          <w:rFonts w:cs="Arial"/>
        </w:rPr>
        <w:t>el ejercicio 2017 se han imputado al presupuesto aquellos gastos que cumplen el criterio, recogido en el marco conceptual del Plan General de Contabilidad Pública, que vincula la imputación presupuestaria de un gasto a la existencia de un acto a</w:t>
      </w:r>
      <w:r w:rsidRPr="0006619D">
        <w:rPr>
          <w:rFonts w:cs="Arial"/>
        </w:rPr>
        <w:t>d</w:t>
      </w:r>
      <w:r w:rsidRPr="0006619D">
        <w:rPr>
          <w:rFonts w:cs="Arial"/>
        </w:rPr>
        <w:t>mi</w:t>
      </w:r>
      <w:r w:rsidR="00041EA3">
        <w:rPr>
          <w:rFonts w:cs="Arial"/>
        </w:rPr>
        <w:t xml:space="preserve">nistrativo </w:t>
      </w:r>
      <w:r w:rsidRPr="0006619D">
        <w:rPr>
          <w:rFonts w:cs="Arial"/>
        </w:rPr>
        <w:t>de reconocimiento de la obligación</w:t>
      </w:r>
      <w:r w:rsidR="00041EA3">
        <w:rPr>
          <w:rFonts w:cs="Arial"/>
        </w:rPr>
        <w:t xml:space="preserve"> antes del 31 de diciembre</w:t>
      </w:r>
      <w:r w:rsidRPr="0006619D">
        <w:rPr>
          <w:rFonts w:cs="Arial"/>
        </w:rPr>
        <w:t>.</w:t>
      </w:r>
    </w:p>
    <w:p w:rsidR="0006619D" w:rsidRDefault="0006619D" w:rsidP="0006619D">
      <w:pPr>
        <w:pStyle w:val="texto"/>
        <w:rPr>
          <w:lang w:val="es-ES"/>
        </w:rPr>
      </w:pPr>
      <w:r w:rsidRPr="00C904B8">
        <w:rPr>
          <w:lang w:val="es-ES"/>
        </w:rPr>
        <w:t>Por otra parte, desaparece la posibilidad de imputar al presupuesto gastos pendientes de comprobación del derecho del acreedor (las denomina</w:t>
      </w:r>
      <w:r>
        <w:rPr>
          <w:lang w:val="es-ES"/>
        </w:rPr>
        <w:t>das “resu</w:t>
      </w:r>
      <w:r>
        <w:rPr>
          <w:lang w:val="es-ES"/>
        </w:rPr>
        <w:t>l</w:t>
      </w:r>
      <w:r w:rsidRPr="00C904B8">
        <w:rPr>
          <w:lang w:val="es-ES"/>
        </w:rPr>
        <w:t>tas”), lo que ha afectado principalmente a la ejecución presupuestaria de dete</w:t>
      </w:r>
      <w:r w:rsidRPr="00C904B8">
        <w:rPr>
          <w:lang w:val="es-ES"/>
        </w:rPr>
        <w:t>r</w:t>
      </w:r>
      <w:r w:rsidRPr="00C904B8">
        <w:rPr>
          <w:lang w:val="es-ES"/>
        </w:rPr>
        <w:t>minadas partidas presupuestarias de subvenciones corrientes y de capital, con la correlativa reducción en el</w:t>
      </w:r>
      <w:r>
        <w:rPr>
          <w:lang w:val="es-ES"/>
        </w:rPr>
        <w:t xml:space="preserve"> saldo de la cuenta 402 (resul</w:t>
      </w:r>
      <w:r w:rsidRPr="00C904B8">
        <w:rPr>
          <w:lang w:val="es-ES"/>
        </w:rPr>
        <w:t>tas de gastos de eje</w:t>
      </w:r>
      <w:r w:rsidRPr="00C904B8">
        <w:rPr>
          <w:lang w:val="es-ES"/>
        </w:rPr>
        <w:t>r</w:t>
      </w:r>
      <w:r w:rsidRPr="00C904B8">
        <w:rPr>
          <w:lang w:val="es-ES"/>
        </w:rPr>
        <w:t>cicio corriente</w:t>
      </w:r>
      <w:r>
        <w:rPr>
          <w:lang w:val="es-ES"/>
        </w:rPr>
        <w:t>)</w:t>
      </w:r>
      <w:r w:rsidRPr="00C904B8">
        <w:rPr>
          <w:lang w:val="es-ES"/>
        </w:rPr>
        <w:t xml:space="preserve">. </w:t>
      </w:r>
    </w:p>
    <w:p w:rsidR="00041EA3" w:rsidRDefault="00041EA3" w:rsidP="00041EA3">
      <w:pPr>
        <w:pStyle w:val="texto"/>
        <w:rPr>
          <w:lang w:val="es-ES"/>
        </w:rPr>
      </w:pPr>
      <w:r>
        <w:rPr>
          <w:lang w:val="es-ES"/>
        </w:rPr>
        <w:t xml:space="preserve">Este cambio de criterio frente a años anteriores se recogió en </w:t>
      </w:r>
      <w:r w:rsidRPr="00C904B8">
        <w:rPr>
          <w:lang w:val="es-ES"/>
        </w:rPr>
        <w:t>la Orden Foral 84/2017, de 22 de junio, del Consejero de Hacienda y Política Financiera por la que se establecen las normas reguladoras de cierre y liquidación de los Pres</w:t>
      </w:r>
      <w:r w:rsidRPr="00C904B8">
        <w:rPr>
          <w:lang w:val="es-ES"/>
        </w:rPr>
        <w:t>u</w:t>
      </w:r>
      <w:r w:rsidRPr="00C904B8">
        <w:rPr>
          <w:lang w:val="es-ES"/>
        </w:rPr>
        <w:t>puestos Generales de Navarra y de las cuen</w:t>
      </w:r>
      <w:r>
        <w:rPr>
          <w:lang w:val="es-ES"/>
        </w:rPr>
        <w:t xml:space="preserve">tas </w:t>
      </w:r>
      <w:r w:rsidRPr="00C904B8">
        <w:rPr>
          <w:lang w:val="es-ES"/>
        </w:rPr>
        <w:t xml:space="preserve">del ejercicio 2017 y la apertura del ejercicio 2018. </w:t>
      </w:r>
    </w:p>
    <w:p w:rsidR="0006619D" w:rsidRDefault="0006619D" w:rsidP="0006619D">
      <w:pPr>
        <w:pStyle w:val="texto"/>
        <w:rPr>
          <w:lang w:val="es-ES"/>
        </w:rPr>
      </w:pPr>
      <w:r>
        <w:rPr>
          <w:lang w:val="es-ES"/>
        </w:rPr>
        <w:t>Hemos verificado que la aplicación de este nuevo criterio</w:t>
      </w:r>
      <w:r w:rsidR="008D6E25">
        <w:rPr>
          <w:lang w:val="es-ES"/>
        </w:rPr>
        <w:t>, en 2017,</w:t>
      </w:r>
      <w:r>
        <w:rPr>
          <w:lang w:val="es-ES"/>
        </w:rPr>
        <w:t xml:space="preserve"> ha s</w:t>
      </w:r>
      <w:r>
        <w:rPr>
          <w:lang w:val="es-ES"/>
        </w:rPr>
        <w:t>u</w:t>
      </w:r>
      <w:r>
        <w:rPr>
          <w:lang w:val="es-ES"/>
        </w:rPr>
        <w:t xml:space="preserve">puesto al menos un gasto devengado de 10,13 millones </w:t>
      </w:r>
      <w:r w:rsidR="00041EA3">
        <w:rPr>
          <w:lang w:val="es-ES"/>
        </w:rPr>
        <w:t>no</w:t>
      </w:r>
      <w:r>
        <w:rPr>
          <w:lang w:val="es-ES"/>
        </w:rPr>
        <w:t xml:space="preserve"> contabilizado en la cuenta 413 “acreedores pendientes de aplicar a presupuesto”.</w:t>
      </w:r>
    </w:p>
    <w:p w:rsidR="0006619D" w:rsidRDefault="0006619D" w:rsidP="0006619D">
      <w:pPr>
        <w:pStyle w:val="texto"/>
        <w:numPr>
          <w:ilvl w:val="0"/>
          <w:numId w:val="2"/>
        </w:numPr>
        <w:tabs>
          <w:tab w:val="clear" w:pos="1948"/>
          <w:tab w:val="clear" w:pos="2835"/>
          <w:tab w:val="clear" w:pos="3969"/>
          <w:tab w:val="clear" w:pos="5103"/>
          <w:tab w:val="clear" w:pos="6237"/>
          <w:tab w:val="clear" w:pos="7371"/>
          <w:tab w:val="left" w:pos="480"/>
        </w:tabs>
        <w:ind w:left="0" w:firstLine="284"/>
        <w:rPr>
          <w:rFonts w:cs="Arial"/>
        </w:rPr>
      </w:pPr>
      <w:r w:rsidRPr="004F0B2B">
        <w:rPr>
          <w:rFonts w:cs="Arial"/>
        </w:rPr>
        <w:t>A finales de diciembre de 2017, Navarra y el Estado finalmente llegaron a un acuerdo sobre la actualización de la aportación</w:t>
      </w:r>
      <w:r>
        <w:rPr>
          <w:rFonts w:cs="Arial"/>
        </w:rPr>
        <w:t xml:space="preserve"> del Convenio Económico</w:t>
      </w:r>
      <w:r w:rsidRPr="004F0B2B">
        <w:rPr>
          <w:rFonts w:cs="Arial"/>
        </w:rPr>
        <w:t xml:space="preserve"> p</w:t>
      </w:r>
      <w:r w:rsidRPr="004F0B2B">
        <w:rPr>
          <w:rFonts w:cs="Arial"/>
        </w:rPr>
        <w:t>a</w:t>
      </w:r>
      <w:r w:rsidRPr="004F0B2B">
        <w:rPr>
          <w:rFonts w:cs="Arial"/>
        </w:rPr>
        <w:t xml:space="preserve">ra el periodo 2015-2019; en concreto, se estableció una aportación para 2015 de 510 millones de euros, cantidad que </w:t>
      </w:r>
      <w:r>
        <w:rPr>
          <w:rFonts w:cs="Arial"/>
        </w:rPr>
        <w:t>se debe actualizar</w:t>
      </w:r>
      <w:r w:rsidRPr="004F0B2B">
        <w:rPr>
          <w:rFonts w:cs="Arial"/>
        </w:rPr>
        <w:t xml:space="preserve"> en los años siguientes en función de la </w:t>
      </w:r>
      <w:r>
        <w:rPr>
          <w:rFonts w:cs="Arial"/>
        </w:rPr>
        <w:t xml:space="preserve">variación de la </w:t>
      </w:r>
      <w:r w:rsidRPr="004F0B2B">
        <w:rPr>
          <w:rFonts w:cs="Arial"/>
        </w:rPr>
        <w:t>recaudación</w:t>
      </w:r>
      <w:r>
        <w:rPr>
          <w:rFonts w:cs="Arial"/>
        </w:rPr>
        <w:t xml:space="preserve"> líquida obtenida por</w:t>
      </w:r>
      <w:r w:rsidRPr="004F0B2B">
        <w:rPr>
          <w:rFonts w:cs="Arial"/>
        </w:rPr>
        <w:t xml:space="preserve"> el Estado </w:t>
      </w:r>
      <w:r>
        <w:rPr>
          <w:rFonts w:cs="Arial"/>
        </w:rPr>
        <w:t>por</w:t>
      </w:r>
      <w:r w:rsidRPr="004F0B2B">
        <w:rPr>
          <w:rFonts w:cs="Arial"/>
        </w:rPr>
        <w:t xml:space="preserve"> los impuestos convenidos. </w:t>
      </w:r>
    </w:p>
    <w:p w:rsidR="0006619D" w:rsidRPr="0006619D" w:rsidRDefault="0006619D" w:rsidP="0006619D">
      <w:pPr>
        <w:pStyle w:val="texto"/>
        <w:rPr>
          <w:lang w:val="es-ES"/>
        </w:rPr>
      </w:pPr>
      <w:r w:rsidRPr="0006619D">
        <w:rPr>
          <w:lang w:val="es-ES"/>
        </w:rPr>
        <w:lastRenderedPageBreak/>
        <w:tab/>
        <w:t>Considerando estas premisas, la aportación para 2016 quedó establecida en 498 millones, la provisional de 2017 en 509 millones, y la regularización de los años 2015 y 2016, teniendo en cuenta la aportación provisional ya realizada por Navarra, arrojó un saldo a favor de la Comunidad Foral de 129 millones de e</w:t>
      </w:r>
      <w:r w:rsidRPr="0006619D">
        <w:rPr>
          <w:lang w:val="es-ES"/>
        </w:rPr>
        <w:t>u</w:t>
      </w:r>
      <w:r w:rsidRPr="0006619D">
        <w:rPr>
          <w:lang w:val="es-ES"/>
        </w:rPr>
        <w:t xml:space="preserve">ros. Si añadimos la regularización de los ajustes fiscales de 2016, según el acuerdo de diciembre de 2017, el importe final favorable para Navarra ascendió a 203 millones. </w:t>
      </w:r>
    </w:p>
    <w:p w:rsidR="0006619D" w:rsidRPr="0006619D" w:rsidRDefault="0006619D" w:rsidP="0006619D">
      <w:pPr>
        <w:pStyle w:val="texto"/>
        <w:rPr>
          <w:lang w:val="es-ES"/>
        </w:rPr>
      </w:pPr>
      <w:r w:rsidRPr="0006619D">
        <w:rPr>
          <w:lang w:val="es-ES"/>
        </w:rPr>
        <w:tab/>
        <w:t>Este hecho ha motivado una mejora significativa en algunos de los indicad</w:t>
      </w:r>
      <w:r w:rsidRPr="0006619D">
        <w:rPr>
          <w:lang w:val="es-ES"/>
        </w:rPr>
        <w:t>o</w:t>
      </w:r>
      <w:r w:rsidRPr="0006619D">
        <w:rPr>
          <w:lang w:val="es-ES"/>
        </w:rPr>
        <w:t>res más relevantes de la situación económico-financiera de la ACFN.</w:t>
      </w:r>
    </w:p>
    <w:p w:rsidR="0006619D" w:rsidRPr="00F377C9" w:rsidRDefault="0006619D" w:rsidP="0006619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F377C9">
        <w:rPr>
          <w:rFonts w:cs="Arial"/>
        </w:rPr>
        <w:t xml:space="preserve">El remanente de tesorería para gastos generales </w:t>
      </w:r>
      <w:r>
        <w:rPr>
          <w:rFonts w:cs="Arial"/>
        </w:rPr>
        <w:t>es positivo y alcanza los 359,21 millones</w:t>
      </w:r>
      <w:r w:rsidR="005D255D">
        <w:rPr>
          <w:rFonts w:cs="Arial"/>
        </w:rPr>
        <w:t>,</w:t>
      </w:r>
      <w:r>
        <w:rPr>
          <w:rFonts w:cs="Arial"/>
        </w:rPr>
        <w:t xml:space="preserve"> experimentando una clara mejoría respecto a 2016</w:t>
      </w:r>
      <w:r w:rsidRPr="00F377C9">
        <w:rPr>
          <w:rFonts w:cs="Arial"/>
        </w:rPr>
        <w:t xml:space="preserve"> </w:t>
      </w:r>
      <w:r>
        <w:rPr>
          <w:rFonts w:cs="Arial"/>
        </w:rPr>
        <w:t>ejercicio en el cual su valor fue de 183,62 millones en negativo</w:t>
      </w:r>
      <w:r w:rsidRPr="00F377C9">
        <w:rPr>
          <w:rFonts w:cs="Arial"/>
        </w:rPr>
        <w:t xml:space="preserve">; destaca asimismo que los fondos líquidos han aumentado un </w:t>
      </w:r>
      <w:r>
        <w:rPr>
          <w:rFonts w:cs="Arial"/>
        </w:rPr>
        <w:t>348</w:t>
      </w:r>
      <w:r w:rsidRPr="00F377C9">
        <w:rPr>
          <w:rFonts w:cs="Arial"/>
        </w:rPr>
        <w:t xml:space="preserve"> por ciento, pa</w:t>
      </w:r>
      <w:r>
        <w:rPr>
          <w:rFonts w:cs="Arial"/>
        </w:rPr>
        <w:t>sando de 140,92 millones en 2016 a 631,14 millones en 2017.</w:t>
      </w:r>
    </w:p>
    <w:p w:rsidR="0006619D" w:rsidRPr="00F377C9" w:rsidRDefault="0006619D" w:rsidP="0006619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F377C9">
        <w:rPr>
          <w:rFonts w:cs="Arial"/>
        </w:rPr>
        <w:t xml:space="preserve">La deuda financiera </w:t>
      </w:r>
      <w:r>
        <w:rPr>
          <w:rFonts w:cs="Arial"/>
        </w:rPr>
        <w:t>de la Comunidad Foral</w:t>
      </w:r>
      <w:r w:rsidRPr="00F377C9">
        <w:rPr>
          <w:rFonts w:cs="Arial"/>
        </w:rPr>
        <w:t xml:space="preserve"> a 31 de diciembre de 201</w:t>
      </w:r>
      <w:r>
        <w:rPr>
          <w:rFonts w:cs="Arial"/>
        </w:rPr>
        <w:t>7</w:t>
      </w:r>
      <w:r w:rsidRPr="00F377C9">
        <w:rPr>
          <w:rFonts w:cs="Arial"/>
        </w:rPr>
        <w:t xml:space="preserve"> a</w:t>
      </w:r>
      <w:r w:rsidRPr="00F377C9">
        <w:rPr>
          <w:rFonts w:cs="Arial"/>
        </w:rPr>
        <w:t>s</w:t>
      </w:r>
      <w:r w:rsidRPr="00F377C9">
        <w:rPr>
          <w:rFonts w:cs="Arial"/>
        </w:rPr>
        <w:t xml:space="preserve">ciende a </w:t>
      </w:r>
      <w:r>
        <w:rPr>
          <w:rFonts w:cs="Arial"/>
        </w:rPr>
        <w:t>3.258,10</w:t>
      </w:r>
      <w:r w:rsidRPr="00F377C9">
        <w:rPr>
          <w:rFonts w:cs="Arial"/>
        </w:rPr>
        <w:t xml:space="preserve"> millones, clasificada en 2.</w:t>
      </w:r>
      <w:r>
        <w:rPr>
          <w:rFonts w:cs="Arial"/>
        </w:rPr>
        <w:t>968,26</w:t>
      </w:r>
      <w:r w:rsidRPr="00F377C9">
        <w:rPr>
          <w:rFonts w:cs="Arial"/>
        </w:rPr>
        <w:t xml:space="preserve"> millones a largo plazo y </w:t>
      </w:r>
      <w:r>
        <w:rPr>
          <w:rFonts w:cs="Arial"/>
        </w:rPr>
        <w:t>289,84</w:t>
      </w:r>
      <w:r w:rsidRPr="00F377C9">
        <w:rPr>
          <w:rFonts w:cs="Arial"/>
        </w:rPr>
        <w:t xml:space="preserve"> millones a corto plazo. Este importe supone un incremento del </w:t>
      </w:r>
      <w:r>
        <w:rPr>
          <w:rFonts w:cs="Arial"/>
        </w:rPr>
        <w:t>siete</w:t>
      </w:r>
      <w:r w:rsidRPr="00F377C9">
        <w:rPr>
          <w:rFonts w:cs="Arial"/>
        </w:rPr>
        <w:t xml:space="preserve"> por ciento respecto a 201</w:t>
      </w:r>
      <w:r>
        <w:rPr>
          <w:rFonts w:cs="Arial"/>
        </w:rPr>
        <w:t>6</w:t>
      </w:r>
      <w:r w:rsidRPr="00F377C9">
        <w:rPr>
          <w:rFonts w:cs="Arial"/>
        </w:rPr>
        <w:t xml:space="preserve"> (</w:t>
      </w:r>
      <w:r>
        <w:rPr>
          <w:rFonts w:cs="Arial"/>
        </w:rPr>
        <w:t>200,54</w:t>
      </w:r>
      <w:r w:rsidRPr="00F377C9">
        <w:rPr>
          <w:rFonts w:cs="Arial"/>
        </w:rPr>
        <w:t xml:space="preserve"> millones) y representa el </w:t>
      </w:r>
      <w:r>
        <w:rPr>
          <w:rFonts w:cs="Arial"/>
        </w:rPr>
        <w:t>82</w:t>
      </w:r>
      <w:r w:rsidRPr="00F377C9">
        <w:rPr>
          <w:rFonts w:cs="Arial"/>
        </w:rPr>
        <w:t xml:space="preserve"> por ciento de los ingresos corrientes del ejercicio. </w:t>
      </w:r>
    </w:p>
    <w:p w:rsidR="0006619D" w:rsidRPr="00844C81" w:rsidRDefault="0006619D" w:rsidP="0006619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F377C9">
        <w:rPr>
          <w:rFonts w:cs="Arial"/>
        </w:rPr>
        <w:t>La recaudación líquida tributaria en 201</w:t>
      </w:r>
      <w:r>
        <w:rPr>
          <w:rFonts w:cs="Arial"/>
        </w:rPr>
        <w:t>7</w:t>
      </w:r>
      <w:r w:rsidRPr="00F377C9">
        <w:rPr>
          <w:rFonts w:cs="Arial"/>
        </w:rPr>
        <w:t xml:space="preserve"> ascendió a 3</w:t>
      </w:r>
      <w:r>
        <w:rPr>
          <w:rFonts w:cs="Arial"/>
        </w:rPr>
        <w:t>.682,67</w:t>
      </w:r>
      <w:r w:rsidRPr="00F377C9">
        <w:rPr>
          <w:rFonts w:cs="Arial"/>
        </w:rPr>
        <w:t xml:space="preserve"> millones, superando la de 201</w:t>
      </w:r>
      <w:r>
        <w:rPr>
          <w:rFonts w:cs="Arial"/>
        </w:rPr>
        <w:t>6</w:t>
      </w:r>
      <w:r w:rsidRPr="00F377C9">
        <w:rPr>
          <w:rFonts w:cs="Arial"/>
        </w:rPr>
        <w:t xml:space="preserve"> en un </w:t>
      </w:r>
      <w:r>
        <w:rPr>
          <w:rFonts w:cs="Arial"/>
        </w:rPr>
        <w:t>13 por ciento; este importe representa</w:t>
      </w:r>
      <w:r w:rsidRPr="00F377C9">
        <w:rPr>
          <w:rFonts w:cs="Arial"/>
        </w:rPr>
        <w:t xml:space="preserve"> el </w:t>
      </w:r>
      <w:r>
        <w:rPr>
          <w:rFonts w:cs="Arial"/>
        </w:rPr>
        <w:t>19</w:t>
      </w:r>
      <w:r w:rsidRPr="00F377C9">
        <w:rPr>
          <w:rFonts w:cs="Arial"/>
        </w:rPr>
        <w:t xml:space="preserve"> por ciento </w:t>
      </w:r>
      <w:r>
        <w:rPr>
          <w:rFonts w:cs="Arial"/>
        </w:rPr>
        <w:t>del</w:t>
      </w:r>
      <w:r w:rsidRPr="00F377C9">
        <w:rPr>
          <w:rFonts w:cs="Arial"/>
        </w:rPr>
        <w:t xml:space="preserve"> </w:t>
      </w:r>
      <w:r w:rsidRPr="00844C81">
        <w:rPr>
          <w:rFonts w:cs="Arial"/>
        </w:rPr>
        <w:t>PI</w:t>
      </w:r>
      <w:r w:rsidR="00041EA3" w:rsidRPr="00844C81">
        <w:rPr>
          <w:rFonts w:cs="Arial"/>
        </w:rPr>
        <w:t>B</w:t>
      </w:r>
      <w:r w:rsidR="005475A2" w:rsidRPr="00844C81">
        <w:rPr>
          <w:rStyle w:val="Refdenotaalpie"/>
          <w:rFonts w:cs="Arial"/>
        </w:rPr>
        <w:footnoteReference w:id="1"/>
      </w:r>
      <w:r w:rsidRPr="00844C81">
        <w:rPr>
          <w:rFonts w:cs="Arial"/>
        </w:rPr>
        <w:t xml:space="preserve"> de Navarra. </w:t>
      </w:r>
    </w:p>
    <w:p w:rsidR="0006619D" w:rsidRPr="00844C81" w:rsidRDefault="0006619D" w:rsidP="0006619D">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844C81">
        <w:rPr>
          <w:rFonts w:cs="Arial"/>
        </w:rPr>
        <w:t>El Sector Administración Pública de la Comunidad Foral en 2017, a efe</w:t>
      </w:r>
      <w:r w:rsidRPr="00844C81">
        <w:rPr>
          <w:rFonts w:cs="Arial"/>
        </w:rPr>
        <w:t>c</w:t>
      </w:r>
      <w:r w:rsidRPr="00844C81">
        <w:rPr>
          <w:rFonts w:cs="Arial"/>
        </w:rPr>
        <w:t>tos de la normativa de estabilidad presupuestaria y en términos de contabilidad nacional, cumplió con las exigencias a excepción de la relacionada con la regla del gasto, a diferencia del ejercicio anterior, en el que cumplió con todas ellas.</w:t>
      </w:r>
    </w:p>
    <w:p w:rsidR="0006619D" w:rsidRPr="00F377C9" w:rsidRDefault="0006619D" w:rsidP="0006619D">
      <w:pPr>
        <w:pStyle w:val="texto"/>
        <w:spacing w:after="240"/>
      </w:pPr>
      <w:r w:rsidRPr="00F377C9">
        <w:rPr>
          <w:b/>
        </w:rPr>
        <w:t>En definitiva</w:t>
      </w:r>
      <w:r w:rsidRPr="00F377C9">
        <w:t xml:space="preserve">, la situación financiera de la </w:t>
      </w:r>
      <w:r>
        <w:t>ACFN presenta una clara mejoría en la mayoría de sus indicadores económico-financieros, motivada en parte por la actualización de la aportación del Convenio con el Estado y por los efectos de la reforma fiscal, si bien</w:t>
      </w:r>
      <w:r w:rsidRPr="00F377C9">
        <w:t xml:space="preserve"> se sigue caracterizando por la necesidad de acudir a la financiación externa para hacer frente a los vencimientos de anteriores pas</w:t>
      </w:r>
      <w:r w:rsidRPr="00F377C9">
        <w:t>i</w:t>
      </w:r>
      <w:r w:rsidRPr="00F377C9">
        <w:t xml:space="preserve">vos financieros; este mayor endeudamiento </w:t>
      </w:r>
      <w:r>
        <w:t>implica una dependencia signific</w:t>
      </w:r>
      <w:r>
        <w:t>a</w:t>
      </w:r>
      <w:r>
        <w:t xml:space="preserve">tiva </w:t>
      </w:r>
      <w:r w:rsidR="00041EA3">
        <w:t xml:space="preserve">tanto del calendario de amortización de la deuda como </w:t>
      </w:r>
      <w:r>
        <w:t>de la evolución de los tipos de interés de los mercados financieros</w:t>
      </w:r>
      <w:r w:rsidR="00041EA3">
        <w:t>, lo que supone un riesgo fina</w:t>
      </w:r>
      <w:r w:rsidR="00041EA3">
        <w:t>n</w:t>
      </w:r>
      <w:r w:rsidR="00041EA3">
        <w:t>ciero</w:t>
      </w:r>
      <w:r w:rsidRPr="00F377C9">
        <w:t>.</w:t>
      </w:r>
    </w:p>
    <w:p w:rsidR="0006619D" w:rsidRPr="00F377C9" w:rsidRDefault="0006619D" w:rsidP="0006619D">
      <w:pPr>
        <w:pStyle w:val="atitulo2"/>
      </w:pPr>
      <w:bookmarkStart w:id="24" w:name="_Toc463350239"/>
      <w:bookmarkStart w:id="25" w:name="_Toc494270373"/>
      <w:bookmarkStart w:id="26" w:name="_Toc525907430"/>
      <w:bookmarkStart w:id="27" w:name="_Toc530034658"/>
      <w:r>
        <w:lastRenderedPageBreak/>
        <w:t>I</w:t>
      </w:r>
      <w:r w:rsidRPr="00F377C9">
        <w:t>II.2. Opinión de fiscalización de cumplimiento de legalidad</w:t>
      </w:r>
      <w:bookmarkEnd w:id="19"/>
      <w:bookmarkEnd w:id="20"/>
      <w:bookmarkEnd w:id="21"/>
      <w:bookmarkEnd w:id="22"/>
      <w:bookmarkEnd w:id="23"/>
      <w:bookmarkEnd w:id="24"/>
      <w:bookmarkEnd w:id="25"/>
      <w:bookmarkEnd w:id="26"/>
      <w:bookmarkEnd w:id="27"/>
    </w:p>
    <w:p w:rsidR="0006619D" w:rsidRDefault="0006619D" w:rsidP="0006619D">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 xml:space="preserve">Fundamento de la opinión </w:t>
      </w:r>
      <w:r>
        <w:rPr>
          <w:rFonts w:ascii="Arial" w:hAnsi="Arial"/>
          <w:i/>
          <w:iCs/>
          <w:color w:val="000000"/>
          <w:spacing w:val="10"/>
          <w:kern w:val="28"/>
          <w:sz w:val="25"/>
          <w:szCs w:val="26"/>
        </w:rPr>
        <w:t>de legalidad</w:t>
      </w:r>
      <w:r w:rsidRPr="00F377C9">
        <w:rPr>
          <w:rFonts w:ascii="Arial" w:hAnsi="Arial"/>
          <w:i/>
          <w:iCs/>
          <w:color w:val="000000"/>
          <w:spacing w:val="10"/>
          <w:kern w:val="28"/>
          <w:sz w:val="25"/>
          <w:szCs w:val="26"/>
        </w:rPr>
        <w:t xml:space="preserve"> con salvedades</w:t>
      </w:r>
    </w:p>
    <w:p w:rsidR="00736AAD" w:rsidRPr="007D4266" w:rsidRDefault="00844C81" w:rsidP="007D4266">
      <w:pPr>
        <w:pStyle w:val="texto"/>
      </w:pPr>
      <w:r>
        <w:t>Según la información proporcionada por los departamentos de la ACFN al Servicio de Intervención, h</w:t>
      </w:r>
      <w:r w:rsidR="0006619D" w:rsidRPr="007D4266">
        <w:t xml:space="preserve">emos estimado que el </w:t>
      </w:r>
      <w:r w:rsidR="00041EA3" w:rsidRPr="007D4266">
        <w:t>28,56</w:t>
      </w:r>
      <w:r w:rsidR="0006619D" w:rsidRPr="007D4266">
        <w:t xml:space="preserve"> por ciento del gasto </w:t>
      </w:r>
      <w:r w:rsidR="005D255D">
        <w:t>de</w:t>
      </w:r>
      <w:r w:rsidR="0006619D" w:rsidRPr="007D4266">
        <w:t>l capítulo 2 de bienes corrientes y servicios (</w:t>
      </w:r>
      <w:r w:rsidR="00041EA3" w:rsidRPr="007D4266">
        <w:t>167,75</w:t>
      </w:r>
      <w:r w:rsidR="0006619D" w:rsidRPr="007D4266">
        <w:t xml:space="preserve"> millones) corresponde a prestaciones </w:t>
      </w:r>
      <w:r w:rsidR="00041EA3" w:rsidRPr="007D4266">
        <w:t xml:space="preserve">abonadas </w:t>
      </w:r>
      <w:r w:rsidR="0006619D" w:rsidRPr="007D4266">
        <w:t>soportadas en contratos cuya vigencia ha finalizado</w:t>
      </w:r>
      <w:r>
        <w:t xml:space="preserve"> o sin soporte contractual</w:t>
      </w:r>
      <w:r w:rsidR="0006619D" w:rsidRPr="007D4266">
        <w:t xml:space="preserve">. </w:t>
      </w:r>
    </w:p>
    <w:p w:rsidR="0006619D" w:rsidRPr="00F377C9" w:rsidRDefault="0006619D" w:rsidP="0006619D">
      <w:pPr>
        <w:keepNext/>
        <w:spacing w:before="240" w:after="24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 xml:space="preserve">Opinión </w:t>
      </w:r>
      <w:r>
        <w:rPr>
          <w:rFonts w:ascii="Arial" w:hAnsi="Arial"/>
          <w:i/>
          <w:iCs/>
          <w:color w:val="000000"/>
          <w:spacing w:val="10"/>
          <w:kern w:val="28"/>
          <w:sz w:val="25"/>
          <w:szCs w:val="26"/>
        </w:rPr>
        <w:t>sobre cumplimiento de legalidad</w:t>
      </w:r>
    </w:p>
    <w:p w:rsidR="0006619D" w:rsidRDefault="0006619D" w:rsidP="0006619D">
      <w:pPr>
        <w:pStyle w:val="texto"/>
      </w:pPr>
      <w:r w:rsidRPr="00F377C9">
        <w:t>En nuestra opinión</w:t>
      </w:r>
      <w:r w:rsidRPr="00F377C9">
        <w:rPr>
          <w:i/>
        </w:rPr>
        <w:t>,</w:t>
      </w:r>
      <w:r w:rsidRPr="00F377C9">
        <w:t xml:space="preserve"> excepto por los efectos de los hechos descritos en </w:t>
      </w:r>
      <w:r w:rsidR="007D4266">
        <w:t>el p</w:t>
      </w:r>
      <w:r w:rsidR="007D4266">
        <w:t>á</w:t>
      </w:r>
      <w:r w:rsidR="007D4266">
        <w:t xml:space="preserve">rrafo </w:t>
      </w:r>
      <w:r w:rsidR="007941A1">
        <w:t>del apartado</w:t>
      </w:r>
      <w:r w:rsidRPr="00F377C9">
        <w:t xml:space="preserve"> de “Fundamento de la opinión </w:t>
      </w:r>
      <w:r>
        <w:t>de legalidad</w:t>
      </w:r>
      <w:r w:rsidRPr="00F377C9">
        <w:t xml:space="preserve"> con salvedades”, </w:t>
      </w:r>
      <w:r>
        <w:t>y</w:t>
      </w:r>
      <w:r w:rsidRPr="00F377C9">
        <w:t xml:space="preserve"> </w:t>
      </w:r>
      <w:r>
        <w:t xml:space="preserve">teniendo en cuenta el alcance del trabajo realizado, </w:t>
      </w:r>
      <w:r w:rsidRPr="00F377C9">
        <w:t>las actividades, operaci</w:t>
      </w:r>
      <w:r w:rsidRPr="00F377C9">
        <w:t>o</w:t>
      </w:r>
      <w:r w:rsidRPr="00F377C9">
        <w:t xml:space="preserve">nes presupuestarias y financieras y la información reflejada en las </w:t>
      </w:r>
      <w:r>
        <w:t>c</w:t>
      </w:r>
      <w:r w:rsidRPr="00F377C9">
        <w:t xml:space="preserve">uentas </w:t>
      </w:r>
      <w:r>
        <w:t>anu</w:t>
      </w:r>
      <w:r w:rsidRPr="00F377C9">
        <w:t xml:space="preserve">ales de la </w:t>
      </w:r>
      <w:r>
        <w:t>ACFN</w:t>
      </w:r>
      <w:r w:rsidRPr="00F377C9">
        <w:t xml:space="preserve"> y sus OOAA del ejercicio 201</w:t>
      </w:r>
      <w:r>
        <w:t>7</w:t>
      </w:r>
      <w:r w:rsidRPr="00F377C9">
        <w:t xml:space="preserve"> resultan conformes, en t</w:t>
      </w:r>
      <w:r w:rsidRPr="00F377C9">
        <w:t>o</w:t>
      </w:r>
      <w:r w:rsidRPr="00F377C9">
        <w:t xml:space="preserve">dos los aspectos significativos, con la normativa aplicable a la gestión de los fondos públicos. </w:t>
      </w:r>
    </w:p>
    <w:p w:rsidR="0006619D" w:rsidRPr="004B2F01" w:rsidRDefault="0006619D" w:rsidP="0006619D">
      <w:pPr>
        <w:pStyle w:val="texto"/>
      </w:pPr>
    </w:p>
    <w:p w:rsidR="0006619D" w:rsidRDefault="0006619D" w:rsidP="0006619D">
      <w:pPr>
        <w:spacing w:after="0"/>
        <w:ind w:firstLine="0"/>
        <w:jc w:val="left"/>
        <w:rPr>
          <w:spacing w:val="6"/>
          <w:sz w:val="26"/>
          <w:szCs w:val="24"/>
        </w:rPr>
      </w:pPr>
      <w:r>
        <w:br w:type="page"/>
      </w:r>
    </w:p>
    <w:p w:rsidR="00C47EE9" w:rsidRPr="00C47EE9" w:rsidRDefault="00C47EE9" w:rsidP="00C47EE9">
      <w:pPr>
        <w:pStyle w:val="atitulo1"/>
      </w:pPr>
      <w:bookmarkStart w:id="28" w:name="_Toc463350240"/>
      <w:bookmarkStart w:id="29" w:name="_Toc494270374"/>
      <w:bookmarkStart w:id="30" w:name="_Toc525907431"/>
      <w:bookmarkStart w:id="31" w:name="_Toc530034659"/>
      <w:r w:rsidRPr="00C47EE9">
        <w:lastRenderedPageBreak/>
        <w:t>IV. Resumen de las cuentas de la Administración de la Comunidad Foral y sus organismos autónomos, ejercicio 201</w:t>
      </w:r>
      <w:bookmarkEnd w:id="28"/>
      <w:bookmarkEnd w:id="29"/>
      <w:r w:rsidRPr="00C47EE9">
        <w:t>7</w:t>
      </w:r>
      <w:bookmarkEnd w:id="30"/>
      <w:bookmarkEnd w:id="31"/>
    </w:p>
    <w:p w:rsidR="00C47EE9" w:rsidRPr="00C47EE9" w:rsidRDefault="00C47EE9" w:rsidP="00C47EE9">
      <w:pPr>
        <w:tabs>
          <w:tab w:val="center" w:pos="2835"/>
          <w:tab w:val="center" w:pos="3969"/>
          <w:tab w:val="center" w:pos="5103"/>
          <w:tab w:val="center" w:pos="6237"/>
          <w:tab w:val="center" w:pos="7371"/>
        </w:tabs>
        <w:ind w:firstLine="284"/>
        <w:rPr>
          <w:spacing w:val="6"/>
          <w:sz w:val="26"/>
          <w:szCs w:val="24"/>
          <w:lang w:val="es-ES"/>
        </w:rPr>
      </w:pPr>
      <w:r w:rsidRPr="00C47EE9">
        <w:rPr>
          <w:spacing w:val="6"/>
          <w:sz w:val="26"/>
          <w:szCs w:val="24"/>
          <w:lang w:val="es-ES"/>
        </w:rPr>
        <w:t>A continuación se presenta un resumen de los estados contables más releva</w:t>
      </w:r>
      <w:r w:rsidRPr="00C47EE9">
        <w:rPr>
          <w:spacing w:val="6"/>
          <w:sz w:val="26"/>
          <w:szCs w:val="24"/>
          <w:lang w:val="es-ES"/>
        </w:rPr>
        <w:t>n</w:t>
      </w:r>
      <w:r w:rsidRPr="00C47EE9">
        <w:rPr>
          <w:spacing w:val="6"/>
          <w:sz w:val="26"/>
          <w:szCs w:val="24"/>
          <w:lang w:val="es-ES"/>
        </w:rPr>
        <w:t>tes que integran las cuentas anuales de 2017 de la ACFN y de sus OOAA.</w:t>
      </w:r>
    </w:p>
    <w:p w:rsidR="00C47EE9" w:rsidRPr="00557ED4" w:rsidRDefault="00C47EE9" w:rsidP="00557ED4">
      <w:pPr>
        <w:pStyle w:val="atitulo2"/>
        <w:spacing w:before="240"/>
        <w:rPr>
          <w:rFonts w:cs="Arial"/>
          <w:bCs w:val="0"/>
          <w:iCs w:val="0"/>
          <w:lang w:eastAsia="es-ES"/>
        </w:rPr>
      </w:pPr>
      <w:bookmarkStart w:id="32" w:name="_Toc463350241"/>
      <w:bookmarkStart w:id="33" w:name="_Toc494270375"/>
      <w:bookmarkStart w:id="34" w:name="_Toc525907432"/>
      <w:bookmarkStart w:id="35" w:name="_Toc530034660"/>
      <w:r w:rsidRPr="00557ED4">
        <w:rPr>
          <w:bCs w:val="0"/>
          <w:iCs w:val="0"/>
        </w:rPr>
        <w:t>IV.1. Liquidación del presupuesto 201</w:t>
      </w:r>
      <w:bookmarkEnd w:id="32"/>
      <w:bookmarkEnd w:id="33"/>
      <w:r w:rsidRPr="00557ED4">
        <w:rPr>
          <w:bCs w:val="0"/>
          <w:iCs w:val="0"/>
        </w:rPr>
        <w:t>7</w:t>
      </w:r>
      <w:bookmarkEnd w:id="34"/>
      <w:bookmarkEnd w:id="35"/>
    </w:p>
    <w:p w:rsidR="00C47EE9" w:rsidRPr="00C47EE9" w:rsidRDefault="00C47EE9" w:rsidP="00C47EE9">
      <w:pPr>
        <w:ind w:firstLine="0"/>
        <w:jc w:val="center"/>
        <w:outlineLvl w:val="0"/>
        <w:rPr>
          <w:rFonts w:ascii="Arial" w:hAnsi="Arial" w:cs="Arial"/>
        </w:rPr>
      </w:pPr>
      <w:r w:rsidRPr="00C47EE9">
        <w:rPr>
          <w:rFonts w:ascii="Arial" w:hAnsi="Arial" w:cs="Arial"/>
        </w:rPr>
        <w:t>Liquidación del presupuesto de gastos de 2017, por capítulos económicos</w:t>
      </w:r>
    </w:p>
    <w:p w:rsidR="00C47EE9" w:rsidRPr="00C47EE9" w:rsidRDefault="00C47EE9" w:rsidP="00C47EE9">
      <w:pPr>
        <w:suppressAutoHyphens/>
        <w:spacing w:after="60"/>
        <w:ind w:firstLine="0"/>
        <w:jc w:val="right"/>
        <w:rPr>
          <w:rFonts w:ascii="Arial" w:hAnsi="Arial"/>
          <w:spacing w:val="6"/>
          <w:sz w:val="17"/>
          <w:szCs w:val="17"/>
        </w:rPr>
      </w:pPr>
      <w:r w:rsidRPr="00C47EE9">
        <w:rPr>
          <w:rFonts w:ascii="Arial" w:hAnsi="Arial"/>
          <w:spacing w:val="6"/>
          <w:sz w:val="17"/>
          <w:szCs w:val="17"/>
        </w:rPr>
        <w:t>(en miles de euros)</w:t>
      </w:r>
    </w:p>
    <w:tbl>
      <w:tblPr>
        <w:tblW w:w="10078" w:type="dxa"/>
        <w:jc w:val="center"/>
        <w:tblInd w:w="57"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184"/>
        <w:gridCol w:w="938"/>
        <w:gridCol w:w="1176"/>
        <w:gridCol w:w="1176"/>
        <w:gridCol w:w="1050"/>
        <w:gridCol w:w="993"/>
        <w:gridCol w:w="910"/>
        <w:gridCol w:w="875"/>
        <w:gridCol w:w="776"/>
      </w:tblGrid>
      <w:tr w:rsidR="00041EA3" w:rsidRPr="00C47EE9" w:rsidTr="00041EA3">
        <w:trPr>
          <w:trHeight w:val="255"/>
          <w:jc w:val="center"/>
        </w:trPr>
        <w:tc>
          <w:tcPr>
            <w:tcW w:w="2184" w:type="dxa"/>
            <w:tcBorders>
              <w:bottom w:val="single" w:sz="4" w:space="0" w:color="auto"/>
            </w:tcBorders>
            <w:shd w:val="clear" w:color="auto" w:fill="8DB3E2" w:themeFill="text2" w:themeFillTint="66"/>
            <w:vAlign w:val="center"/>
          </w:tcPr>
          <w:p w:rsidR="00041EA3" w:rsidRPr="00C47EE9" w:rsidRDefault="00041EA3" w:rsidP="00C47EE9">
            <w:pPr>
              <w:keepLines/>
              <w:tabs>
                <w:tab w:val="right" w:pos="2835"/>
                <w:tab w:val="right" w:pos="3969"/>
                <w:tab w:val="right" w:pos="5103"/>
                <w:tab w:val="right" w:pos="6237"/>
                <w:tab w:val="right" w:pos="7371"/>
              </w:tabs>
              <w:spacing w:after="0"/>
              <w:ind w:firstLine="0"/>
              <w:rPr>
                <w:rFonts w:ascii="Arial" w:hAnsi="Arial"/>
                <w:spacing w:val="6"/>
                <w:sz w:val="16"/>
                <w:szCs w:val="16"/>
              </w:rPr>
            </w:pPr>
            <w:r w:rsidRPr="00C47EE9">
              <w:rPr>
                <w:rFonts w:ascii="Arial" w:hAnsi="Arial"/>
                <w:spacing w:val="6"/>
                <w:sz w:val="16"/>
                <w:szCs w:val="16"/>
              </w:rPr>
              <w:t>Capítulo económico</w:t>
            </w:r>
          </w:p>
        </w:tc>
        <w:tc>
          <w:tcPr>
            <w:tcW w:w="938" w:type="dxa"/>
            <w:tcBorders>
              <w:bottom w:val="single" w:sz="4" w:space="0" w:color="auto"/>
            </w:tcBorders>
            <w:shd w:val="clear" w:color="auto" w:fill="8DB3E2" w:themeFill="text2" w:themeFillTint="66"/>
            <w:vAlign w:val="center"/>
          </w:tcPr>
          <w:p w:rsidR="00041EA3" w:rsidRPr="00C47EE9" w:rsidRDefault="00041EA3"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roofErr w:type="spellStart"/>
            <w:r w:rsidRPr="00C47EE9">
              <w:rPr>
                <w:rFonts w:ascii="Arial" w:hAnsi="Arial"/>
                <w:spacing w:val="6"/>
                <w:sz w:val="16"/>
                <w:szCs w:val="16"/>
              </w:rPr>
              <w:t>Cto</w:t>
            </w:r>
            <w:proofErr w:type="spellEnd"/>
            <w:r w:rsidRPr="00C47EE9">
              <w:rPr>
                <w:rFonts w:ascii="Arial" w:hAnsi="Arial"/>
                <w:spacing w:val="6"/>
                <w:sz w:val="16"/>
                <w:szCs w:val="16"/>
              </w:rPr>
              <w:t>. inicial</w:t>
            </w:r>
          </w:p>
        </w:tc>
        <w:tc>
          <w:tcPr>
            <w:tcW w:w="1176" w:type="dxa"/>
            <w:tcBorders>
              <w:bottom w:val="single" w:sz="4" w:space="0" w:color="auto"/>
            </w:tcBorders>
            <w:shd w:val="clear" w:color="auto" w:fill="8DB3E2" w:themeFill="text2" w:themeFillTint="66"/>
            <w:vAlign w:val="center"/>
          </w:tcPr>
          <w:p w:rsidR="00041EA3" w:rsidRPr="00C47EE9" w:rsidRDefault="00041EA3" w:rsidP="00041EA3">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roofErr w:type="spellStart"/>
            <w:r>
              <w:rPr>
                <w:rFonts w:ascii="Arial" w:hAnsi="Arial"/>
                <w:spacing w:val="6"/>
                <w:sz w:val="16"/>
                <w:szCs w:val="16"/>
              </w:rPr>
              <w:t>Modificac</w:t>
            </w:r>
            <w:proofErr w:type="spellEnd"/>
            <w:r>
              <w:rPr>
                <w:rFonts w:ascii="Arial" w:hAnsi="Arial"/>
                <w:spacing w:val="6"/>
                <w:sz w:val="16"/>
                <w:szCs w:val="16"/>
              </w:rPr>
              <w:t>.</w:t>
            </w:r>
          </w:p>
        </w:tc>
        <w:tc>
          <w:tcPr>
            <w:tcW w:w="1176" w:type="dxa"/>
            <w:tcBorders>
              <w:bottom w:val="single" w:sz="4" w:space="0" w:color="auto"/>
            </w:tcBorders>
            <w:shd w:val="clear" w:color="auto" w:fill="8DB3E2" w:themeFill="text2" w:themeFillTint="66"/>
            <w:vAlign w:val="center"/>
          </w:tcPr>
          <w:p w:rsidR="00041EA3" w:rsidRPr="00C47EE9" w:rsidRDefault="00041EA3"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C47EE9">
              <w:rPr>
                <w:rFonts w:ascii="Arial" w:hAnsi="Arial"/>
                <w:spacing w:val="6"/>
                <w:sz w:val="16"/>
                <w:szCs w:val="16"/>
              </w:rPr>
              <w:t>Consolidado</w:t>
            </w:r>
          </w:p>
        </w:tc>
        <w:tc>
          <w:tcPr>
            <w:tcW w:w="1050" w:type="dxa"/>
            <w:tcBorders>
              <w:bottom w:val="single" w:sz="4" w:space="0" w:color="auto"/>
            </w:tcBorders>
            <w:shd w:val="clear" w:color="auto" w:fill="8DB3E2" w:themeFill="text2" w:themeFillTint="66"/>
            <w:vAlign w:val="center"/>
          </w:tcPr>
          <w:p w:rsidR="00041EA3" w:rsidRPr="00C47EE9" w:rsidRDefault="00041EA3"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C47EE9">
              <w:rPr>
                <w:rFonts w:ascii="Arial" w:hAnsi="Arial"/>
                <w:spacing w:val="6"/>
                <w:sz w:val="16"/>
                <w:szCs w:val="16"/>
              </w:rPr>
              <w:t>Autorizado</w:t>
            </w:r>
          </w:p>
        </w:tc>
        <w:tc>
          <w:tcPr>
            <w:tcW w:w="993" w:type="dxa"/>
            <w:tcBorders>
              <w:bottom w:val="single" w:sz="4" w:space="0" w:color="auto"/>
            </w:tcBorders>
            <w:shd w:val="clear" w:color="auto" w:fill="8DB3E2" w:themeFill="text2" w:themeFillTint="66"/>
            <w:vAlign w:val="center"/>
          </w:tcPr>
          <w:p w:rsidR="00041EA3" w:rsidRPr="00C47EE9" w:rsidRDefault="00041EA3"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C47EE9">
              <w:rPr>
                <w:rFonts w:ascii="Arial" w:hAnsi="Arial"/>
                <w:spacing w:val="6"/>
                <w:sz w:val="16"/>
                <w:szCs w:val="16"/>
              </w:rPr>
              <w:t>Dispuesto</w:t>
            </w:r>
          </w:p>
        </w:tc>
        <w:tc>
          <w:tcPr>
            <w:tcW w:w="910" w:type="dxa"/>
            <w:tcBorders>
              <w:bottom w:val="single" w:sz="4" w:space="0" w:color="auto"/>
            </w:tcBorders>
            <w:shd w:val="clear" w:color="auto" w:fill="8DB3E2" w:themeFill="text2" w:themeFillTint="66"/>
            <w:vAlign w:val="center"/>
          </w:tcPr>
          <w:p w:rsidR="00041EA3" w:rsidRPr="00C47EE9" w:rsidRDefault="00041EA3"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C47EE9">
              <w:rPr>
                <w:rFonts w:ascii="Arial" w:hAnsi="Arial"/>
                <w:spacing w:val="6"/>
                <w:sz w:val="16"/>
                <w:szCs w:val="16"/>
              </w:rPr>
              <w:t>Realizado</w:t>
            </w:r>
          </w:p>
        </w:tc>
        <w:tc>
          <w:tcPr>
            <w:tcW w:w="875" w:type="dxa"/>
            <w:tcBorders>
              <w:bottom w:val="single" w:sz="4" w:space="0" w:color="auto"/>
            </w:tcBorders>
            <w:shd w:val="clear" w:color="auto" w:fill="8DB3E2" w:themeFill="text2" w:themeFillTint="66"/>
            <w:vAlign w:val="center"/>
          </w:tcPr>
          <w:p w:rsidR="00041EA3" w:rsidRPr="00C47EE9" w:rsidRDefault="00041EA3"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C47EE9">
              <w:rPr>
                <w:rFonts w:ascii="Arial" w:hAnsi="Arial"/>
                <w:spacing w:val="6"/>
                <w:sz w:val="16"/>
                <w:szCs w:val="16"/>
              </w:rPr>
              <w:t xml:space="preserve">% </w:t>
            </w:r>
          </w:p>
          <w:p w:rsidR="00041EA3" w:rsidRPr="00C47EE9" w:rsidRDefault="00041EA3"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C47EE9">
              <w:rPr>
                <w:rFonts w:ascii="Arial" w:hAnsi="Arial"/>
                <w:spacing w:val="6"/>
                <w:sz w:val="16"/>
                <w:szCs w:val="16"/>
              </w:rPr>
              <w:t>ejecución</w:t>
            </w:r>
          </w:p>
        </w:tc>
        <w:tc>
          <w:tcPr>
            <w:tcW w:w="776" w:type="dxa"/>
            <w:tcBorders>
              <w:bottom w:val="single" w:sz="4" w:space="0" w:color="auto"/>
            </w:tcBorders>
            <w:shd w:val="clear" w:color="auto" w:fill="8DB3E2" w:themeFill="text2" w:themeFillTint="66"/>
            <w:vAlign w:val="center"/>
          </w:tcPr>
          <w:p w:rsidR="00041EA3" w:rsidRPr="00C47EE9" w:rsidRDefault="00041EA3"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C47EE9">
              <w:rPr>
                <w:rFonts w:ascii="Arial" w:hAnsi="Arial"/>
                <w:spacing w:val="6"/>
                <w:sz w:val="16"/>
                <w:szCs w:val="16"/>
              </w:rPr>
              <w:t>Pagado</w:t>
            </w:r>
          </w:p>
        </w:tc>
      </w:tr>
      <w:tr w:rsidR="00041EA3" w:rsidRPr="00C47EE9" w:rsidTr="00041EA3">
        <w:trPr>
          <w:trHeight w:val="198"/>
          <w:jc w:val="center"/>
        </w:trPr>
        <w:tc>
          <w:tcPr>
            <w:tcW w:w="2184" w:type="dxa"/>
            <w:tcBorders>
              <w:top w:val="single" w:sz="4" w:space="0" w:color="auto"/>
              <w:bottom w:val="single" w:sz="2" w:space="0" w:color="auto"/>
            </w:tcBorders>
            <w:vAlign w:val="center"/>
          </w:tcPr>
          <w:p w:rsidR="00041EA3" w:rsidRPr="00C47EE9" w:rsidRDefault="00041EA3"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Gastos de personal</w:t>
            </w:r>
          </w:p>
        </w:tc>
        <w:tc>
          <w:tcPr>
            <w:tcW w:w="938" w:type="dxa"/>
            <w:tcBorders>
              <w:top w:val="single" w:sz="4"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1.255.456</w:t>
            </w:r>
          </w:p>
        </w:tc>
        <w:tc>
          <w:tcPr>
            <w:tcW w:w="1176" w:type="dxa"/>
            <w:tcBorders>
              <w:top w:val="single" w:sz="4" w:space="0" w:color="auto"/>
              <w:bottom w:val="single" w:sz="2" w:space="0" w:color="auto"/>
            </w:tcBorders>
            <w:vAlign w:val="center"/>
          </w:tcPr>
          <w:p w:rsidR="00041EA3" w:rsidRPr="00041EA3" w:rsidRDefault="00041EA3" w:rsidP="00041EA3">
            <w:pPr>
              <w:spacing w:after="0"/>
              <w:ind w:firstLine="0"/>
              <w:jc w:val="right"/>
              <w:rPr>
                <w:rFonts w:ascii="Arial Narrow" w:hAnsi="Arial Narrow"/>
                <w:sz w:val="18"/>
                <w:szCs w:val="18"/>
              </w:rPr>
            </w:pPr>
            <w:r w:rsidRPr="00041EA3">
              <w:rPr>
                <w:rFonts w:ascii="Arial Narrow" w:hAnsi="Arial Narrow"/>
                <w:sz w:val="18"/>
                <w:szCs w:val="18"/>
              </w:rPr>
              <w:t>3.330</w:t>
            </w:r>
          </w:p>
        </w:tc>
        <w:tc>
          <w:tcPr>
            <w:tcW w:w="1176" w:type="dxa"/>
            <w:tcBorders>
              <w:top w:val="single" w:sz="4"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1.258.787</w:t>
            </w:r>
          </w:p>
        </w:tc>
        <w:tc>
          <w:tcPr>
            <w:tcW w:w="1050" w:type="dxa"/>
            <w:tcBorders>
              <w:top w:val="single" w:sz="4"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1.237.653</w:t>
            </w:r>
          </w:p>
        </w:tc>
        <w:tc>
          <w:tcPr>
            <w:tcW w:w="993" w:type="dxa"/>
            <w:tcBorders>
              <w:top w:val="single" w:sz="4"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1.237.582</w:t>
            </w:r>
          </w:p>
        </w:tc>
        <w:tc>
          <w:tcPr>
            <w:tcW w:w="910" w:type="dxa"/>
            <w:tcBorders>
              <w:top w:val="single" w:sz="4"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1.237.582</w:t>
            </w:r>
          </w:p>
        </w:tc>
        <w:tc>
          <w:tcPr>
            <w:tcW w:w="875" w:type="dxa"/>
            <w:tcBorders>
              <w:top w:val="single" w:sz="4"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98,32</w:t>
            </w:r>
          </w:p>
        </w:tc>
        <w:tc>
          <w:tcPr>
            <w:tcW w:w="776" w:type="dxa"/>
            <w:tcBorders>
              <w:top w:val="single" w:sz="4"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1.237.582</w:t>
            </w:r>
          </w:p>
        </w:tc>
      </w:tr>
      <w:tr w:rsidR="00041EA3" w:rsidRPr="00C47EE9" w:rsidTr="00041EA3">
        <w:trPr>
          <w:trHeight w:val="198"/>
          <w:jc w:val="center"/>
        </w:trPr>
        <w:tc>
          <w:tcPr>
            <w:tcW w:w="2184" w:type="dxa"/>
            <w:tcBorders>
              <w:top w:val="single" w:sz="2" w:space="0" w:color="auto"/>
              <w:bottom w:val="single" w:sz="2" w:space="0" w:color="auto"/>
            </w:tcBorders>
            <w:vAlign w:val="center"/>
          </w:tcPr>
          <w:p w:rsidR="00041EA3" w:rsidRPr="00C47EE9" w:rsidRDefault="00041EA3"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proofErr w:type="spellStart"/>
            <w:r w:rsidRPr="00C47EE9">
              <w:rPr>
                <w:rFonts w:ascii="Arial Narrow" w:hAnsi="Arial Narrow"/>
                <w:spacing w:val="6"/>
                <w:sz w:val="18"/>
                <w:szCs w:val="18"/>
                <w:lang w:val="es-ES"/>
              </w:rPr>
              <w:t>Gtos</w:t>
            </w:r>
            <w:proofErr w:type="spellEnd"/>
            <w:r w:rsidRPr="00C47EE9">
              <w:rPr>
                <w:rFonts w:ascii="Arial Narrow" w:hAnsi="Arial Narrow"/>
                <w:spacing w:val="6"/>
                <w:sz w:val="18"/>
                <w:szCs w:val="18"/>
                <w:lang w:val="es-ES"/>
              </w:rPr>
              <w:t xml:space="preserve">. </w:t>
            </w:r>
            <w:proofErr w:type="spellStart"/>
            <w:r w:rsidRPr="00C47EE9">
              <w:rPr>
                <w:rFonts w:ascii="Arial Narrow" w:hAnsi="Arial Narrow"/>
                <w:spacing w:val="6"/>
                <w:sz w:val="18"/>
                <w:szCs w:val="18"/>
                <w:lang w:val="es-ES"/>
              </w:rPr>
              <w:t>corr</w:t>
            </w:r>
            <w:proofErr w:type="spellEnd"/>
            <w:r w:rsidRPr="00C47EE9">
              <w:rPr>
                <w:rFonts w:ascii="Arial Narrow" w:hAnsi="Arial Narrow"/>
                <w:spacing w:val="6"/>
                <w:sz w:val="18"/>
                <w:szCs w:val="18"/>
                <w:lang w:val="es-ES"/>
              </w:rPr>
              <w:t xml:space="preserve">. en bienes y </w:t>
            </w:r>
            <w:proofErr w:type="spellStart"/>
            <w:r w:rsidRPr="00C47EE9">
              <w:rPr>
                <w:rFonts w:ascii="Arial Narrow" w:hAnsi="Arial Narrow"/>
                <w:spacing w:val="6"/>
                <w:sz w:val="18"/>
                <w:szCs w:val="18"/>
                <w:lang w:val="es-ES"/>
              </w:rPr>
              <w:t>serv</w:t>
            </w:r>
            <w:proofErr w:type="spellEnd"/>
            <w:r w:rsidRPr="00C47EE9">
              <w:rPr>
                <w:rFonts w:ascii="Arial Narrow" w:hAnsi="Arial Narrow"/>
                <w:spacing w:val="6"/>
                <w:sz w:val="18"/>
                <w:szCs w:val="18"/>
                <w:lang w:val="es-ES"/>
              </w:rPr>
              <w:t>.</w:t>
            </w:r>
          </w:p>
        </w:tc>
        <w:tc>
          <w:tcPr>
            <w:tcW w:w="938"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635.850</w:t>
            </w:r>
          </w:p>
        </w:tc>
        <w:tc>
          <w:tcPr>
            <w:tcW w:w="1176" w:type="dxa"/>
            <w:tcBorders>
              <w:top w:val="single" w:sz="2" w:space="0" w:color="auto"/>
              <w:bottom w:val="single" w:sz="2" w:space="0" w:color="auto"/>
            </w:tcBorders>
            <w:vAlign w:val="center"/>
          </w:tcPr>
          <w:p w:rsidR="00041EA3" w:rsidRPr="00041EA3" w:rsidRDefault="00041EA3" w:rsidP="00041EA3">
            <w:pPr>
              <w:spacing w:after="0"/>
              <w:ind w:firstLine="0"/>
              <w:jc w:val="right"/>
              <w:rPr>
                <w:rFonts w:ascii="Arial Narrow" w:hAnsi="Arial Narrow"/>
                <w:sz w:val="18"/>
                <w:szCs w:val="18"/>
              </w:rPr>
            </w:pPr>
            <w:r w:rsidRPr="00041EA3">
              <w:rPr>
                <w:rFonts w:ascii="Arial Narrow" w:hAnsi="Arial Narrow"/>
                <w:sz w:val="18"/>
                <w:szCs w:val="18"/>
              </w:rPr>
              <w:t>-13.199</w:t>
            </w:r>
          </w:p>
        </w:tc>
        <w:tc>
          <w:tcPr>
            <w:tcW w:w="11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622.651</w:t>
            </w:r>
          </w:p>
        </w:tc>
        <w:tc>
          <w:tcPr>
            <w:tcW w:w="105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595.919</w:t>
            </w:r>
          </w:p>
        </w:tc>
        <w:tc>
          <w:tcPr>
            <w:tcW w:w="993"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593.707</w:t>
            </w:r>
          </w:p>
        </w:tc>
        <w:tc>
          <w:tcPr>
            <w:tcW w:w="91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587.273</w:t>
            </w:r>
          </w:p>
        </w:tc>
        <w:tc>
          <w:tcPr>
            <w:tcW w:w="875"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94,32</w:t>
            </w:r>
          </w:p>
        </w:tc>
        <w:tc>
          <w:tcPr>
            <w:tcW w:w="7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529.760</w:t>
            </w:r>
          </w:p>
        </w:tc>
      </w:tr>
      <w:tr w:rsidR="00041EA3" w:rsidRPr="00C47EE9" w:rsidTr="00041EA3">
        <w:trPr>
          <w:trHeight w:val="198"/>
          <w:jc w:val="center"/>
        </w:trPr>
        <w:tc>
          <w:tcPr>
            <w:tcW w:w="2184" w:type="dxa"/>
            <w:tcBorders>
              <w:top w:val="single" w:sz="2" w:space="0" w:color="auto"/>
              <w:bottom w:val="single" w:sz="2" w:space="0" w:color="auto"/>
            </w:tcBorders>
            <w:vAlign w:val="center"/>
          </w:tcPr>
          <w:p w:rsidR="00041EA3" w:rsidRPr="00C47EE9" w:rsidRDefault="00041EA3"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Gastos financieros</w:t>
            </w:r>
          </w:p>
        </w:tc>
        <w:tc>
          <w:tcPr>
            <w:tcW w:w="938"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98.338</w:t>
            </w:r>
          </w:p>
        </w:tc>
        <w:tc>
          <w:tcPr>
            <w:tcW w:w="1176" w:type="dxa"/>
            <w:tcBorders>
              <w:top w:val="single" w:sz="2" w:space="0" w:color="auto"/>
              <w:bottom w:val="single" w:sz="2" w:space="0" w:color="auto"/>
            </w:tcBorders>
            <w:vAlign w:val="center"/>
          </w:tcPr>
          <w:p w:rsidR="00041EA3" w:rsidRPr="00041EA3" w:rsidRDefault="00041EA3" w:rsidP="00041EA3">
            <w:pPr>
              <w:spacing w:after="0"/>
              <w:ind w:firstLine="0"/>
              <w:jc w:val="right"/>
              <w:rPr>
                <w:rFonts w:ascii="Arial Narrow" w:hAnsi="Arial Narrow"/>
                <w:sz w:val="18"/>
                <w:szCs w:val="18"/>
              </w:rPr>
            </w:pPr>
            <w:r w:rsidRPr="00041EA3">
              <w:rPr>
                <w:rFonts w:ascii="Arial Narrow" w:hAnsi="Arial Narrow"/>
                <w:sz w:val="18"/>
                <w:szCs w:val="18"/>
              </w:rPr>
              <w:t>-65</w:t>
            </w:r>
          </w:p>
        </w:tc>
        <w:tc>
          <w:tcPr>
            <w:tcW w:w="11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98.273</w:t>
            </w:r>
          </w:p>
        </w:tc>
        <w:tc>
          <w:tcPr>
            <w:tcW w:w="105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90.871</w:t>
            </w:r>
          </w:p>
        </w:tc>
        <w:tc>
          <w:tcPr>
            <w:tcW w:w="993"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90.871</w:t>
            </w:r>
          </w:p>
        </w:tc>
        <w:tc>
          <w:tcPr>
            <w:tcW w:w="91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90.871</w:t>
            </w:r>
          </w:p>
        </w:tc>
        <w:tc>
          <w:tcPr>
            <w:tcW w:w="875"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92,47</w:t>
            </w:r>
          </w:p>
        </w:tc>
        <w:tc>
          <w:tcPr>
            <w:tcW w:w="7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90.868</w:t>
            </w:r>
          </w:p>
        </w:tc>
      </w:tr>
      <w:tr w:rsidR="00041EA3" w:rsidRPr="00C47EE9" w:rsidTr="00041EA3">
        <w:trPr>
          <w:trHeight w:val="198"/>
          <w:jc w:val="center"/>
        </w:trPr>
        <w:tc>
          <w:tcPr>
            <w:tcW w:w="2184" w:type="dxa"/>
            <w:tcBorders>
              <w:top w:val="single" w:sz="2" w:space="0" w:color="auto"/>
              <w:bottom w:val="single" w:sz="2" w:space="0" w:color="auto"/>
            </w:tcBorders>
            <w:vAlign w:val="center"/>
          </w:tcPr>
          <w:p w:rsidR="00041EA3" w:rsidRPr="00C47EE9" w:rsidRDefault="00041EA3"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Transferencias corrientes</w:t>
            </w:r>
          </w:p>
        </w:tc>
        <w:tc>
          <w:tcPr>
            <w:tcW w:w="938"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1.433.983</w:t>
            </w:r>
          </w:p>
        </w:tc>
        <w:tc>
          <w:tcPr>
            <w:tcW w:w="1176" w:type="dxa"/>
            <w:tcBorders>
              <w:top w:val="single" w:sz="2" w:space="0" w:color="auto"/>
              <w:bottom w:val="single" w:sz="2" w:space="0" w:color="auto"/>
            </w:tcBorders>
            <w:vAlign w:val="center"/>
          </w:tcPr>
          <w:p w:rsidR="00041EA3" w:rsidRPr="00041EA3" w:rsidRDefault="00041EA3" w:rsidP="00041EA3">
            <w:pPr>
              <w:spacing w:after="0"/>
              <w:ind w:firstLine="0"/>
              <w:jc w:val="right"/>
              <w:rPr>
                <w:rFonts w:ascii="Arial Narrow" w:hAnsi="Arial Narrow"/>
                <w:sz w:val="18"/>
                <w:szCs w:val="18"/>
              </w:rPr>
            </w:pPr>
            <w:r w:rsidRPr="00041EA3">
              <w:rPr>
                <w:rFonts w:ascii="Arial Narrow" w:hAnsi="Arial Narrow"/>
                <w:sz w:val="18"/>
                <w:szCs w:val="18"/>
              </w:rPr>
              <w:t>86.788</w:t>
            </w:r>
          </w:p>
        </w:tc>
        <w:tc>
          <w:tcPr>
            <w:tcW w:w="11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1.520.771</w:t>
            </w:r>
          </w:p>
        </w:tc>
        <w:tc>
          <w:tcPr>
            <w:tcW w:w="105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1.507.642</w:t>
            </w:r>
          </w:p>
        </w:tc>
        <w:tc>
          <w:tcPr>
            <w:tcW w:w="993"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1.499.271</w:t>
            </w:r>
          </w:p>
        </w:tc>
        <w:tc>
          <w:tcPr>
            <w:tcW w:w="91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1.488.898</w:t>
            </w:r>
          </w:p>
        </w:tc>
        <w:tc>
          <w:tcPr>
            <w:tcW w:w="875"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97,90</w:t>
            </w:r>
          </w:p>
        </w:tc>
        <w:tc>
          <w:tcPr>
            <w:tcW w:w="7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1.465.713</w:t>
            </w:r>
          </w:p>
        </w:tc>
      </w:tr>
      <w:tr w:rsidR="00041EA3" w:rsidRPr="00C47EE9" w:rsidTr="00041EA3">
        <w:trPr>
          <w:trHeight w:val="198"/>
          <w:jc w:val="center"/>
        </w:trPr>
        <w:tc>
          <w:tcPr>
            <w:tcW w:w="2184" w:type="dxa"/>
            <w:tcBorders>
              <w:top w:val="single" w:sz="2" w:space="0" w:color="auto"/>
              <w:bottom w:val="single" w:sz="2" w:space="0" w:color="auto"/>
            </w:tcBorders>
            <w:vAlign w:val="center"/>
          </w:tcPr>
          <w:p w:rsidR="00041EA3" w:rsidRPr="00C47EE9" w:rsidRDefault="00041EA3" w:rsidP="00C47EE9">
            <w:pPr>
              <w:keepLines/>
              <w:tabs>
                <w:tab w:val="right" w:pos="2835"/>
                <w:tab w:val="right" w:pos="3969"/>
                <w:tab w:val="right" w:pos="5103"/>
                <w:tab w:val="right" w:pos="6237"/>
                <w:tab w:val="right" w:pos="7371"/>
              </w:tabs>
              <w:spacing w:after="0"/>
              <w:ind w:right="29" w:firstLine="0"/>
              <w:rPr>
                <w:rFonts w:ascii="Arial Narrow" w:hAnsi="Arial Narrow"/>
                <w:spacing w:val="2"/>
                <w:sz w:val="18"/>
                <w:szCs w:val="18"/>
                <w:lang w:val="es-ES"/>
              </w:rPr>
            </w:pPr>
            <w:r w:rsidRPr="00C47EE9">
              <w:rPr>
                <w:rFonts w:ascii="Arial Narrow" w:hAnsi="Arial Narrow"/>
                <w:spacing w:val="2"/>
                <w:sz w:val="18"/>
                <w:szCs w:val="18"/>
                <w:lang w:val="es-ES"/>
              </w:rPr>
              <w:t>Fondo prórroga o contingencia</w:t>
            </w:r>
          </w:p>
        </w:tc>
        <w:tc>
          <w:tcPr>
            <w:tcW w:w="938"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11.770</w:t>
            </w:r>
          </w:p>
        </w:tc>
        <w:tc>
          <w:tcPr>
            <w:tcW w:w="1176" w:type="dxa"/>
            <w:tcBorders>
              <w:top w:val="single" w:sz="2" w:space="0" w:color="auto"/>
              <w:bottom w:val="single" w:sz="2" w:space="0" w:color="auto"/>
            </w:tcBorders>
            <w:vAlign w:val="center"/>
          </w:tcPr>
          <w:p w:rsidR="00041EA3" w:rsidRPr="00041EA3" w:rsidRDefault="00041EA3" w:rsidP="00041EA3">
            <w:pPr>
              <w:spacing w:after="0"/>
              <w:ind w:firstLine="0"/>
              <w:jc w:val="right"/>
              <w:rPr>
                <w:rFonts w:ascii="Arial Narrow" w:hAnsi="Arial Narrow"/>
                <w:sz w:val="18"/>
                <w:szCs w:val="18"/>
              </w:rPr>
            </w:pPr>
            <w:r w:rsidRPr="00041EA3">
              <w:rPr>
                <w:rFonts w:ascii="Arial Narrow" w:hAnsi="Arial Narrow"/>
                <w:sz w:val="18"/>
                <w:szCs w:val="18"/>
              </w:rPr>
              <w:t>-9.584</w:t>
            </w:r>
          </w:p>
        </w:tc>
        <w:tc>
          <w:tcPr>
            <w:tcW w:w="11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2.187</w:t>
            </w:r>
          </w:p>
        </w:tc>
        <w:tc>
          <w:tcPr>
            <w:tcW w:w="105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0</w:t>
            </w:r>
          </w:p>
        </w:tc>
        <w:tc>
          <w:tcPr>
            <w:tcW w:w="993"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0</w:t>
            </w:r>
          </w:p>
        </w:tc>
        <w:tc>
          <w:tcPr>
            <w:tcW w:w="91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0</w:t>
            </w:r>
          </w:p>
        </w:tc>
        <w:tc>
          <w:tcPr>
            <w:tcW w:w="875"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0,00</w:t>
            </w:r>
          </w:p>
        </w:tc>
        <w:tc>
          <w:tcPr>
            <w:tcW w:w="7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0</w:t>
            </w:r>
          </w:p>
        </w:tc>
      </w:tr>
      <w:tr w:rsidR="00041EA3" w:rsidRPr="00C47EE9" w:rsidTr="00041EA3">
        <w:trPr>
          <w:trHeight w:val="198"/>
          <w:jc w:val="center"/>
        </w:trPr>
        <w:tc>
          <w:tcPr>
            <w:tcW w:w="2184" w:type="dxa"/>
            <w:tcBorders>
              <w:top w:val="single" w:sz="2" w:space="0" w:color="auto"/>
              <w:bottom w:val="single" w:sz="2" w:space="0" w:color="auto"/>
            </w:tcBorders>
            <w:vAlign w:val="center"/>
          </w:tcPr>
          <w:p w:rsidR="00041EA3" w:rsidRPr="00C47EE9" w:rsidRDefault="00041EA3"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Inversiones reales</w:t>
            </w:r>
          </w:p>
        </w:tc>
        <w:tc>
          <w:tcPr>
            <w:tcW w:w="938"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135.071</w:t>
            </w:r>
          </w:p>
        </w:tc>
        <w:tc>
          <w:tcPr>
            <w:tcW w:w="1176" w:type="dxa"/>
            <w:tcBorders>
              <w:top w:val="single" w:sz="2" w:space="0" w:color="auto"/>
              <w:bottom w:val="single" w:sz="2" w:space="0" w:color="auto"/>
            </w:tcBorders>
            <w:vAlign w:val="center"/>
          </w:tcPr>
          <w:p w:rsidR="00041EA3" w:rsidRPr="00041EA3" w:rsidRDefault="00041EA3" w:rsidP="00041EA3">
            <w:pPr>
              <w:spacing w:after="0"/>
              <w:ind w:firstLine="0"/>
              <w:jc w:val="right"/>
              <w:rPr>
                <w:rFonts w:ascii="Arial Narrow" w:hAnsi="Arial Narrow"/>
                <w:sz w:val="18"/>
                <w:szCs w:val="18"/>
              </w:rPr>
            </w:pPr>
            <w:r w:rsidRPr="00041EA3">
              <w:rPr>
                <w:rFonts w:ascii="Arial Narrow" w:hAnsi="Arial Narrow"/>
                <w:sz w:val="18"/>
                <w:szCs w:val="18"/>
              </w:rPr>
              <w:t>2.783</w:t>
            </w:r>
          </w:p>
        </w:tc>
        <w:tc>
          <w:tcPr>
            <w:tcW w:w="11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137.855</w:t>
            </w:r>
          </w:p>
        </w:tc>
        <w:tc>
          <w:tcPr>
            <w:tcW w:w="105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127.967</w:t>
            </w:r>
          </w:p>
        </w:tc>
        <w:tc>
          <w:tcPr>
            <w:tcW w:w="993"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127.252</w:t>
            </w:r>
          </w:p>
        </w:tc>
        <w:tc>
          <w:tcPr>
            <w:tcW w:w="91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119.149</w:t>
            </w:r>
          </w:p>
        </w:tc>
        <w:tc>
          <w:tcPr>
            <w:tcW w:w="875"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86,43</w:t>
            </w:r>
          </w:p>
        </w:tc>
        <w:tc>
          <w:tcPr>
            <w:tcW w:w="7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82.561</w:t>
            </w:r>
          </w:p>
        </w:tc>
      </w:tr>
      <w:tr w:rsidR="00041EA3" w:rsidRPr="00C47EE9" w:rsidTr="00041EA3">
        <w:trPr>
          <w:trHeight w:val="198"/>
          <w:jc w:val="center"/>
        </w:trPr>
        <w:tc>
          <w:tcPr>
            <w:tcW w:w="2184" w:type="dxa"/>
            <w:tcBorders>
              <w:top w:val="single" w:sz="2" w:space="0" w:color="auto"/>
              <w:bottom w:val="single" w:sz="2" w:space="0" w:color="auto"/>
            </w:tcBorders>
            <w:vAlign w:val="center"/>
          </w:tcPr>
          <w:p w:rsidR="00041EA3" w:rsidRPr="00C47EE9" w:rsidRDefault="00041EA3"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 xml:space="preserve">Transferencias de capital </w:t>
            </w:r>
          </w:p>
        </w:tc>
        <w:tc>
          <w:tcPr>
            <w:tcW w:w="938"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160.984</w:t>
            </w:r>
          </w:p>
        </w:tc>
        <w:tc>
          <w:tcPr>
            <w:tcW w:w="1176" w:type="dxa"/>
            <w:tcBorders>
              <w:top w:val="single" w:sz="2" w:space="0" w:color="auto"/>
              <w:bottom w:val="single" w:sz="2" w:space="0" w:color="auto"/>
            </w:tcBorders>
            <w:vAlign w:val="center"/>
          </w:tcPr>
          <w:p w:rsidR="00041EA3" w:rsidRPr="00041EA3" w:rsidRDefault="00041EA3" w:rsidP="00041EA3">
            <w:pPr>
              <w:spacing w:after="0"/>
              <w:ind w:firstLine="0"/>
              <w:jc w:val="right"/>
              <w:rPr>
                <w:rFonts w:ascii="Arial Narrow" w:hAnsi="Arial Narrow"/>
                <w:sz w:val="18"/>
                <w:szCs w:val="18"/>
              </w:rPr>
            </w:pPr>
            <w:r w:rsidRPr="00041EA3">
              <w:rPr>
                <w:rFonts w:ascii="Arial Narrow" w:hAnsi="Arial Narrow"/>
                <w:sz w:val="18"/>
                <w:szCs w:val="18"/>
              </w:rPr>
              <w:t>-5.706</w:t>
            </w:r>
          </w:p>
        </w:tc>
        <w:tc>
          <w:tcPr>
            <w:tcW w:w="11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155.279</w:t>
            </w:r>
          </w:p>
        </w:tc>
        <w:tc>
          <w:tcPr>
            <w:tcW w:w="105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125.878</w:t>
            </w:r>
          </w:p>
        </w:tc>
        <w:tc>
          <w:tcPr>
            <w:tcW w:w="993"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120.600</w:t>
            </w:r>
          </w:p>
        </w:tc>
        <w:tc>
          <w:tcPr>
            <w:tcW w:w="91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107.123</w:t>
            </w:r>
          </w:p>
        </w:tc>
        <w:tc>
          <w:tcPr>
            <w:tcW w:w="875"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68,99</w:t>
            </w:r>
          </w:p>
        </w:tc>
        <w:tc>
          <w:tcPr>
            <w:tcW w:w="7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78.583</w:t>
            </w:r>
          </w:p>
        </w:tc>
      </w:tr>
      <w:tr w:rsidR="00041EA3" w:rsidRPr="00C47EE9" w:rsidTr="00041EA3">
        <w:trPr>
          <w:trHeight w:val="198"/>
          <w:jc w:val="center"/>
        </w:trPr>
        <w:tc>
          <w:tcPr>
            <w:tcW w:w="2184" w:type="dxa"/>
            <w:tcBorders>
              <w:top w:val="single" w:sz="2" w:space="0" w:color="auto"/>
              <w:bottom w:val="single" w:sz="2" w:space="0" w:color="auto"/>
            </w:tcBorders>
            <w:vAlign w:val="center"/>
          </w:tcPr>
          <w:p w:rsidR="00041EA3" w:rsidRPr="00C47EE9" w:rsidRDefault="00041EA3"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Activos financieros</w:t>
            </w:r>
          </w:p>
        </w:tc>
        <w:tc>
          <w:tcPr>
            <w:tcW w:w="938"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36.496</w:t>
            </w:r>
          </w:p>
        </w:tc>
        <w:tc>
          <w:tcPr>
            <w:tcW w:w="1176" w:type="dxa"/>
            <w:tcBorders>
              <w:top w:val="single" w:sz="2" w:space="0" w:color="auto"/>
              <w:bottom w:val="single" w:sz="2" w:space="0" w:color="auto"/>
            </w:tcBorders>
            <w:vAlign w:val="center"/>
          </w:tcPr>
          <w:p w:rsidR="00041EA3" w:rsidRPr="00041EA3" w:rsidRDefault="00041EA3" w:rsidP="00041EA3">
            <w:pPr>
              <w:spacing w:after="0"/>
              <w:ind w:firstLine="0"/>
              <w:jc w:val="right"/>
              <w:rPr>
                <w:rFonts w:ascii="Arial Narrow" w:hAnsi="Arial Narrow"/>
                <w:sz w:val="18"/>
                <w:szCs w:val="18"/>
              </w:rPr>
            </w:pPr>
            <w:r w:rsidRPr="00041EA3">
              <w:rPr>
                <w:rFonts w:ascii="Arial Narrow" w:hAnsi="Arial Narrow"/>
                <w:sz w:val="18"/>
                <w:szCs w:val="18"/>
              </w:rPr>
              <w:t>24.504</w:t>
            </w:r>
          </w:p>
        </w:tc>
        <w:tc>
          <w:tcPr>
            <w:tcW w:w="11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61.000</w:t>
            </w:r>
          </w:p>
        </w:tc>
        <w:tc>
          <w:tcPr>
            <w:tcW w:w="105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58.929</w:t>
            </w:r>
          </w:p>
        </w:tc>
        <w:tc>
          <w:tcPr>
            <w:tcW w:w="993"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58.929</w:t>
            </w:r>
          </w:p>
        </w:tc>
        <w:tc>
          <w:tcPr>
            <w:tcW w:w="910"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58.929</w:t>
            </w:r>
          </w:p>
        </w:tc>
        <w:tc>
          <w:tcPr>
            <w:tcW w:w="875"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96,91</w:t>
            </w:r>
          </w:p>
        </w:tc>
        <w:tc>
          <w:tcPr>
            <w:tcW w:w="776" w:type="dxa"/>
            <w:tcBorders>
              <w:top w:val="single" w:sz="2" w:space="0" w:color="auto"/>
              <w:bottom w:val="single" w:sz="2"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58.929</w:t>
            </w:r>
          </w:p>
        </w:tc>
      </w:tr>
      <w:tr w:rsidR="00041EA3" w:rsidRPr="00C47EE9" w:rsidTr="00041EA3">
        <w:trPr>
          <w:trHeight w:val="198"/>
          <w:jc w:val="center"/>
        </w:trPr>
        <w:tc>
          <w:tcPr>
            <w:tcW w:w="2184" w:type="dxa"/>
            <w:tcBorders>
              <w:top w:val="single" w:sz="2" w:space="0" w:color="auto"/>
              <w:bottom w:val="single" w:sz="4" w:space="0" w:color="auto"/>
            </w:tcBorders>
            <w:vAlign w:val="center"/>
          </w:tcPr>
          <w:p w:rsidR="00041EA3" w:rsidRPr="00C47EE9" w:rsidRDefault="00041EA3"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Pasivos financieros</w:t>
            </w:r>
          </w:p>
        </w:tc>
        <w:tc>
          <w:tcPr>
            <w:tcW w:w="938" w:type="dxa"/>
            <w:tcBorders>
              <w:top w:val="single" w:sz="2" w:space="0" w:color="auto"/>
              <w:bottom w:val="single" w:sz="4"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293.930</w:t>
            </w:r>
          </w:p>
        </w:tc>
        <w:tc>
          <w:tcPr>
            <w:tcW w:w="1176" w:type="dxa"/>
            <w:tcBorders>
              <w:top w:val="single" w:sz="2" w:space="0" w:color="auto"/>
              <w:bottom w:val="single" w:sz="4" w:space="0" w:color="auto"/>
            </w:tcBorders>
            <w:vAlign w:val="center"/>
          </w:tcPr>
          <w:p w:rsidR="00041EA3" w:rsidRPr="00041EA3" w:rsidRDefault="00041EA3" w:rsidP="00041EA3">
            <w:pPr>
              <w:spacing w:after="0"/>
              <w:ind w:firstLine="0"/>
              <w:jc w:val="right"/>
              <w:rPr>
                <w:rFonts w:ascii="Arial Narrow" w:hAnsi="Arial Narrow"/>
                <w:sz w:val="18"/>
                <w:szCs w:val="18"/>
              </w:rPr>
            </w:pPr>
            <w:r w:rsidRPr="00041EA3">
              <w:rPr>
                <w:rFonts w:ascii="Arial Narrow" w:hAnsi="Arial Narrow"/>
                <w:sz w:val="18"/>
                <w:szCs w:val="18"/>
              </w:rPr>
              <w:t>0</w:t>
            </w:r>
          </w:p>
        </w:tc>
        <w:tc>
          <w:tcPr>
            <w:tcW w:w="1176" w:type="dxa"/>
            <w:tcBorders>
              <w:top w:val="single" w:sz="2" w:space="0" w:color="auto"/>
              <w:bottom w:val="single" w:sz="4"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293.930</w:t>
            </w:r>
          </w:p>
        </w:tc>
        <w:tc>
          <w:tcPr>
            <w:tcW w:w="1050" w:type="dxa"/>
            <w:tcBorders>
              <w:top w:val="single" w:sz="2" w:space="0" w:color="auto"/>
              <w:bottom w:val="single" w:sz="4"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293.930</w:t>
            </w:r>
          </w:p>
        </w:tc>
        <w:tc>
          <w:tcPr>
            <w:tcW w:w="993" w:type="dxa"/>
            <w:tcBorders>
              <w:top w:val="single" w:sz="2" w:space="0" w:color="auto"/>
              <w:bottom w:val="single" w:sz="4"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293.930</w:t>
            </w:r>
          </w:p>
        </w:tc>
        <w:tc>
          <w:tcPr>
            <w:tcW w:w="910" w:type="dxa"/>
            <w:tcBorders>
              <w:top w:val="single" w:sz="2" w:space="0" w:color="auto"/>
              <w:bottom w:val="single" w:sz="4"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293.930</w:t>
            </w:r>
          </w:p>
        </w:tc>
        <w:tc>
          <w:tcPr>
            <w:tcW w:w="875" w:type="dxa"/>
            <w:tcBorders>
              <w:top w:val="single" w:sz="2" w:space="0" w:color="auto"/>
              <w:bottom w:val="single" w:sz="4"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100,00</w:t>
            </w:r>
          </w:p>
        </w:tc>
        <w:tc>
          <w:tcPr>
            <w:tcW w:w="776" w:type="dxa"/>
            <w:tcBorders>
              <w:top w:val="single" w:sz="2" w:space="0" w:color="auto"/>
              <w:bottom w:val="single" w:sz="4" w:space="0" w:color="auto"/>
            </w:tcBorders>
            <w:vAlign w:val="center"/>
          </w:tcPr>
          <w:p w:rsidR="00041EA3" w:rsidRPr="00C47EE9" w:rsidRDefault="00041EA3" w:rsidP="00C47EE9">
            <w:pPr>
              <w:spacing w:after="0"/>
              <w:ind w:firstLine="0"/>
              <w:jc w:val="right"/>
              <w:rPr>
                <w:rFonts w:ascii="Arial Narrow" w:hAnsi="Arial Narrow"/>
                <w:sz w:val="18"/>
                <w:szCs w:val="18"/>
              </w:rPr>
            </w:pPr>
            <w:r w:rsidRPr="00C47EE9">
              <w:rPr>
                <w:rFonts w:ascii="Arial Narrow" w:hAnsi="Arial Narrow"/>
                <w:sz w:val="18"/>
                <w:szCs w:val="18"/>
              </w:rPr>
              <w:t>293.930</w:t>
            </w:r>
          </w:p>
        </w:tc>
      </w:tr>
      <w:tr w:rsidR="00041EA3" w:rsidRPr="00C47EE9" w:rsidTr="00041EA3">
        <w:trPr>
          <w:trHeight w:val="255"/>
          <w:jc w:val="center"/>
        </w:trPr>
        <w:tc>
          <w:tcPr>
            <w:tcW w:w="2184" w:type="dxa"/>
            <w:tcBorders>
              <w:bottom w:val="single" w:sz="4" w:space="0" w:color="auto"/>
            </w:tcBorders>
            <w:shd w:val="clear" w:color="auto" w:fill="8DB3E2" w:themeFill="text2" w:themeFillTint="66"/>
            <w:vAlign w:val="center"/>
          </w:tcPr>
          <w:p w:rsidR="00041EA3" w:rsidRPr="00C47EE9" w:rsidRDefault="00041EA3" w:rsidP="00C47EE9">
            <w:pPr>
              <w:keepLines/>
              <w:tabs>
                <w:tab w:val="right" w:pos="2835"/>
                <w:tab w:val="right" w:pos="3969"/>
                <w:tab w:val="right" w:pos="5103"/>
                <w:tab w:val="right" w:pos="6237"/>
                <w:tab w:val="right" w:pos="7371"/>
              </w:tabs>
              <w:spacing w:after="0"/>
              <w:ind w:firstLine="0"/>
              <w:rPr>
                <w:rFonts w:ascii="Arial" w:hAnsi="Arial"/>
                <w:spacing w:val="6"/>
                <w:sz w:val="16"/>
                <w:szCs w:val="16"/>
                <w:lang w:val="es-ES"/>
              </w:rPr>
            </w:pPr>
            <w:r w:rsidRPr="00C47EE9">
              <w:rPr>
                <w:rFonts w:ascii="Arial" w:hAnsi="Arial"/>
                <w:spacing w:val="6"/>
                <w:sz w:val="16"/>
                <w:szCs w:val="16"/>
                <w:lang w:val="es-ES"/>
              </w:rPr>
              <w:t>Total</w:t>
            </w:r>
          </w:p>
        </w:tc>
        <w:tc>
          <w:tcPr>
            <w:tcW w:w="938" w:type="dxa"/>
            <w:tcBorders>
              <w:bottom w:val="single" w:sz="4" w:space="0" w:color="auto"/>
            </w:tcBorders>
            <w:shd w:val="clear" w:color="auto" w:fill="8DB3E2" w:themeFill="text2" w:themeFillTint="66"/>
            <w:vAlign w:val="center"/>
          </w:tcPr>
          <w:p w:rsidR="00041EA3" w:rsidRPr="00C47EE9" w:rsidRDefault="00041EA3" w:rsidP="00C47EE9">
            <w:pPr>
              <w:spacing w:after="0"/>
              <w:ind w:firstLine="0"/>
              <w:jc w:val="right"/>
              <w:rPr>
                <w:rFonts w:ascii="Arial" w:hAnsi="Arial" w:cs="Arial"/>
                <w:sz w:val="16"/>
                <w:szCs w:val="16"/>
              </w:rPr>
            </w:pPr>
            <w:r w:rsidRPr="00C47EE9">
              <w:rPr>
                <w:rFonts w:ascii="Arial" w:hAnsi="Arial" w:cs="Arial"/>
                <w:sz w:val="16"/>
                <w:szCs w:val="16"/>
              </w:rPr>
              <w:t>4.061.878</w:t>
            </w:r>
          </w:p>
        </w:tc>
        <w:tc>
          <w:tcPr>
            <w:tcW w:w="1176" w:type="dxa"/>
            <w:tcBorders>
              <w:bottom w:val="single" w:sz="4" w:space="0" w:color="auto"/>
            </w:tcBorders>
            <w:shd w:val="clear" w:color="auto" w:fill="8DB3E2" w:themeFill="text2" w:themeFillTint="66"/>
            <w:vAlign w:val="center"/>
          </w:tcPr>
          <w:p w:rsidR="00041EA3" w:rsidRPr="00041EA3" w:rsidRDefault="00041EA3" w:rsidP="00041EA3">
            <w:pPr>
              <w:spacing w:after="0"/>
              <w:ind w:firstLine="0"/>
              <w:jc w:val="right"/>
              <w:rPr>
                <w:rFonts w:ascii="Arial" w:hAnsi="Arial" w:cs="Arial"/>
                <w:sz w:val="16"/>
                <w:szCs w:val="16"/>
              </w:rPr>
            </w:pPr>
            <w:r w:rsidRPr="00041EA3">
              <w:rPr>
                <w:rFonts w:ascii="Arial" w:hAnsi="Arial" w:cs="Arial"/>
                <w:sz w:val="16"/>
                <w:szCs w:val="16"/>
              </w:rPr>
              <w:t>88.853</w:t>
            </w:r>
          </w:p>
        </w:tc>
        <w:tc>
          <w:tcPr>
            <w:tcW w:w="1176" w:type="dxa"/>
            <w:tcBorders>
              <w:bottom w:val="single" w:sz="4" w:space="0" w:color="auto"/>
            </w:tcBorders>
            <w:shd w:val="clear" w:color="auto" w:fill="8DB3E2" w:themeFill="text2" w:themeFillTint="66"/>
            <w:vAlign w:val="center"/>
          </w:tcPr>
          <w:p w:rsidR="00041EA3" w:rsidRPr="00C47EE9" w:rsidRDefault="00041EA3" w:rsidP="00041EA3">
            <w:pPr>
              <w:spacing w:after="0"/>
              <w:ind w:firstLine="0"/>
              <w:jc w:val="right"/>
              <w:rPr>
                <w:rFonts w:ascii="Arial" w:hAnsi="Arial" w:cs="Arial"/>
                <w:sz w:val="16"/>
                <w:szCs w:val="16"/>
              </w:rPr>
            </w:pPr>
            <w:r w:rsidRPr="00C47EE9">
              <w:rPr>
                <w:rFonts w:ascii="Arial" w:hAnsi="Arial" w:cs="Arial"/>
                <w:sz w:val="16"/>
                <w:szCs w:val="16"/>
              </w:rPr>
              <w:t>4.150.73</w:t>
            </w:r>
            <w:r>
              <w:rPr>
                <w:rFonts w:ascii="Arial" w:hAnsi="Arial" w:cs="Arial"/>
                <w:sz w:val="16"/>
                <w:szCs w:val="16"/>
              </w:rPr>
              <w:t>1</w:t>
            </w:r>
          </w:p>
        </w:tc>
        <w:tc>
          <w:tcPr>
            <w:tcW w:w="1050" w:type="dxa"/>
            <w:tcBorders>
              <w:bottom w:val="single" w:sz="4" w:space="0" w:color="auto"/>
            </w:tcBorders>
            <w:shd w:val="clear" w:color="auto" w:fill="8DB3E2" w:themeFill="text2" w:themeFillTint="66"/>
            <w:vAlign w:val="center"/>
          </w:tcPr>
          <w:p w:rsidR="00041EA3" w:rsidRPr="00C47EE9" w:rsidRDefault="00041EA3" w:rsidP="00C47EE9">
            <w:pPr>
              <w:spacing w:after="0"/>
              <w:ind w:firstLine="0"/>
              <w:jc w:val="right"/>
              <w:rPr>
                <w:rFonts w:ascii="Arial" w:hAnsi="Arial" w:cs="Arial"/>
                <w:sz w:val="16"/>
                <w:szCs w:val="16"/>
              </w:rPr>
            </w:pPr>
            <w:r w:rsidRPr="00C47EE9">
              <w:rPr>
                <w:rFonts w:ascii="Arial" w:hAnsi="Arial" w:cs="Arial"/>
                <w:sz w:val="16"/>
                <w:szCs w:val="16"/>
              </w:rPr>
              <w:t>4.038.789</w:t>
            </w:r>
          </w:p>
        </w:tc>
        <w:tc>
          <w:tcPr>
            <w:tcW w:w="993" w:type="dxa"/>
            <w:tcBorders>
              <w:bottom w:val="single" w:sz="4" w:space="0" w:color="auto"/>
            </w:tcBorders>
            <w:shd w:val="clear" w:color="auto" w:fill="8DB3E2" w:themeFill="text2" w:themeFillTint="66"/>
            <w:vAlign w:val="center"/>
          </w:tcPr>
          <w:p w:rsidR="00041EA3" w:rsidRPr="00C47EE9" w:rsidRDefault="00041EA3" w:rsidP="00C47EE9">
            <w:pPr>
              <w:spacing w:after="0"/>
              <w:ind w:firstLine="0"/>
              <w:jc w:val="right"/>
              <w:rPr>
                <w:rFonts w:ascii="Arial" w:hAnsi="Arial" w:cs="Arial"/>
                <w:sz w:val="16"/>
                <w:szCs w:val="16"/>
              </w:rPr>
            </w:pPr>
            <w:r w:rsidRPr="00C47EE9">
              <w:rPr>
                <w:rFonts w:ascii="Arial" w:hAnsi="Arial" w:cs="Arial"/>
                <w:sz w:val="16"/>
                <w:szCs w:val="16"/>
              </w:rPr>
              <w:t>4.022.142</w:t>
            </w:r>
          </w:p>
        </w:tc>
        <w:tc>
          <w:tcPr>
            <w:tcW w:w="910" w:type="dxa"/>
            <w:tcBorders>
              <w:bottom w:val="single" w:sz="4" w:space="0" w:color="auto"/>
            </w:tcBorders>
            <w:shd w:val="clear" w:color="auto" w:fill="8DB3E2" w:themeFill="text2" w:themeFillTint="66"/>
            <w:vAlign w:val="center"/>
          </w:tcPr>
          <w:p w:rsidR="00041EA3" w:rsidRPr="00C47EE9" w:rsidRDefault="00041EA3" w:rsidP="00C47EE9">
            <w:pPr>
              <w:spacing w:after="0"/>
              <w:ind w:firstLine="0"/>
              <w:jc w:val="right"/>
              <w:rPr>
                <w:rFonts w:ascii="Arial" w:hAnsi="Arial" w:cs="Arial"/>
                <w:sz w:val="16"/>
                <w:szCs w:val="16"/>
              </w:rPr>
            </w:pPr>
            <w:r w:rsidRPr="00C47EE9">
              <w:rPr>
                <w:rFonts w:ascii="Arial" w:hAnsi="Arial" w:cs="Arial"/>
                <w:sz w:val="16"/>
                <w:szCs w:val="16"/>
              </w:rPr>
              <w:t>3.983.755</w:t>
            </w:r>
          </w:p>
        </w:tc>
        <w:tc>
          <w:tcPr>
            <w:tcW w:w="875" w:type="dxa"/>
            <w:tcBorders>
              <w:bottom w:val="single" w:sz="4" w:space="0" w:color="auto"/>
            </w:tcBorders>
            <w:shd w:val="clear" w:color="auto" w:fill="8DB3E2" w:themeFill="text2" w:themeFillTint="66"/>
            <w:vAlign w:val="center"/>
          </w:tcPr>
          <w:p w:rsidR="00041EA3" w:rsidRPr="00C47EE9" w:rsidRDefault="00041EA3" w:rsidP="00C47EE9">
            <w:pPr>
              <w:spacing w:after="0"/>
              <w:ind w:firstLine="0"/>
              <w:jc w:val="right"/>
              <w:rPr>
                <w:rFonts w:ascii="Arial" w:hAnsi="Arial" w:cs="Arial"/>
                <w:sz w:val="16"/>
                <w:szCs w:val="16"/>
              </w:rPr>
            </w:pPr>
            <w:r w:rsidRPr="00C47EE9">
              <w:rPr>
                <w:rFonts w:ascii="Arial" w:hAnsi="Arial" w:cs="Arial"/>
                <w:sz w:val="16"/>
                <w:szCs w:val="16"/>
              </w:rPr>
              <w:t>95,98</w:t>
            </w:r>
          </w:p>
        </w:tc>
        <w:tc>
          <w:tcPr>
            <w:tcW w:w="776" w:type="dxa"/>
            <w:tcBorders>
              <w:bottom w:val="single" w:sz="4" w:space="0" w:color="auto"/>
            </w:tcBorders>
            <w:shd w:val="clear" w:color="auto" w:fill="8DB3E2" w:themeFill="text2" w:themeFillTint="66"/>
            <w:vAlign w:val="center"/>
          </w:tcPr>
          <w:p w:rsidR="00041EA3" w:rsidRPr="00C47EE9" w:rsidRDefault="00041EA3" w:rsidP="00C47EE9">
            <w:pPr>
              <w:spacing w:after="0"/>
              <w:ind w:firstLine="0"/>
              <w:jc w:val="right"/>
              <w:rPr>
                <w:rFonts w:ascii="Arial" w:hAnsi="Arial" w:cs="Arial"/>
                <w:sz w:val="16"/>
                <w:szCs w:val="16"/>
              </w:rPr>
            </w:pPr>
            <w:r w:rsidRPr="00C47EE9">
              <w:rPr>
                <w:rFonts w:ascii="Arial" w:hAnsi="Arial" w:cs="Arial"/>
                <w:sz w:val="16"/>
                <w:szCs w:val="16"/>
              </w:rPr>
              <w:t>3.837.926</w:t>
            </w:r>
          </w:p>
        </w:tc>
      </w:tr>
    </w:tbl>
    <w:p w:rsidR="00C47EE9" w:rsidRPr="00C47EE9" w:rsidRDefault="00C47EE9" w:rsidP="00C47EE9">
      <w:pPr>
        <w:tabs>
          <w:tab w:val="center" w:pos="2835"/>
          <w:tab w:val="center" w:pos="3969"/>
          <w:tab w:val="center" w:pos="5103"/>
          <w:tab w:val="center" w:pos="6237"/>
          <w:tab w:val="center" w:pos="7371"/>
        </w:tabs>
        <w:ind w:firstLine="284"/>
        <w:rPr>
          <w:spacing w:val="6"/>
          <w:sz w:val="26"/>
          <w:szCs w:val="24"/>
          <w:lang w:eastAsia="es-ES"/>
        </w:rPr>
      </w:pPr>
    </w:p>
    <w:p w:rsidR="00C47EE9" w:rsidRPr="00C47EE9" w:rsidRDefault="00C47EE9" w:rsidP="00C47EE9">
      <w:pPr>
        <w:ind w:firstLine="0"/>
        <w:jc w:val="center"/>
        <w:outlineLvl w:val="0"/>
        <w:rPr>
          <w:rFonts w:ascii="Arial" w:hAnsi="Arial" w:cs="Arial"/>
        </w:rPr>
      </w:pPr>
      <w:r w:rsidRPr="00C47EE9">
        <w:rPr>
          <w:rFonts w:ascii="Arial" w:hAnsi="Arial" w:cs="Arial"/>
        </w:rPr>
        <w:t>Liquidación del presupuesto de ingresos de 2017, por capítulos económicos</w:t>
      </w:r>
    </w:p>
    <w:p w:rsidR="00C47EE9" w:rsidRPr="00C47EE9" w:rsidRDefault="00C47EE9" w:rsidP="00C47EE9">
      <w:pPr>
        <w:suppressAutoHyphens/>
        <w:spacing w:after="60"/>
        <w:ind w:firstLine="0"/>
        <w:jc w:val="right"/>
        <w:rPr>
          <w:rFonts w:ascii="Arial" w:hAnsi="Arial"/>
          <w:spacing w:val="6"/>
          <w:sz w:val="17"/>
          <w:szCs w:val="17"/>
        </w:rPr>
      </w:pPr>
      <w:r w:rsidRPr="00C47EE9">
        <w:rPr>
          <w:rFonts w:ascii="Arial" w:hAnsi="Arial"/>
          <w:spacing w:val="6"/>
          <w:sz w:val="17"/>
          <w:szCs w:val="17"/>
        </w:rPr>
        <w:t>(en miles de euros)</w:t>
      </w:r>
    </w:p>
    <w:tbl>
      <w:tblPr>
        <w:tblW w:w="10237"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643"/>
        <w:gridCol w:w="1265"/>
        <w:gridCol w:w="1266"/>
        <w:gridCol w:w="1266"/>
        <w:gridCol w:w="1265"/>
        <w:gridCol w:w="1266"/>
        <w:gridCol w:w="1266"/>
      </w:tblGrid>
      <w:tr w:rsidR="006A6302" w:rsidRPr="00C47EE9" w:rsidTr="00E1691A">
        <w:trPr>
          <w:trHeight w:val="255"/>
          <w:jc w:val="center"/>
        </w:trPr>
        <w:tc>
          <w:tcPr>
            <w:tcW w:w="2643" w:type="dxa"/>
            <w:tcBorders>
              <w:bottom w:val="single" w:sz="4" w:space="0" w:color="auto"/>
            </w:tcBorders>
            <w:shd w:val="clear" w:color="auto" w:fill="8DB3E2" w:themeFill="text2" w:themeFillTint="66"/>
            <w:vAlign w:val="center"/>
          </w:tcPr>
          <w:p w:rsidR="006A6302" w:rsidRPr="00C47EE9" w:rsidRDefault="006A6302" w:rsidP="00C47EE9">
            <w:pPr>
              <w:keepLines/>
              <w:tabs>
                <w:tab w:val="right" w:pos="2835"/>
                <w:tab w:val="right" w:pos="3969"/>
                <w:tab w:val="right" w:pos="5103"/>
                <w:tab w:val="right" w:pos="6237"/>
                <w:tab w:val="right" w:pos="7371"/>
              </w:tabs>
              <w:spacing w:after="0"/>
              <w:ind w:firstLine="0"/>
              <w:rPr>
                <w:rFonts w:ascii="Arial" w:hAnsi="Arial"/>
                <w:spacing w:val="6"/>
                <w:sz w:val="16"/>
                <w:szCs w:val="16"/>
              </w:rPr>
            </w:pPr>
            <w:r w:rsidRPr="00C47EE9">
              <w:rPr>
                <w:rFonts w:ascii="Arial" w:hAnsi="Arial"/>
                <w:spacing w:val="6"/>
                <w:sz w:val="16"/>
                <w:szCs w:val="16"/>
              </w:rPr>
              <w:t>Capítulo económico</w:t>
            </w:r>
          </w:p>
        </w:tc>
        <w:tc>
          <w:tcPr>
            <w:tcW w:w="1265" w:type="dxa"/>
            <w:tcBorders>
              <w:bottom w:val="single" w:sz="4" w:space="0" w:color="auto"/>
            </w:tcBorders>
            <w:shd w:val="clear" w:color="auto" w:fill="8DB3E2" w:themeFill="text2" w:themeFillTint="66"/>
            <w:vAlign w:val="center"/>
          </w:tcPr>
          <w:p w:rsidR="006A6302" w:rsidRPr="00C47EE9" w:rsidRDefault="006A6302"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C47EE9">
              <w:rPr>
                <w:rFonts w:ascii="Arial" w:hAnsi="Arial"/>
                <w:spacing w:val="6"/>
                <w:sz w:val="16"/>
                <w:szCs w:val="16"/>
              </w:rPr>
              <w:t>Presupuesto</w:t>
            </w:r>
          </w:p>
          <w:p w:rsidR="006A6302" w:rsidRPr="00C47EE9" w:rsidRDefault="006A6302"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C47EE9">
              <w:rPr>
                <w:rFonts w:ascii="Arial" w:hAnsi="Arial"/>
                <w:spacing w:val="6"/>
                <w:sz w:val="16"/>
                <w:szCs w:val="16"/>
              </w:rPr>
              <w:t>inicial</w:t>
            </w:r>
          </w:p>
        </w:tc>
        <w:tc>
          <w:tcPr>
            <w:tcW w:w="1266" w:type="dxa"/>
            <w:tcBorders>
              <w:bottom w:val="single" w:sz="4" w:space="0" w:color="auto"/>
            </w:tcBorders>
            <w:shd w:val="clear" w:color="auto" w:fill="8DB3E2" w:themeFill="text2" w:themeFillTint="66"/>
            <w:vAlign w:val="center"/>
          </w:tcPr>
          <w:p w:rsidR="006A6302" w:rsidRPr="00C47EE9" w:rsidRDefault="006A6302" w:rsidP="00E1691A">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roofErr w:type="spellStart"/>
            <w:r>
              <w:rPr>
                <w:rFonts w:ascii="Arial" w:hAnsi="Arial"/>
                <w:spacing w:val="6"/>
                <w:sz w:val="16"/>
                <w:szCs w:val="16"/>
              </w:rPr>
              <w:t>Modificac</w:t>
            </w:r>
            <w:proofErr w:type="spellEnd"/>
            <w:r>
              <w:rPr>
                <w:rFonts w:ascii="Arial" w:hAnsi="Arial"/>
                <w:spacing w:val="6"/>
                <w:sz w:val="16"/>
                <w:szCs w:val="16"/>
              </w:rPr>
              <w:t>.</w:t>
            </w:r>
          </w:p>
        </w:tc>
        <w:tc>
          <w:tcPr>
            <w:tcW w:w="1266" w:type="dxa"/>
            <w:tcBorders>
              <w:bottom w:val="single" w:sz="4" w:space="0" w:color="auto"/>
            </w:tcBorders>
            <w:shd w:val="clear" w:color="auto" w:fill="8DB3E2" w:themeFill="text2" w:themeFillTint="66"/>
            <w:vAlign w:val="center"/>
          </w:tcPr>
          <w:p w:rsidR="006A6302" w:rsidRPr="00C47EE9" w:rsidRDefault="006A6302"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C47EE9">
              <w:rPr>
                <w:rFonts w:ascii="Arial" w:hAnsi="Arial"/>
                <w:spacing w:val="6"/>
                <w:sz w:val="16"/>
                <w:szCs w:val="16"/>
              </w:rPr>
              <w:t>Presupuesto</w:t>
            </w:r>
          </w:p>
          <w:p w:rsidR="006A6302" w:rsidRPr="00C47EE9" w:rsidRDefault="006A6302"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C47EE9">
              <w:rPr>
                <w:rFonts w:ascii="Arial" w:hAnsi="Arial"/>
                <w:spacing w:val="6"/>
                <w:sz w:val="16"/>
                <w:szCs w:val="16"/>
              </w:rPr>
              <w:t>Definitivo</w:t>
            </w:r>
          </w:p>
        </w:tc>
        <w:tc>
          <w:tcPr>
            <w:tcW w:w="1265" w:type="dxa"/>
            <w:tcBorders>
              <w:bottom w:val="single" w:sz="4" w:space="0" w:color="auto"/>
            </w:tcBorders>
            <w:shd w:val="clear" w:color="auto" w:fill="8DB3E2" w:themeFill="text2" w:themeFillTint="66"/>
            <w:vAlign w:val="center"/>
          </w:tcPr>
          <w:p w:rsidR="006A6302" w:rsidRPr="00C47EE9" w:rsidRDefault="006A6302"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C47EE9">
              <w:rPr>
                <w:rFonts w:ascii="Arial" w:hAnsi="Arial"/>
                <w:spacing w:val="6"/>
                <w:sz w:val="16"/>
                <w:szCs w:val="16"/>
              </w:rPr>
              <w:t>Derechos</w:t>
            </w:r>
          </w:p>
          <w:p w:rsidR="006A6302" w:rsidRPr="00C47EE9" w:rsidRDefault="006A6302"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C47EE9">
              <w:rPr>
                <w:rFonts w:ascii="Arial" w:hAnsi="Arial"/>
                <w:spacing w:val="6"/>
                <w:sz w:val="16"/>
                <w:szCs w:val="16"/>
              </w:rPr>
              <w:t xml:space="preserve"> </w:t>
            </w:r>
            <w:proofErr w:type="spellStart"/>
            <w:r w:rsidRPr="00C47EE9">
              <w:rPr>
                <w:rFonts w:ascii="Arial" w:hAnsi="Arial"/>
                <w:spacing w:val="6"/>
                <w:sz w:val="16"/>
                <w:szCs w:val="16"/>
              </w:rPr>
              <w:t>recon</w:t>
            </w:r>
            <w:proofErr w:type="spellEnd"/>
            <w:r w:rsidRPr="00C47EE9">
              <w:rPr>
                <w:rFonts w:ascii="Arial" w:hAnsi="Arial"/>
                <w:spacing w:val="6"/>
                <w:sz w:val="16"/>
                <w:szCs w:val="16"/>
              </w:rPr>
              <w:t>. netos</w:t>
            </w:r>
          </w:p>
        </w:tc>
        <w:tc>
          <w:tcPr>
            <w:tcW w:w="1266" w:type="dxa"/>
            <w:tcBorders>
              <w:bottom w:val="single" w:sz="4" w:space="0" w:color="auto"/>
            </w:tcBorders>
            <w:shd w:val="clear" w:color="auto" w:fill="8DB3E2" w:themeFill="text2" w:themeFillTint="66"/>
            <w:vAlign w:val="center"/>
          </w:tcPr>
          <w:p w:rsidR="006A6302" w:rsidRPr="00C47EE9" w:rsidRDefault="006A6302" w:rsidP="00C47EE9">
            <w:pPr>
              <w:keepLines/>
              <w:tabs>
                <w:tab w:val="right" w:pos="2835"/>
                <w:tab w:val="right" w:pos="3969"/>
                <w:tab w:val="right" w:pos="5103"/>
                <w:tab w:val="right" w:pos="6237"/>
                <w:tab w:val="right" w:pos="7371"/>
              </w:tabs>
              <w:spacing w:after="0"/>
              <w:ind w:right="-30" w:firstLine="0"/>
              <w:jc w:val="right"/>
              <w:rPr>
                <w:rFonts w:ascii="Arial" w:hAnsi="Arial"/>
                <w:spacing w:val="6"/>
                <w:sz w:val="16"/>
                <w:szCs w:val="16"/>
              </w:rPr>
            </w:pPr>
            <w:r w:rsidRPr="00C47EE9">
              <w:rPr>
                <w:rFonts w:ascii="Arial" w:hAnsi="Arial"/>
                <w:spacing w:val="6"/>
                <w:sz w:val="16"/>
                <w:szCs w:val="16"/>
              </w:rPr>
              <w:t xml:space="preserve">% </w:t>
            </w:r>
          </w:p>
          <w:p w:rsidR="006A6302" w:rsidRPr="00C47EE9" w:rsidRDefault="006A6302" w:rsidP="00C47EE9">
            <w:pPr>
              <w:keepLines/>
              <w:tabs>
                <w:tab w:val="right" w:pos="2835"/>
                <w:tab w:val="right" w:pos="3969"/>
                <w:tab w:val="right" w:pos="5103"/>
                <w:tab w:val="right" w:pos="6237"/>
                <w:tab w:val="right" w:pos="7371"/>
              </w:tabs>
              <w:spacing w:after="0"/>
              <w:ind w:right="-30" w:firstLine="0"/>
              <w:jc w:val="right"/>
              <w:rPr>
                <w:rFonts w:ascii="Arial" w:hAnsi="Arial"/>
                <w:spacing w:val="6"/>
                <w:sz w:val="16"/>
                <w:szCs w:val="16"/>
              </w:rPr>
            </w:pPr>
            <w:r w:rsidRPr="00C47EE9">
              <w:rPr>
                <w:rFonts w:ascii="Arial" w:hAnsi="Arial"/>
                <w:spacing w:val="6"/>
                <w:sz w:val="16"/>
                <w:szCs w:val="16"/>
              </w:rPr>
              <w:t>ejecución</w:t>
            </w:r>
          </w:p>
        </w:tc>
        <w:tc>
          <w:tcPr>
            <w:tcW w:w="1266" w:type="dxa"/>
            <w:tcBorders>
              <w:bottom w:val="single" w:sz="4" w:space="0" w:color="auto"/>
            </w:tcBorders>
            <w:shd w:val="clear" w:color="auto" w:fill="8DB3E2" w:themeFill="text2" w:themeFillTint="66"/>
            <w:vAlign w:val="center"/>
          </w:tcPr>
          <w:p w:rsidR="006A6302" w:rsidRPr="00C47EE9" w:rsidRDefault="006A6302" w:rsidP="00C47EE9">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C47EE9">
              <w:rPr>
                <w:rFonts w:ascii="Arial" w:hAnsi="Arial"/>
                <w:spacing w:val="6"/>
                <w:sz w:val="16"/>
                <w:szCs w:val="16"/>
              </w:rPr>
              <w:t>Recaudación neta</w:t>
            </w:r>
          </w:p>
        </w:tc>
      </w:tr>
      <w:tr w:rsidR="006A6302" w:rsidRPr="00C47EE9" w:rsidTr="006A6302">
        <w:trPr>
          <w:trHeight w:val="198"/>
          <w:jc w:val="center"/>
        </w:trPr>
        <w:tc>
          <w:tcPr>
            <w:tcW w:w="2643" w:type="dxa"/>
            <w:tcBorders>
              <w:top w:val="single" w:sz="4" w:space="0" w:color="auto"/>
              <w:bottom w:val="single" w:sz="2" w:space="0" w:color="auto"/>
            </w:tcBorders>
            <w:vAlign w:val="center"/>
          </w:tcPr>
          <w:p w:rsidR="006A6302" w:rsidRPr="00C47EE9" w:rsidRDefault="006A6302"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Impuestos directos</w:t>
            </w:r>
          </w:p>
        </w:tc>
        <w:tc>
          <w:tcPr>
            <w:tcW w:w="1265" w:type="dxa"/>
            <w:tcBorders>
              <w:top w:val="single" w:sz="4"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1.620.425</w:t>
            </w:r>
          </w:p>
        </w:tc>
        <w:tc>
          <w:tcPr>
            <w:tcW w:w="1266" w:type="dxa"/>
            <w:tcBorders>
              <w:top w:val="single" w:sz="4" w:space="0" w:color="auto"/>
              <w:bottom w:val="single" w:sz="2" w:space="0" w:color="auto"/>
            </w:tcBorders>
            <w:vAlign w:val="center"/>
          </w:tcPr>
          <w:p w:rsidR="006A6302" w:rsidRPr="006A6302" w:rsidRDefault="006A6302" w:rsidP="006A6302">
            <w:pPr>
              <w:spacing w:after="0"/>
              <w:ind w:firstLine="0"/>
              <w:jc w:val="right"/>
              <w:rPr>
                <w:rFonts w:ascii="Arial Narrow" w:hAnsi="Arial Narrow"/>
                <w:sz w:val="18"/>
                <w:szCs w:val="18"/>
              </w:rPr>
            </w:pPr>
            <w:r w:rsidRPr="006A6302">
              <w:rPr>
                <w:rFonts w:ascii="Arial Narrow" w:hAnsi="Arial Narrow"/>
                <w:sz w:val="18"/>
                <w:szCs w:val="18"/>
              </w:rPr>
              <w:t>25.000</w:t>
            </w:r>
          </w:p>
        </w:tc>
        <w:tc>
          <w:tcPr>
            <w:tcW w:w="1266" w:type="dxa"/>
            <w:tcBorders>
              <w:top w:val="single" w:sz="4"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1.645.425</w:t>
            </w:r>
          </w:p>
        </w:tc>
        <w:tc>
          <w:tcPr>
            <w:tcW w:w="1265" w:type="dxa"/>
            <w:tcBorders>
              <w:top w:val="single" w:sz="4"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1.726.012</w:t>
            </w:r>
          </w:p>
        </w:tc>
        <w:tc>
          <w:tcPr>
            <w:tcW w:w="1266" w:type="dxa"/>
            <w:tcBorders>
              <w:top w:val="single" w:sz="4"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104,90</w:t>
            </w:r>
          </w:p>
        </w:tc>
        <w:tc>
          <w:tcPr>
            <w:tcW w:w="1266" w:type="dxa"/>
            <w:tcBorders>
              <w:top w:val="single" w:sz="4"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1.673.671</w:t>
            </w:r>
          </w:p>
        </w:tc>
      </w:tr>
      <w:tr w:rsidR="006A6302" w:rsidRPr="00C47EE9" w:rsidTr="006A6302">
        <w:trPr>
          <w:trHeight w:val="198"/>
          <w:jc w:val="center"/>
        </w:trPr>
        <w:tc>
          <w:tcPr>
            <w:tcW w:w="2643" w:type="dxa"/>
            <w:tcBorders>
              <w:top w:val="single" w:sz="2" w:space="0" w:color="auto"/>
              <w:bottom w:val="single" w:sz="2" w:space="0" w:color="auto"/>
            </w:tcBorders>
            <w:vAlign w:val="center"/>
          </w:tcPr>
          <w:p w:rsidR="006A6302" w:rsidRPr="00C47EE9" w:rsidRDefault="006A6302"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Impuestos indirectos</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1.838.380</w:t>
            </w:r>
          </w:p>
        </w:tc>
        <w:tc>
          <w:tcPr>
            <w:tcW w:w="1266" w:type="dxa"/>
            <w:tcBorders>
              <w:top w:val="single" w:sz="2" w:space="0" w:color="auto"/>
              <w:bottom w:val="single" w:sz="2" w:space="0" w:color="auto"/>
            </w:tcBorders>
            <w:vAlign w:val="center"/>
          </w:tcPr>
          <w:p w:rsidR="006A6302" w:rsidRPr="006A6302" w:rsidRDefault="006A6302" w:rsidP="006A6302">
            <w:pPr>
              <w:spacing w:after="0"/>
              <w:ind w:firstLine="0"/>
              <w:jc w:val="right"/>
              <w:rPr>
                <w:rFonts w:ascii="Arial Narrow" w:hAnsi="Arial Narrow"/>
                <w:sz w:val="18"/>
                <w:szCs w:val="18"/>
              </w:rPr>
            </w:pPr>
            <w:r w:rsidRPr="006A6302">
              <w:rPr>
                <w:rFonts w:ascii="Arial Narrow" w:hAnsi="Arial Narrow"/>
                <w:sz w:val="18"/>
                <w:szCs w:val="18"/>
              </w:rPr>
              <w:t>0</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1.838.380</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1.932.392</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105,11</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1.930.736</w:t>
            </w:r>
          </w:p>
        </w:tc>
      </w:tr>
      <w:tr w:rsidR="006A6302" w:rsidRPr="00C47EE9" w:rsidTr="006A6302">
        <w:trPr>
          <w:trHeight w:val="198"/>
          <w:jc w:val="center"/>
        </w:trPr>
        <w:tc>
          <w:tcPr>
            <w:tcW w:w="2643" w:type="dxa"/>
            <w:tcBorders>
              <w:top w:val="single" w:sz="2" w:space="0" w:color="auto"/>
              <w:bottom w:val="single" w:sz="2" w:space="0" w:color="auto"/>
            </w:tcBorders>
            <w:vAlign w:val="center"/>
          </w:tcPr>
          <w:p w:rsidR="006A6302" w:rsidRPr="00C47EE9" w:rsidRDefault="006A6302"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Tasas, precios públicos y otros</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94.180</w:t>
            </w:r>
          </w:p>
        </w:tc>
        <w:tc>
          <w:tcPr>
            <w:tcW w:w="1266" w:type="dxa"/>
            <w:tcBorders>
              <w:top w:val="single" w:sz="2" w:space="0" w:color="auto"/>
              <w:bottom w:val="single" w:sz="2" w:space="0" w:color="auto"/>
            </w:tcBorders>
            <w:vAlign w:val="center"/>
          </w:tcPr>
          <w:p w:rsidR="006A6302" w:rsidRPr="006A6302" w:rsidRDefault="006A6302" w:rsidP="006A6302">
            <w:pPr>
              <w:spacing w:after="0"/>
              <w:ind w:firstLine="0"/>
              <w:jc w:val="right"/>
              <w:rPr>
                <w:rFonts w:ascii="Arial Narrow" w:hAnsi="Arial Narrow"/>
                <w:sz w:val="18"/>
                <w:szCs w:val="18"/>
              </w:rPr>
            </w:pPr>
            <w:r w:rsidRPr="006A6302">
              <w:rPr>
                <w:rFonts w:ascii="Arial Narrow" w:hAnsi="Arial Narrow"/>
                <w:sz w:val="18"/>
                <w:szCs w:val="18"/>
              </w:rPr>
              <w:t>1.590</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95.771</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124.001</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129,48</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92.773</w:t>
            </w:r>
          </w:p>
        </w:tc>
      </w:tr>
      <w:tr w:rsidR="006A6302" w:rsidRPr="00C47EE9" w:rsidTr="006A6302">
        <w:trPr>
          <w:trHeight w:val="198"/>
          <w:jc w:val="center"/>
        </w:trPr>
        <w:tc>
          <w:tcPr>
            <w:tcW w:w="2643" w:type="dxa"/>
            <w:tcBorders>
              <w:top w:val="single" w:sz="2" w:space="0" w:color="auto"/>
              <w:bottom w:val="single" w:sz="2" w:space="0" w:color="auto"/>
            </w:tcBorders>
            <w:vAlign w:val="center"/>
          </w:tcPr>
          <w:p w:rsidR="006A6302" w:rsidRPr="00C47EE9" w:rsidRDefault="006A6302"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Transferencias corrientes</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42.654</w:t>
            </w:r>
          </w:p>
        </w:tc>
        <w:tc>
          <w:tcPr>
            <w:tcW w:w="1266" w:type="dxa"/>
            <w:tcBorders>
              <w:top w:val="single" w:sz="2" w:space="0" w:color="auto"/>
              <w:bottom w:val="single" w:sz="2" w:space="0" w:color="auto"/>
            </w:tcBorders>
            <w:vAlign w:val="center"/>
          </w:tcPr>
          <w:p w:rsidR="006A6302" w:rsidRPr="006A6302" w:rsidRDefault="006A6302" w:rsidP="006A6302">
            <w:pPr>
              <w:spacing w:after="0"/>
              <w:ind w:firstLine="0"/>
              <w:jc w:val="right"/>
              <w:rPr>
                <w:rFonts w:ascii="Arial Narrow" w:hAnsi="Arial Narrow"/>
                <w:sz w:val="18"/>
                <w:szCs w:val="18"/>
              </w:rPr>
            </w:pPr>
            <w:r w:rsidRPr="006A6302">
              <w:rPr>
                <w:rFonts w:ascii="Arial Narrow" w:hAnsi="Arial Narrow"/>
                <w:sz w:val="18"/>
                <w:szCs w:val="18"/>
              </w:rPr>
              <w:t>19.633</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62.287</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178.368</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286,36</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153.305</w:t>
            </w:r>
          </w:p>
        </w:tc>
      </w:tr>
      <w:tr w:rsidR="006A6302" w:rsidRPr="00C47EE9" w:rsidTr="006A6302">
        <w:trPr>
          <w:trHeight w:val="198"/>
          <w:jc w:val="center"/>
        </w:trPr>
        <w:tc>
          <w:tcPr>
            <w:tcW w:w="2643" w:type="dxa"/>
            <w:tcBorders>
              <w:top w:val="single" w:sz="2" w:space="0" w:color="auto"/>
              <w:bottom w:val="single" w:sz="2" w:space="0" w:color="auto"/>
            </w:tcBorders>
            <w:vAlign w:val="center"/>
          </w:tcPr>
          <w:p w:rsidR="006A6302" w:rsidRPr="00C47EE9" w:rsidRDefault="006A6302"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Ingresos patrimoniales</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6.032</w:t>
            </w:r>
          </w:p>
        </w:tc>
        <w:tc>
          <w:tcPr>
            <w:tcW w:w="1266" w:type="dxa"/>
            <w:tcBorders>
              <w:top w:val="single" w:sz="2" w:space="0" w:color="auto"/>
              <w:bottom w:val="single" w:sz="2" w:space="0" w:color="auto"/>
            </w:tcBorders>
            <w:vAlign w:val="center"/>
          </w:tcPr>
          <w:p w:rsidR="006A6302" w:rsidRPr="006A6302" w:rsidRDefault="006A6302" w:rsidP="006A6302">
            <w:pPr>
              <w:spacing w:after="0"/>
              <w:ind w:firstLine="0"/>
              <w:jc w:val="right"/>
              <w:rPr>
                <w:rFonts w:ascii="Arial Narrow" w:hAnsi="Arial Narrow"/>
                <w:sz w:val="18"/>
                <w:szCs w:val="18"/>
              </w:rPr>
            </w:pPr>
            <w:r w:rsidRPr="006A6302">
              <w:rPr>
                <w:rFonts w:ascii="Arial Narrow" w:hAnsi="Arial Narrow"/>
                <w:sz w:val="18"/>
                <w:szCs w:val="18"/>
              </w:rPr>
              <w:t>0</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6.032</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10.372</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171,95</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5.141</w:t>
            </w:r>
          </w:p>
        </w:tc>
      </w:tr>
      <w:tr w:rsidR="006A6302" w:rsidRPr="00C47EE9" w:rsidTr="006A6302">
        <w:trPr>
          <w:trHeight w:val="198"/>
          <w:jc w:val="center"/>
        </w:trPr>
        <w:tc>
          <w:tcPr>
            <w:tcW w:w="2643" w:type="dxa"/>
            <w:tcBorders>
              <w:top w:val="single" w:sz="2" w:space="0" w:color="auto"/>
              <w:bottom w:val="single" w:sz="2" w:space="0" w:color="auto"/>
            </w:tcBorders>
            <w:vAlign w:val="center"/>
          </w:tcPr>
          <w:p w:rsidR="006A6302" w:rsidRPr="00C47EE9" w:rsidRDefault="006A6302"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Enajenación inversiones reales</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400</w:t>
            </w:r>
          </w:p>
        </w:tc>
        <w:tc>
          <w:tcPr>
            <w:tcW w:w="1266" w:type="dxa"/>
            <w:tcBorders>
              <w:top w:val="single" w:sz="2" w:space="0" w:color="auto"/>
              <w:bottom w:val="single" w:sz="2" w:space="0" w:color="auto"/>
            </w:tcBorders>
            <w:vAlign w:val="center"/>
          </w:tcPr>
          <w:p w:rsidR="006A6302" w:rsidRPr="006A6302" w:rsidRDefault="006A6302" w:rsidP="006A6302">
            <w:pPr>
              <w:spacing w:after="0"/>
              <w:ind w:firstLine="0"/>
              <w:jc w:val="right"/>
              <w:rPr>
                <w:rFonts w:ascii="Arial Narrow" w:hAnsi="Arial Narrow"/>
                <w:sz w:val="18"/>
                <w:szCs w:val="18"/>
              </w:rPr>
            </w:pPr>
            <w:r w:rsidRPr="006A6302">
              <w:rPr>
                <w:rFonts w:ascii="Arial Narrow" w:hAnsi="Arial Narrow"/>
                <w:sz w:val="18"/>
                <w:szCs w:val="18"/>
              </w:rPr>
              <w:t>0</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400</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283</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70,75</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262</w:t>
            </w:r>
          </w:p>
        </w:tc>
      </w:tr>
      <w:tr w:rsidR="006A6302" w:rsidRPr="00C47EE9" w:rsidTr="006A6302">
        <w:trPr>
          <w:trHeight w:val="198"/>
          <w:jc w:val="center"/>
        </w:trPr>
        <w:tc>
          <w:tcPr>
            <w:tcW w:w="2643" w:type="dxa"/>
            <w:tcBorders>
              <w:top w:val="single" w:sz="2" w:space="0" w:color="auto"/>
              <w:bottom w:val="single" w:sz="2" w:space="0" w:color="auto"/>
            </w:tcBorders>
            <w:vAlign w:val="center"/>
          </w:tcPr>
          <w:p w:rsidR="006A6302" w:rsidRPr="00C47EE9" w:rsidRDefault="006A6302"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Transferencias de capital</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18.093</w:t>
            </w:r>
          </w:p>
        </w:tc>
        <w:tc>
          <w:tcPr>
            <w:tcW w:w="1266" w:type="dxa"/>
            <w:tcBorders>
              <w:top w:val="single" w:sz="2" w:space="0" w:color="auto"/>
              <w:bottom w:val="single" w:sz="2" w:space="0" w:color="auto"/>
            </w:tcBorders>
            <w:vAlign w:val="center"/>
          </w:tcPr>
          <w:p w:rsidR="006A6302" w:rsidRPr="006A6302" w:rsidRDefault="006A6302" w:rsidP="006A6302">
            <w:pPr>
              <w:spacing w:after="0"/>
              <w:ind w:firstLine="0"/>
              <w:jc w:val="right"/>
              <w:rPr>
                <w:rFonts w:ascii="Arial Narrow" w:hAnsi="Arial Narrow"/>
                <w:sz w:val="18"/>
                <w:szCs w:val="18"/>
              </w:rPr>
            </w:pPr>
            <w:r w:rsidRPr="006A6302">
              <w:rPr>
                <w:rFonts w:ascii="Arial Narrow" w:hAnsi="Arial Narrow"/>
                <w:sz w:val="18"/>
                <w:szCs w:val="18"/>
              </w:rPr>
              <w:t>223</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18.317</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10.351</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56,51</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8.719</w:t>
            </w:r>
          </w:p>
        </w:tc>
      </w:tr>
      <w:tr w:rsidR="006A6302" w:rsidRPr="00C47EE9" w:rsidTr="006A6302">
        <w:trPr>
          <w:trHeight w:val="198"/>
          <w:jc w:val="center"/>
        </w:trPr>
        <w:tc>
          <w:tcPr>
            <w:tcW w:w="2643" w:type="dxa"/>
            <w:tcBorders>
              <w:top w:val="single" w:sz="2" w:space="0" w:color="auto"/>
              <w:bottom w:val="single" w:sz="2" w:space="0" w:color="auto"/>
            </w:tcBorders>
            <w:vAlign w:val="center"/>
          </w:tcPr>
          <w:p w:rsidR="006A6302" w:rsidRPr="00C47EE9" w:rsidRDefault="006A6302"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Activos financieros</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21.513</w:t>
            </w:r>
          </w:p>
        </w:tc>
        <w:tc>
          <w:tcPr>
            <w:tcW w:w="1266" w:type="dxa"/>
            <w:tcBorders>
              <w:top w:val="single" w:sz="2" w:space="0" w:color="auto"/>
              <w:bottom w:val="single" w:sz="2" w:space="0" w:color="auto"/>
            </w:tcBorders>
            <w:vAlign w:val="center"/>
          </w:tcPr>
          <w:p w:rsidR="006A6302" w:rsidRPr="006A6302" w:rsidRDefault="006A6302" w:rsidP="006A6302">
            <w:pPr>
              <w:spacing w:after="0"/>
              <w:ind w:firstLine="0"/>
              <w:jc w:val="right"/>
              <w:rPr>
                <w:rFonts w:ascii="Arial Narrow" w:hAnsi="Arial Narrow"/>
                <w:sz w:val="18"/>
                <w:szCs w:val="18"/>
              </w:rPr>
            </w:pPr>
            <w:r w:rsidRPr="006A6302">
              <w:rPr>
                <w:rFonts w:ascii="Arial Narrow" w:hAnsi="Arial Narrow"/>
                <w:sz w:val="18"/>
                <w:szCs w:val="18"/>
              </w:rPr>
              <w:t>25.041</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Pr>
                <w:rFonts w:ascii="Arial Narrow" w:hAnsi="Arial Narrow"/>
                <w:sz w:val="18"/>
                <w:szCs w:val="18"/>
              </w:rPr>
              <w:t>46.553</w:t>
            </w:r>
          </w:p>
        </w:tc>
        <w:tc>
          <w:tcPr>
            <w:tcW w:w="1265"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48.447</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104,07</w:t>
            </w:r>
          </w:p>
        </w:tc>
        <w:tc>
          <w:tcPr>
            <w:tcW w:w="1266" w:type="dxa"/>
            <w:tcBorders>
              <w:top w:val="single" w:sz="2" w:space="0" w:color="auto"/>
              <w:bottom w:val="single" w:sz="2"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46.181</w:t>
            </w:r>
          </w:p>
        </w:tc>
      </w:tr>
      <w:tr w:rsidR="006A6302" w:rsidRPr="00C47EE9" w:rsidTr="006A6302">
        <w:trPr>
          <w:trHeight w:val="198"/>
          <w:jc w:val="center"/>
        </w:trPr>
        <w:tc>
          <w:tcPr>
            <w:tcW w:w="2643" w:type="dxa"/>
            <w:tcBorders>
              <w:top w:val="single" w:sz="2" w:space="0" w:color="auto"/>
              <w:bottom w:val="single" w:sz="4" w:space="0" w:color="auto"/>
            </w:tcBorders>
            <w:vAlign w:val="center"/>
          </w:tcPr>
          <w:p w:rsidR="006A6302" w:rsidRPr="00C47EE9" w:rsidRDefault="006A6302" w:rsidP="00C47EE9">
            <w:pPr>
              <w:keepLines/>
              <w:tabs>
                <w:tab w:val="right" w:pos="2835"/>
                <w:tab w:val="right" w:pos="3969"/>
                <w:tab w:val="right" w:pos="5103"/>
                <w:tab w:val="right" w:pos="6237"/>
                <w:tab w:val="right" w:pos="7371"/>
              </w:tabs>
              <w:spacing w:after="0"/>
              <w:ind w:right="29" w:firstLine="0"/>
              <w:rPr>
                <w:rFonts w:ascii="Arial Narrow" w:hAnsi="Arial Narrow"/>
                <w:spacing w:val="6"/>
                <w:sz w:val="18"/>
                <w:szCs w:val="18"/>
                <w:lang w:val="es-ES"/>
              </w:rPr>
            </w:pPr>
            <w:r w:rsidRPr="00C47EE9">
              <w:rPr>
                <w:rFonts w:ascii="Arial Narrow" w:hAnsi="Arial Narrow"/>
                <w:spacing w:val="6"/>
                <w:sz w:val="18"/>
                <w:szCs w:val="18"/>
                <w:lang w:val="es-ES"/>
              </w:rPr>
              <w:t>Pasivos financieros</w:t>
            </w:r>
          </w:p>
        </w:tc>
        <w:tc>
          <w:tcPr>
            <w:tcW w:w="1265" w:type="dxa"/>
            <w:tcBorders>
              <w:top w:val="single" w:sz="2" w:space="0" w:color="auto"/>
              <w:bottom w:val="single" w:sz="4"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420.201</w:t>
            </w:r>
          </w:p>
        </w:tc>
        <w:tc>
          <w:tcPr>
            <w:tcW w:w="1266" w:type="dxa"/>
            <w:tcBorders>
              <w:top w:val="single" w:sz="2" w:space="0" w:color="auto"/>
              <w:bottom w:val="single" w:sz="4" w:space="0" w:color="auto"/>
            </w:tcBorders>
            <w:vAlign w:val="center"/>
          </w:tcPr>
          <w:p w:rsidR="006A6302" w:rsidRPr="006A6302" w:rsidRDefault="006A6302" w:rsidP="006A6302">
            <w:pPr>
              <w:spacing w:after="0"/>
              <w:ind w:firstLine="0"/>
              <w:jc w:val="right"/>
              <w:rPr>
                <w:rFonts w:ascii="Arial Narrow" w:hAnsi="Arial Narrow"/>
                <w:sz w:val="18"/>
                <w:szCs w:val="18"/>
              </w:rPr>
            </w:pPr>
            <w:r w:rsidRPr="006A6302">
              <w:rPr>
                <w:rFonts w:ascii="Arial Narrow" w:hAnsi="Arial Narrow"/>
                <w:sz w:val="18"/>
                <w:szCs w:val="18"/>
              </w:rPr>
              <w:t>17.365</w:t>
            </w:r>
          </w:p>
        </w:tc>
        <w:tc>
          <w:tcPr>
            <w:tcW w:w="1266" w:type="dxa"/>
            <w:tcBorders>
              <w:top w:val="single" w:sz="2" w:space="0" w:color="auto"/>
              <w:bottom w:val="single" w:sz="4"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437.566</w:t>
            </w:r>
          </w:p>
        </w:tc>
        <w:tc>
          <w:tcPr>
            <w:tcW w:w="1265" w:type="dxa"/>
            <w:tcBorders>
              <w:top w:val="single" w:sz="2" w:space="0" w:color="auto"/>
              <w:bottom w:val="single" w:sz="4"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498.008</w:t>
            </w:r>
          </w:p>
        </w:tc>
        <w:tc>
          <w:tcPr>
            <w:tcW w:w="1266" w:type="dxa"/>
            <w:tcBorders>
              <w:top w:val="single" w:sz="2" w:space="0" w:color="auto"/>
              <w:bottom w:val="single" w:sz="4"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113,81</w:t>
            </w:r>
          </w:p>
        </w:tc>
        <w:tc>
          <w:tcPr>
            <w:tcW w:w="1266" w:type="dxa"/>
            <w:tcBorders>
              <w:top w:val="single" w:sz="2" w:space="0" w:color="auto"/>
              <w:bottom w:val="single" w:sz="4" w:space="0" w:color="auto"/>
            </w:tcBorders>
            <w:vAlign w:val="center"/>
          </w:tcPr>
          <w:p w:rsidR="006A6302" w:rsidRPr="00C47EE9" w:rsidRDefault="006A6302" w:rsidP="00C47EE9">
            <w:pPr>
              <w:spacing w:after="0"/>
              <w:ind w:firstLine="0"/>
              <w:jc w:val="right"/>
              <w:rPr>
                <w:rFonts w:ascii="Arial Narrow" w:hAnsi="Arial Narrow"/>
                <w:sz w:val="18"/>
                <w:szCs w:val="18"/>
              </w:rPr>
            </w:pPr>
            <w:r w:rsidRPr="00C47EE9">
              <w:rPr>
                <w:rFonts w:ascii="Arial Narrow" w:hAnsi="Arial Narrow"/>
                <w:sz w:val="18"/>
                <w:szCs w:val="18"/>
              </w:rPr>
              <w:t>498.008</w:t>
            </w:r>
          </w:p>
        </w:tc>
      </w:tr>
      <w:tr w:rsidR="006A6302" w:rsidRPr="00C47EE9" w:rsidTr="006A6302">
        <w:trPr>
          <w:trHeight w:val="255"/>
          <w:jc w:val="center"/>
        </w:trPr>
        <w:tc>
          <w:tcPr>
            <w:tcW w:w="2643" w:type="dxa"/>
            <w:tcBorders>
              <w:top w:val="single" w:sz="4" w:space="0" w:color="auto"/>
              <w:bottom w:val="single" w:sz="4" w:space="0" w:color="auto"/>
            </w:tcBorders>
            <w:shd w:val="clear" w:color="auto" w:fill="8DB3E2" w:themeFill="text2" w:themeFillTint="66"/>
            <w:vAlign w:val="center"/>
          </w:tcPr>
          <w:p w:rsidR="006A6302" w:rsidRPr="00C47EE9" w:rsidRDefault="006A6302" w:rsidP="00C47EE9">
            <w:pPr>
              <w:keepLines/>
              <w:tabs>
                <w:tab w:val="right" w:pos="2835"/>
                <w:tab w:val="right" w:pos="3969"/>
                <w:tab w:val="right" w:pos="5103"/>
                <w:tab w:val="right" w:pos="6237"/>
                <w:tab w:val="right" w:pos="7371"/>
              </w:tabs>
              <w:spacing w:after="0"/>
              <w:ind w:firstLine="0"/>
              <w:rPr>
                <w:rFonts w:ascii="Arial" w:hAnsi="Arial"/>
                <w:spacing w:val="6"/>
                <w:sz w:val="16"/>
                <w:szCs w:val="16"/>
                <w:lang w:val="es-ES"/>
              </w:rPr>
            </w:pPr>
            <w:r w:rsidRPr="00C47EE9">
              <w:rPr>
                <w:rFonts w:ascii="Arial" w:hAnsi="Arial"/>
                <w:spacing w:val="6"/>
                <w:sz w:val="16"/>
                <w:szCs w:val="16"/>
                <w:lang w:val="es-ES"/>
              </w:rPr>
              <w:t>Total</w:t>
            </w:r>
          </w:p>
        </w:tc>
        <w:tc>
          <w:tcPr>
            <w:tcW w:w="1265" w:type="dxa"/>
            <w:tcBorders>
              <w:top w:val="single" w:sz="4" w:space="0" w:color="auto"/>
              <w:bottom w:val="single" w:sz="4" w:space="0" w:color="auto"/>
            </w:tcBorders>
            <w:shd w:val="clear" w:color="auto" w:fill="8DB3E2" w:themeFill="text2" w:themeFillTint="66"/>
            <w:vAlign w:val="center"/>
          </w:tcPr>
          <w:p w:rsidR="006A6302" w:rsidRPr="00C47EE9" w:rsidRDefault="006A6302" w:rsidP="00C47EE9">
            <w:pPr>
              <w:spacing w:after="0"/>
              <w:ind w:firstLine="0"/>
              <w:jc w:val="right"/>
              <w:rPr>
                <w:rFonts w:ascii="Arial" w:hAnsi="Arial" w:cs="Arial"/>
                <w:sz w:val="16"/>
                <w:szCs w:val="16"/>
              </w:rPr>
            </w:pPr>
            <w:r w:rsidRPr="00C47EE9">
              <w:rPr>
                <w:rFonts w:ascii="Arial" w:hAnsi="Arial" w:cs="Arial"/>
                <w:sz w:val="16"/>
                <w:szCs w:val="16"/>
              </w:rPr>
              <w:t>4.061.878</w:t>
            </w:r>
          </w:p>
        </w:tc>
        <w:tc>
          <w:tcPr>
            <w:tcW w:w="1266" w:type="dxa"/>
            <w:tcBorders>
              <w:top w:val="single" w:sz="4" w:space="0" w:color="auto"/>
              <w:bottom w:val="single" w:sz="4" w:space="0" w:color="auto"/>
            </w:tcBorders>
            <w:shd w:val="clear" w:color="auto" w:fill="8DB3E2" w:themeFill="text2" w:themeFillTint="66"/>
            <w:vAlign w:val="center"/>
          </w:tcPr>
          <w:p w:rsidR="006A6302" w:rsidRPr="006A6302" w:rsidRDefault="006A6302" w:rsidP="006A6302">
            <w:pPr>
              <w:spacing w:after="0"/>
              <w:ind w:firstLine="0"/>
              <w:jc w:val="right"/>
              <w:rPr>
                <w:rFonts w:ascii="Arial" w:hAnsi="Arial" w:cs="Arial"/>
                <w:sz w:val="16"/>
                <w:szCs w:val="16"/>
              </w:rPr>
            </w:pPr>
            <w:r w:rsidRPr="006A6302">
              <w:rPr>
                <w:rFonts w:ascii="Arial" w:hAnsi="Arial" w:cs="Arial"/>
                <w:sz w:val="16"/>
                <w:szCs w:val="16"/>
              </w:rPr>
              <w:t>88.853</w:t>
            </w:r>
          </w:p>
        </w:tc>
        <w:tc>
          <w:tcPr>
            <w:tcW w:w="1266" w:type="dxa"/>
            <w:tcBorders>
              <w:top w:val="single" w:sz="4" w:space="0" w:color="auto"/>
              <w:bottom w:val="single" w:sz="4" w:space="0" w:color="auto"/>
            </w:tcBorders>
            <w:shd w:val="clear" w:color="auto" w:fill="8DB3E2" w:themeFill="text2" w:themeFillTint="66"/>
            <w:vAlign w:val="center"/>
          </w:tcPr>
          <w:p w:rsidR="006A6302" w:rsidRPr="00C47EE9" w:rsidRDefault="006A6302" w:rsidP="006A6302">
            <w:pPr>
              <w:spacing w:after="0"/>
              <w:ind w:firstLine="0"/>
              <w:jc w:val="right"/>
              <w:rPr>
                <w:rFonts w:ascii="Arial" w:hAnsi="Arial" w:cs="Arial"/>
                <w:sz w:val="16"/>
                <w:szCs w:val="16"/>
              </w:rPr>
            </w:pPr>
            <w:r w:rsidRPr="00C47EE9">
              <w:rPr>
                <w:rFonts w:ascii="Arial" w:hAnsi="Arial" w:cs="Arial"/>
                <w:sz w:val="16"/>
                <w:szCs w:val="16"/>
              </w:rPr>
              <w:t>4.150.73</w:t>
            </w:r>
            <w:r>
              <w:rPr>
                <w:rFonts w:ascii="Arial" w:hAnsi="Arial" w:cs="Arial"/>
                <w:sz w:val="16"/>
                <w:szCs w:val="16"/>
              </w:rPr>
              <w:t>1</w:t>
            </w:r>
          </w:p>
        </w:tc>
        <w:tc>
          <w:tcPr>
            <w:tcW w:w="1265" w:type="dxa"/>
            <w:tcBorders>
              <w:top w:val="single" w:sz="4" w:space="0" w:color="auto"/>
              <w:bottom w:val="single" w:sz="4" w:space="0" w:color="auto"/>
            </w:tcBorders>
            <w:shd w:val="clear" w:color="auto" w:fill="8DB3E2" w:themeFill="text2" w:themeFillTint="66"/>
            <w:vAlign w:val="center"/>
          </w:tcPr>
          <w:p w:rsidR="006A6302" w:rsidRPr="00C47EE9" w:rsidRDefault="006A6302" w:rsidP="00C47EE9">
            <w:pPr>
              <w:spacing w:after="0"/>
              <w:ind w:firstLine="0"/>
              <w:jc w:val="right"/>
              <w:rPr>
                <w:rFonts w:ascii="Arial" w:hAnsi="Arial" w:cs="Arial"/>
                <w:sz w:val="16"/>
                <w:szCs w:val="16"/>
              </w:rPr>
            </w:pPr>
            <w:r w:rsidRPr="00C47EE9">
              <w:rPr>
                <w:rFonts w:ascii="Arial" w:hAnsi="Arial" w:cs="Arial"/>
                <w:sz w:val="16"/>
                <w:szCs w:val="16"/>
              </w:rPr>
              <w:t>4.528.234</w:t>
            </w:r>
          </w:p>
        </w:tc>
        <w:tc>
          <w:tcPr>
            <w:tcW w:w="1266" w:type="dxa"/>
            <w:tcBorders>
              <w:top w:val="single" w:sz="4" w:space="0" w:color="auto"/>
              <w:bottom w:val="single" w:sz="4" w:space="0" w:color="auto"/>
            </w:tcBorders>
            <w:shd w:val="clear" w:color="auto" w:fill="8DB3E2" w:themeFill="text2" w:themeFillTint="66"/>
            <w:vAlign w:val="center"/>
          </w:tcPr>
          <w:p w:rsidR="006A6302" w:rsidRPr="00C47EE9" w:rsidRDefault="006A6302" w:rsidP="00C47EE9">
            <w:pPr>
              <w:spacing w:after="0"/>
              <w:ind w:firstLine="0"/>
              <w:jc w:val="right"/>
              <w:rPr>
                <w:rFonts w:ascii="Arial" w:hAnsi="Arial" w:cs="Arial"/>
                <w:sz w:val="16"/>
                <w:szCs w:val="16"/>
              </w:rPr>
            </w:pPr>
            <w:r w:rsidRPr="00C47EE9">
              <w:rPr>
                <w:rFonts w:ascii="Arial" w:hAnsi="Arial" w:cs="Arial"/>
                <w:sz w:val="16"/>
                <w:szCs w:val="16"/>
              </w:rPr>
              <w:t>109,09</w:t>
            </w:r>
          </w:p>
        </w:tc>
        <w:tc>
          <w:tcPr>
            <w:tcW w:w="1266" w:type="dxa"/>
            <w:tcBorders>
              <w:top w:val="single" w:sz="4" w:space="0" w:color="auto"/>
              <w:bottom w:val="single" w:sz="4" w:space="0" w:color="auto"/>
            </w:tcBorders>
            <w:shd w:val="clear" w:color="auto" w:fill="8DB3E2" w:themeFill="text2" w:themeFillTint="66"/>
            <w:vAlign w:val="center"/>
          </w:tcPr>
          <w:p w:rsidR="006A6302" w:rsidRPr="00C47EE9" w:rsidRDefault="006A6302" w:rsidP="00C47EE9">
            <w:pPr>
              <w:spacing w:after="0"/>
              <w:ind w:firstLine="0"/>
              <w:jc w:val="right"/>
              <w:rPr>
                <w:rFonts w:ascii="Arial" w:hAnsi="Arial" w:cs="Arial"/>
                <w:iCs/>
                <w:sz w:val="16"/>
                <w:szCs w:val="16"/>
              </w:rPr>
            </w:pPr>
            <w:r w:rsidRPr="00C47EE9">
              <w:rPr>
                <w:rFonts w:ascii="Arial" w:hAnsi="Arial" w:cs="Arial"/>
                <w:iCs/>
                <w:sz w:val="16"/>
                <w:szCs w:val="16"/>
              </w:rPr>
              <w:t>4.408.976</w:t>
            </w:r>
          </w:p>
        </w:tc>
      </w:tr>
    </w:tbl>
    <w:p w:rsidR="00C47EE9" w:rsidRPr="00C47EE9" w:rsidRDefault="00C47EE9" w:rsidP="00C47EE9">
      <w:pPr>
        <w:tabs>
          <w:tab w:val="center" w:pos="2835"/>
          <w:tab w:val="center" w:pos="3969"/>
          <w:tab w:val="center" w:pos="5103"/>
          <w:tab w:val="center" w:pos="6237"/>
          <w:tab w:val="center" w:pos="7371"/>
        </w:tabs>
        <w:ind w:firstLine="284"/>
        <w:rPr>
          <w:spacing w:val="6"/>
          <w:sz w:val="26"/>
          <w:szCs w:val="24"/>
          <w:lang w:eastAsia="es-ES"/>
        </w:rPr>
      </w:pPr>
    </w:p>
    <w:p w:rsidR="00C47EE9" w:rsidRPr="00C47EE9" w:rsidRDefault="00C47EE9" w:rsidP="00C47EE9">
      <w:pPr>
        <w:tabs>
          <w:tab w:val="center" w:pos="2835"/>
          <w:tab w:val="center" w:pos="3969"/>
          <w:tab w:val="center" w:pos="5103"/>
          <w:tab w:val="center" w:pos="6237"/>
          <w:tab w:val="center" w:pos="7371"/>
        </w:tabs>
        <w:ind w:firstLine="284"/>
        <w:rPr>
          <w:spacing w:val="6"/>
          <w:sz w:val="26"/>
          <w:szCs w:val="24"/>
          <w:lang w:eastAsia="es-ES"/>
        </w:rPr>
      </w:pPr>
    </w:p>
    <w:p w:rsidR="00C47EE9" w:rsidRPr="00C47EE9" w:rsidRDefault="00C47EE9" w:rsidP="00557ED4">
      <w:pPr>
        <w:pStyle w:val="atitulo2"/>
      </w:pPr>
      <w:r w:rsidRPr="00C47EE9">
        <w:br w:type="page"/>
      </w:r>
      <w:bookmarkStart w:id="36" w:name="_Toc399859617"/>
      <w:bookmarkStart w:id="37" w:name="_Toc463350242"/>
      <w:bookmarkStart w:id="38" w:name="_Toc494270376"/>
      <w:bookmarkStart w:id="39" w:name="_Toc525907433"/>
      <w:bookmarkStart w:id="40" w:name="_Toc530034661"/>
      <w:r w:rsidRPr="00C47EE9">
        <w:lastRenderedPageBreak/>
        <w:t>IV.2. Resultado presupuestario 201</w:t>
      </w:r>
      <w:bookmarkEnd w:id="36"/>
      <w:bookmarkEnd w:id="37"/>
      <w:bookmarkEnd w:id="38"/>
      <w:r w:rsidRPr="00C47EE9">
        <w:t>7</w:t>
      </w:r>
      <w:bookmarkEnd w:id="39"/>
      <w:bookmarkEnd w:id="40"/>
    </w:p>
    <w:p w:rsidR="00C47EE9" w:rsidRPr="00C47EE9" w:rsidRDefault="00C47EE9" w:rsidP="00C47EE9">
      <w:pPr>
        <w:suppressAutoHyphens/>
        <w:spacing w:after="60"/>
        <w:ind w:firstLine="0"/>
        <w:jc w:val="right"/>
        <w:rPr>
          <w:rFonts w:ascii="Arial" w:hAnsi="Arial"/>
          <w:spacing w:val="6"/>
          <w:sz w:val="17"/>
          <w:szCs w:val="17"/>
        </w:rPr>
      </w:pPr>
      <w:r w:rsidRPr="00C47EE9">
        <w:rPr>
          <w:rFonts w:ascii="Arial" w:hAnsi="Arial"/>
          <w:spacing w:val="6"/>
          <w:sz w:val="17"/>
          <w:szCs w:val="17"/>
        </w:rPr>
        <w:t>(en miles de euros)</w:t>
      </w:r>
    </w:p>
    <w:tbl>
      <w:tblPr>
        <w:tblW w:w="8835"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745"/>
        <w:gridCol w:w="2015"/>
        <w:gridCol w:w="1593"/>
        <w:gridCol w:w="1482"/>
      </w:tblGrid>
      <w:tr w:rsidR="00C47EE9" w:rsidRPr="00C47EE9" w:rsidTr="00C47EE9">
        <w:trPr>
          <w:trHeight w:val="255"/>
          <w:jc w:val="center"/>
        </w:trPr>
        <w:tc>
          <w:tcPr>
            <w:tcW w:w="3745"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cs="Arial"/>
                <w:snapToGrid w:val="0"/>
                <w:spacing w:val="6"/>
                <w:sz w:val="18"/>
                <w:szCs w:val="18"/>
              </w:rPr>
            </w:pPr>
            <w:r w:rsidRPr="00C47EE9">
              <w:rPr>
                <w:rFonts w:ascii="Arial" w:hAnsi="Arial" w:cs="Arial"/>
                <w:snapToGrid w:val="0"/>
                <w:spacing w:val="6"/>
                <w:sz w:val="18"/>
                <w:szCs w:val="18"/>
              </w:rPr>
              <w:t>Conceptos</w:t>
            </w:r>
          </w:p>
        </w:tc>
        <w:tc>
          <w:tcPr>
            <w:tcW w:w="2015"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lang w:val="es-ES"/>
              </w:rPr>
            </w:pPr>
            <w:r w:rsidRPr="00C47EE9">
              <w:rPr>
                <w:rFonts w:ascii="Arial" w:hAnsi="Arial" w:cs="Arial"/>
                <w:snapToGrid w:val="0"/>
                <w:color w:val="000000"/>
                <w:spacing w:val="6"/>
                <w:sz w:val="18"/>
                <w:szCs w:val="18"/>
                <w:lang w:val="es-ES"/>
              </w:rPr>
              <w:t xml:space="preserve">Derechos </w:t>
            </w:r>
          </w:p>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lang w:val="es-ES"/>
              </w:rPr>
            </w:pPr>
            <w:r w:rsidRPr="00C47EE9">
              <w:rPr>
                <w:rFonts w:ascii="Arial" w:hAnsi="Arial" w:cs="Arial"/>
                <w:snapToGrid w:val="0"/>
                <w:color w:val="000000"/>
                <w:spacing w:val="6"/>
                <w:sz w:val="18"/>
                <w:szCs w:val="18"/>
                <w:lang w:val="es-ES"/>
              </w:rPr>
              <w:t>Reconocidos</w:t>
            </w:r>
          </w:p>
        </w:tc>
        <w:tc>
          <w:tcPr>
            <w:tcW w:w="1593"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lang w:val="es-ES"/>
              </w:rPr>
            </w:pPr>
            <w:r w:rsidRPr="00C47EE9">
              <w:rPr>
                <w:rFonts w:ascii="Arial" w:hAnsi="Arial" w:cs="Arial"/>
                <w:snapToGrid w:val="0"/>
                <w:color w:val="000000"/>
                <w:spacing w:val="6"/>
                <w:sz w:val="18"/>
                <w:szCs w:val="18"/>
                <w:lang w:val="es-ES"/>
              </w:rPr>
              <w:t>Obligaciones</w:t>
            </w:r>
          </w:p>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lang w:val="es-ES"/>
              </w:rPr>
            </w:pPr>
            <w:r w:rsidRPr="00C47EE9">
              <w:rPr>
                <w:rFonts w:ascii="Arial" w:hAnsi="Arial" w:cs="Arial"/>
                <w:snapToGrid w:val="0"/>
                <w:color w:val="000000"/>
                <w:spacing w:val="6"/>
                <w:sz w:val="18"/>
                <w:szCs w:val="18"/>
                <w:lang w:val="es-ES"/>
              </w:rPr>
              <w:t>Reconocidas</w:t>
            </w:r>
          </w:p>
        </w:tc>
        <w:tc>
          <w:tcPr>
            <w:tcW w:w="1482"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color w:val="000000"/>
                <w:spacing w:val="6"/>
                <w:sz w:val="18"/>
                <w:szCs w:val="18"/>
                <w:lang w:val="es-ES"/>
              </w:rPr>
            </w:pPr>
            <w:r w:rsidRPr="00C47EE9">
              <w:rPr>
                <w:rFonts w:ascii="Arial" w:hAnsi="Arial" w:cs="Arial"/>
                <w:snapToGrid w:val="0"/>
                <w:color w:val="000000"/>
                <w:spacing w:val="6"/>
                <w:sz w:val="18"/>
                <w:szCs w:val="18"/>
                <w:lang w:val="es-ES"/>
              </w:rPr>
              <w:t>Importe</w:t>
            </w:r>
          </w:p>
        </w:tc>
      </w:tr>
      <w:tr w:rsidR="00C47EE9" w:rsidRPr="00C47EE9" w:rsidTr="00C47EE9">
        <w:trPr>
          <w:trHeight w:val="198"/>
          <w:jc w:val="center"/>
        </w:trPr>
        <w:tc>
          <w:tcPr>
            <w:tcW w:w="3745" w:type="dxa"/>
            <w:tcBorders>
              <w:top w:val="single" w:sz="4"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 xml:space="preserve">     1. Operaciones corrientes</w:t>
            </w:r>
          </w:p>
        </w:tc>
        <w:tc>
          <w:tcPr>
            <w:tcW w:w="2015" w:type="dxa"/>
            <w:tcBorders>
              <w:top w:val="single" w:sz="4" w:space="0" w:color="auto"/>
            </w:tcBorders>
            <w:vAlign w:val="center"/>
          </w:tcPr>
          <w:p w:rsidR="00C47EE9" w:rsidRPr="00C47EE9" w:rsidRDefault="00C47EE9" w:rsidP="00C47EE9">
            <w:pPr>
              <w:spacing w:after="0"/>
              <w:ind w:firstLine="0"/>
              <w:jc w:val="right"/>
              <w:rPr>
                <w:rFonts w:ascii="Arial Narrow" w:hAnsi="Arial Narrow" w:cs="Arial"/>
                <w:snapToGrid w:val="0"/>
                <w:lang w:eastAsia="es-ES"/>
              </w:rPr>
            </w:pPr>
            <w:r w:rsidRPr="00C47EE9">
              <w:rPr>
                <w:rFonts w:ascii="Arial Narrow" w:hAnsi="Arial Narrow" w:cs="Arial"/>
                <w:snapToGrid w:val="0"/>
                <w:lang w:eastAsia="es-ES"/>
              </w:rPr>
              <w:t>3.971.145</w:t>
            </w:r>
          </w:p>
        </w:tc>
        <w:tc>
          <w:tcPr>
            <w:tcW w:w="1593" w:type="dxa"/>
            <w:tcBorders>
              <w:top w:val="single" w:sz="4" w:space="0" w:color="auto"/>
            </w:tcBorders>
            <w:vAlign w:val="center"/>
          </w:tcPr>
          <w:p w:rsidR="00C47EE9" w:rsidRPr="00C47EE9" w:rsidRDefault="00C47EE9" w:rsidP="00C47EE9">
            <w:pPr>
              <w:spacing w:after="0"/>
              <w:ind w:right="41" w:firstLine="0"/>
              <w:jc w:val="right"/>
              <w:rPr>
                <w:rFonts w:ascii="Arial Narrow" w:hAnsi="Arial Narrow" w:cs="Arial"/>
                <w:snapToGrid w:val="0"/>
                <w:lang w:eastAsia="es-ES"/>
              </w:rPr>
            </w:pPr>
            <w:r w:rsidRPr="00C47EE9">
              <w:rPr>
                <w:rFonts w:ascii="Arial Narrow" w:hAnsi="Arial Narrow" w:cs="Arial"/>
                <w:snapToGrid w:val="0"/>
                <w:lang w:eastAsia="es-ES"/>
              </w:rPr>
              <w:t>3.404.624</w:t>
            </w:r>
          </w:p>
        </w:tc>
        <w:tc>
          <w:tcPr>
            <w:tcW w:w="1482" w:type="dxa"/>
            <w:tcBorders>
              <w:top w:val="single" w:sz="4" w:space="0" w:color="auto"/>
            </w:tcBorders>
            <w:vAlign w:val="center"/>
          </w:tcPr>
          <w:p w:rsidR="00C47EE9" w:rsidRPr="00C47EE9" w:rsidRDefault="00C47EE9" w:rsidP="00C47EE9">
            <w:pPr>
              <w:spacing w:after="0"/>
              <w:ind w:firstLine="0"/>
              <w:jc w:val="right"/>
              <w:rPr>
                <w:rFonts w:ascii="Arial Narrow" w:hAnsi="Arial Narrow" w:cs="Arial"/>
                <w:snapToGrid w:val="0"/>
                <w:lang w:eastAsia="es-ES"/>
              </w:rPr>
            </w:pPr>
            <w:r w:rsidRPr="00C47EE9">
              <w:rPr>
                <w:rFonts w:ascii="Arial Narrow" w:hAnsi="Arial Narrow" w:cs="Arial"/>
                <w:snapToGrid w:val="0"/>
                <w:lang w:eastAsia="es-ES"/>
              </w:rPr>
              <w:t>566.521</w:t>
            </w:r>
          </w:p>
        </w:tc>
      </w:tr>
      <w:tr w:rsidR="00C47EE9" w:rsidRPr="00C47EE9" w:rsidTr="00C47EE9">
        <w:trPr>
          <w:trHeight w:val="198"/>
          <w:jc w:val="center"/>
        </w:trPr>
        <w:tc>
          <w:tcPr>
            <w:tcW w:w="3745" w:type="dxa"/>
            <w:tcBorders>
              <w:bottom w:val="nil"/>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 xml:space="preserve">     2. Operaciones de capital</w:t>
            </w:r>
          </w:p>
        </w:tc>
        <w:tc>
          <w:tcPr>
            <w:tcW w:w="2015" w:type="dxa"/>
            <w:tcBorders>
              <w:bottom w:val="nil"/>
            </w:tcBorders>
            <w:vAlign w:val="center"/>
          </w:tcPr>
          <w:p w:rsidR="00C47EE9" w:rsidRPr="00C47EE9" w:rsidRDefault="00C47EE9" w:rsidP="00C47EE9">
            <w:pPr>
              <w:spacing w:after="0"/>
              <w:ind w:firstLine="0"/>
              <w:jc w:val="right"/>
              <w:rPr>
                <w:rFonts w:ascii="Arial Narrow" w:hAnsi="Arial Narrow" w:cs="Arial"/>
                <w:snapToGrid w:val="0"/>
                <w:lang w:eastAsia="es-ES"/>
              </w:rPr>
            </w:pPr>
            <w:r w:rsidRPr="00C47EE9">
              <w:rPr>
                <w:rFonts w:ascii="Arial Narrow" w:hAnsi="Arial Narrow" w:cs="Arial"/>
                <w:snapToGrid w:val="0"/>
                <w:lang w:eastAsia="es-ES"/>
              </w:rPr>
              <w:t>10.634</w:t>
            </w:r>
          </w:p>
        </w:tc>
        <w:tc>
          <w:tcPr>
            <w:tcW w:w="1593" w:type="dxa"/>
            <w:tcBorders>
              <w:bottom w:val="nil"/>
            </w:tcBorders>
            <w:vAlign w:val="center"/>
          </w:tcPr>
          <w:p w:rsidR="00C47EE9" w:rsidRPr="00C47EE9" w:rsidRDefault="00C47EE9" w:rsidP="00C47EE9">
            <w:pPr>
              <w:spacing w:after="0"/>
              <w:ind w:right="41" w:firstLine="0"/>
              <w:jc w:val="right"/>
              <w:rPr>
                <w:rFonts w:ascii="Arial Narrow" w:hAnsi="Arial Narrow" w:cs="Arial"/>
                <w:snapToGrid w:val="0"/>
                <w:lang w:eastAsia="es-ES"/>
              </w:rPr>
            </w:pPr>
            <w:r w:rsidRPr="00C47EE9">
              <w:rPr>
                <w:rFonts w:ascii="Arial Narrow" w:hAnsi="Arial Narrow" w:cs="Arial"/>
                <w:snapToGrid w:val="0"/>
                <w:lang w:eastAsia="es-ES"/>
              </w:rPr>
              <w:t>226.272</w:t>
            </w:r>
          </w:p>
        </w:tc>
        <w:tc>
          <w:tcPr>
            <w:tcW w:w="1482" w:type="dxa"/>
            <w:tcBorders>
              <w:bottom w:val="nil"/>
            </w:tcBorders>
            <w:vAlign w:val="center"/>
          </w:tcPr>
          <w:p w:rsidR="00C47EE9" w:rsidRPr="00C47EE9" w:rsidRDefault="00C47EE9" w:rsidP="00C47EE9">
            <w:pPr>
              <w:spacing w:after="0"/>
              <w:ind w:firstLine="0"/>
              <w:jc w:val="right"/>
              <w:rPr>
                <w:rFonts w:ascii="Arial Narrow" w:hAnsi="Arial Narrow" w:cs="Arial"/>
                <w:snapToGrid w:val="0"/>
                <w:lang w:eastAsia="es-ES"/>
              </w:rPr>
            </w:pPr>
            <w:r w:rsidRPr="00C47EE9">
              <w:rPr>
                <w:rFonts w:ascii="Arial Narrow" w:hAnsi="Arial Narrow" w:cs="Arial"/>
                <w:snapToGrid w:val="0"/>
                <w:lang w:eastAsia="es-ES"/>
              </w:rPr>
              <w:t>-215.638</w:t>
            </w:r>
          </w:p>
        </w:tc>
      </w:tr>
      <w:tr w:rsidR="00C47EE9" w:rsidRPr="00C47EE9" w:rsidTr="00C47EE9">
        <w:trPr>
          <w:trHeight w:val="198"/>
          <w:jc w:val="center"/>
        </w:trPr>
        <w:tc>
          <w:tcPr>
            <w:tcW w:w="3745" w:type="dxa"/>
            <w:tcBorders>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 xml:space="preserve">     3. Operaciones con activos financieros</w:t>
            </w:r>
          </w:p>
        </w:tc>
        <w:tc>
          <w:tcPr>
            <w:tcW w:w="2015" w:type="dxa"/>
            <w:tcBorders>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lang w:eastAsia="es-ES"/>
              </w:rPr>
            </w:pPr>
            <w:r w:rsidRPr="00C47EE9">
              <w:rPr>
                <w:rFonts w:ascii="Arial Narrow" w:hAnsi="Arial Narrow" w:cs="Arial"/>
                <w:snapToGrid w:val="0"/>
                <w:lang w:eastAsia="es-ES"/>
              </w:rPr>
              <w:t>48.447</w:t>
            </w:r>
          </w:p>
        </w:tc>
        <w:tc>
          <w:tcPr>
            <w:tcW w:w="1593" w:type="dxa"/>
            <w:tcBorders>
              <w:bottom w:val="single" w:sz="2" w:space="0" w:color="auto"/>
            </w:tcBorders>
            <w:vAlign w:val="center"/>
          </w:tcPr>
          <w:p w:rsidR="00C47EE9" w:rsidRPr="00C47EE9" w:rsidRDefault="00C47EE9" w:rsidP="00C47EE9">
            <w:pPr>
              <w:spacing w:after="0"/>
              <w:ind w:right="41" w:firstLine="0"/>
              <w:jc w:val="right"/>
              <w:rPr>
                <w:rFonts w:ascii="Arial Narrow" w:hAnsi="Arial Narrow" w:cs="Arial"/>
                <w:snapToGrid w:val="0"/>
                <w:lang w:eastAsia="es-ES"/>
              </w:rPr>
            </w:pPr>
            <w:r w:rsidRPr="00C47EE9">
              <w:rPr>
                <w:rFonts w:ascii="Arial Narrow" w:hAnsi="Arial Narrow" w:cs="Arial"/>
                <w:snapToGrid w:val="0"/>
                <w:lang w:eastAsia="es-ES"/>
              </w:rPr>
              <w:t>58.929</w:t>
            </w:r>
          </w:p>
        </w:tc>
        <w:tc>
          <w:tcPr>
            <w:tcW w:w="1482" w:type="dxa"/>
            <w:tcBorders>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lang w:eastAsia="es-ES"/>
              </w:rPr>
            </w:pPr>
            <w:r w:rsidRPr="00C47EE9">
              <w:rPr>
                <w:rFonts w:ascii="Arial Narrow" w:hAnsi="Arial Narrow" w:cs="Arial"/>
                <w:snapToGrid w:val="0"/>
                <w:lang w:eastAsia="es-ES"/>
              </w:rPr>
              <w:t>-10.482</w:t>
            </w:r>
          </w:p>
        </w:tc>
      </w:tr>
      <w:tr w:rsidR="00C47EE9" w:rsidRPr="00C47EE9" w:rsidTr="00C47EE9">
        <w:trPr>
          <w:trHeight w:val="255"/>
          <w:jc w:val="center"/>
        </w:trPr>
        <w:tc>
          <w:tcPr>
            <w:tcW w:w="3745"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I. Resultado Presupuestario del ejercicio</w:t>
            </w:r>
          </w:p>
        </w:tc>
        <w:tc>
          <w:tcPr>
            <w:tcW w:w="2015" w:type="dxa"/>
            <w:tcBorders>
              <w:top w:val="single" w:sz="2" w:space="0" w:color="auto"/>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lang w:eastAsia="es-ES"/>
              </w:rPr>
            </w:pPr>
            <w:r w:rsidRPr="00C47EE9">
              <w:rPr>
                <w:rFonts w:ascii="Arial Narrow" w:hAnsi="Arial Narrow" w:cs="Arial"/>
                <w:snapToGrid w:val="0"/>
                <w:lang w:eastAsia="es-ES"/>
              </w:rPr>
              <w:t>4.030.226</w:t>
            </w:r>
          </w:p>
        </w:tc>
        <w:tc>
          <w:tcPr>
            <w:tcW w:w="1593" w:type="dxa"/>
            <w:tcBorders>
              <w:top w:val="single" w:sz="2" w:space="0" w:color="auto"/>
              <w:bottom w:val="single" w:sz="2" w:space="0" w:color="auto"/>
            </w:tcBorders>
            <w:vAlign w:val="center"/>
          </w:tcPr>
          <w:p w:rsidR="00C47EE9" w:rsidRPr="00C47EE9" w:rsidRDefault="00C47EE9" w:rsidP="00C47EE9">
            <w:pPr>
              <w:spacing w:after="0"/>
              <w:ind w:right="41" w:firstLine="0"/>
              <w:jc w:val="right"/>
              <w:rPr>
                <w:rFonts w:ascii="Arial Narrow" w:hAnsi="Arial Narrow" w:cs="Arial"/>
                <w:snapToGrid w:val="0"/>
                <w:lang w:eastAsia="es-ES"/>
              </w:rPr>
            </w:pPr>
            <w:r w:rsidRPr="00C47EE9">
              <w:rPr>
                <w:rFonts w:ascii="Arial Narrow" w:hAnsi="Arial Narrow" w:cs="Arial"/>
                <w:snapToGrid w:val="0"/>
                <w:lang w:eastAsia="es-ES"/>
              </w:rPr>
              <w:t>3.689.825</w:t>
            </w:r>
          </w:p>
        </w:tc>
        <w:tc>
          <w:tcPr>
            <w:tcW w:w="1482" w:type="dxa"/>
            <w:tcBorders>
              <w:top w:val="single" w:sz="2" w:space="0" w:color="auto"/>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lang w:eastAsia="es-ES"/>
              </w:rPr>
            </w:pPr>
            <w:r w:rsidRPr="00C47EE9">
              <w:rPr>
                <w:rFonts w:ascii="Arial Narrow" w:hAnsi="Arial Narrow" w:cs="Arial"/>
                <w:snapToGrid w:val="0"/>
                <w:lang w:eastAsia="es-ES"/>
              </w:rPr>
              <w:t>340.401</w:t>
            </w:r>
          </w:p>
        </w:tc>
      </w:tr>
      <w:tr w:rsidR="00C47EE9" w:rsidRPr="00C47EE9" w:rsidTr="00C47EE9">
        <w:trPr>
          <w:trHeight w:val="255"/>
          <w:jc w:val="center"/>
        </w:trPr>
        <w:tc>
          <w:tcPr>
            <w:tcW w:w="3745"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II. Variación neta de pasivos financieros</w:t>
            </w:r>
          </w:p>
        </w:tc>
        <w:tc>
          <w:tcPr>
            <w:tcW w:w="2015" w:type="dxa"/>
            <w:tcBorders>
              <w:top w:val="single" w:sz="2" w:space="0" w:color="auto"/>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lang w:eastAsia="es-ES"/>
              </w:rPr>
            </w:pPr>
            <w:r w:rsidRPr="00C47EE9">
              <w:rPr>
                <w:rFonts w:ascii="Arial Narrow" w:hAnsi="Arial Narrow" w:cs="Arial"/>
                <w:snapToGrid w:val="0"/>
                <w:lang w:eastAsia="es-ES"/>
              </w:rPr>
              <w:t>498.008</w:t>
            </w:r>
          </w:p>
        </w:tc>
        <w:tc>
          <w:tcPr>
            <w:tcW w:w="1593" w:type="dxa"/>
            <w:tcBorders>
              <w:top w:val="single" w:sz="2" w:space="0" w:color="auto"/>
              <w:bottom w:val="single" w:sz="2" w:space="0" w:color="auto"/>
            </w:tcBorders>
            <w:vAlign w:val="center"/>
          </w:tcPr>
          <w:p w:rsidR="00C47EE9" w:rsidRPr="00C47EE9" w:rsidRDefault="00C47EE9" w:rsidP="00C47EE9">
            <w:pPr>
              <w:spacing w:after="0"/>
              <w:ind w:right="41" w:firstLine="0"/>
              <w:jc w:val="right"/>
              <w:rPr>
                <w:rFonts w:ascii="Arial Narrow" w:hAnsi="Arial Narrow" w:cs="Arial"/>
                <w:snapToGrid w:val="0"/>
                <w:lang w:eastAsia="es-ES"/>
              </w:rPr>
            </w:pPr>
            <w:r w:rsidRPr="00C47EE9">
              <w:rPr>
                <w:rFonts w:ascii="Arial Narrow" w:hAnsi="Arial Narrow" w:cs="Arial"/>
                <w:snapToGrid w:val="0"/>
                <w:lang w:eastAsia="es-ES"/>
              </w:rPr>
              <w:t>293.930</w:t>
            </w:r>
          </w:p>
        </w:tc>
        <w:tc>
          <w:tcPr>
            <w:tcW w:w="1482" w:type="dxa"/>
            <w:tcBorders>
              <w:top w:val="single" w:sz="2" w:space="0" w:color="auto"/>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lang w:eastAsia="es-ES"/>
              </w:rPr>
            </w:pPr>
            <w:r w:rsidRPr="00C47EE9">
              <w:rPr>
                <w:rFonts w:ascii="Arial Narrow" w:hAnsi="Arial Narrow" w:cs="Arial"/>
                <w:snapToGrid w:val="0"/>
                <w:lang w:eastAsia="es-ES"/>
              </w:rPr>
              <w:t>204.078</w:t>
            </w:r>
          </w:p>
        </w:tc>
      </w:tr>
      <w:tr w:rsidR="00C47EE9" w:rsidRPr="00C47EE9" w:rsidTr="00C47EE9">
        <w:trPr>
          <w:trHeight w:val="255"/>
          <w:jc w:val="center"/>
        </w:trPr>
        <w:tc>
          <w:tcPr>
            <w:tcW w:w="7353" w:type="dxa"/>
            <w:gridSpan w:val="3"/>
            <w:tcBorders>
              <w:top w:val="single" w:sz="2" w:space="0" w:color="auto"/>
              <w:bottom w:val="single" w:sz="2" w:space="0" w:color="auto"/>
            </w:tcBorders>
            <w:vAlign w:val="center"/>
          </w:tcPr>
          <w:p w:rsidR="00C47EE9" w:rsidRPr="00C47EE9" w:rsidRDefault="00C47EE9" w:rsidP="00C47EE9">
            <w:pPr>
              <w:spacing w:after="0"/>
              <w:ind w:right="239" w:firstLine="0"/>
              <w:jc w:val="left"/>
              <w:rPr>
                <w:rFonts w:ascii="Arial Narrow" w:hAnsi="Arial Narrow" w:cs="Arial"/>
                <w:b/>
                <w:snapToGrid w:val="0"/>
                <w:lang w:eastAsia="es-ES"/>
              </w:rPr>
            </w:pPr>
            <w:r w:rsidRPr="00C47EE9">
              <w:rPr>
                <w:rFonts w:ascii="Arial Narrow" w:hAnsi="Arial Narrow" w:cs="Arial"/>
                <w:b/>
                <w:snapToGrid w:val="0"/>
                <w:lang w:eastAsia="es-ES"/>
              </w:rPr>
              <w:t>III. Saldo presupuestario del ejercicio</w:t>
            </w:r>
          </w:p>
        </w:tc>
        <w:tc>
          <w:tcPr>
            <w:tcW w:w="1482" w:type="dxa"/>
            <w:tcBorders>
              <w:top w:val="single" w:sz="2" w:space="0" w:color="auto"/>
              <w:bottom w:val="single" w:sz="2" w:space="0" w:color="auto"/>
            </w:tcBorders>
            <w:vAlign w:val="center"/>
          </w:tcPr>
          <w:p w:rsidR="00C47EE9" w:rsidRPr="00C47EE9" w:rsidRDefault="00C47EE9" w:rsidP="00C47EE9">
            <w:pPr>
              <w:spacing w:after="0"/>
              <w:ind w:firstLine="0"/>
              <w:jc w:val="right"/>
              <w:rPr>
                <w:rFonts w:ascii="Arial Narrow" w:hAnsi="Arial Narrow" w:cs="Arial"/>
                <w:b/>
                <w:snapToGrid w:val="0"/>
                <w:lang w:eastAsia="es-ES"/>
              </w:rPr>
            </w:pPr>
            <w:r w:rsidRPr="00C47EE9">
              <w:rPr>
                <w:rFonts w:ascii="Arial Narrow" w:hAnsi="Arial Narrow" w:cs="Arial"/>
                <w:b/>
                <w:snapToGrid w:val="0"/>
                <w:lang w:eastAsia="es-ES"/>
              </w:rPr>
              <w:t>544.479</w:t>
            </w:r>
          </w:p>
        </w:tc>
      </w:tr>
      <w:tr w:rsidR="00C47EE9" w:rsidRPr="00C47EE9" w:rsidTr="00C47EE9">
        <w:trPr>
          <w:trHeight w:val="198"/>
          <w:jc w:val="center"/>
        </w:trPr>
        <w:tc>
          <w:tcPr>
            <w:tcW w:w="5760" w:type="dxa"/>
            <w:gridSpan w:val="2"/>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 xml:space="preserve">     4. </w:t>
            </w:r>
            <w:proofErr w:type="spellStart"/>
            <w:r w:rsidRPr="00C47EE9">
              <w:rPr>
                <w:rFonts w:ascii="Arial Narrow" w:hAnsi="Arial Narrow" w:cs="Arial"/>
                <w:snapToGrid w:val="0"/>
                <w:lang w:eastAsia="es-ES"/>
              </w:rPr>
              <w:t>Oblig</w:t>
            </w:r>
            <w:proofErr w:type="spellEnd"/>
            <w:r w:rsidRPr="00C47EE9">
              <w:rPr>
                <w:rFonts w:ascii="Arial Narrow" w:hAnsi="Arial Narrow" w:cs="Arial"/>
                <w:snapToGrid w:val="0"/>
                <w:lang w:eastAsia="es-ES"/>
              </w:rPr>
              <w:t xml:space="preserve">. reconocidas financiadas con Rem. </w:t>
            </w:r>
            <w:proofErr w:type="spellStart"/>
            <w:r w:rsidRPr="00C47EE9">
              <w:rPr>
                <w:rFonts w:ascii="Arial Narrow" w:hAnsi="Arial Narrow" w:cs="Arial"/>
                <w:snapToGrid w:val="0"/>
                <w:lang w:eastAsia="es-ES"/>
              </w:rPr>
              <w:t>Tesor</w:t>
            </w:r>
            <w:proofErr w:type="spellEnd"/>
            <w:r w:rsidRPr="00C47EE9">
              <w:rPr>
                <w:rFonts w:ascii="Arial Narrow" w:hAnsi="Arial Narrow" w:cs="Arial"/>
                <w:snapToGrid w:val="0"/>
                <w:lang w:eastAsia="es-ES"/>
              </w:rPr>
              <w:t>. no afecto</w:t>
            </w:r>
          </w:p>
        </w:tc>
        <w:tc>
          <w:tcPr>
            <w:tcW w:w="1593" w:type="dxa"/>
            <w:tcBorders>
              <w:top w:val="single" w:sz="2" w:space="0" w:color="auto"/>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lang w:eastAsia="es-ES"/>
              </w:rPr>
            </w:pPr>
          </w:p>
        </w:tc>
        <w:tc>
          <w:tcPr>
            <w:tcW w:w="1482" w:type="dxa"/>
            <w:tcBorders>
              <w:top w:val="single" w:sz="2" w:space="0" w:color="auto"/>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lang w:eastAsia="es-ES"/>
              </w:rPr>
            </w:pPr>
            <w:r w:rsidRPr="00C47EE9">
              <w:rPr>
                <w:rFonts w:ascii="Arial Narrow" w:hAnsi="Arial Narrow" w:cs="Arial"/>
                <w:snapToGrid w:val="0"/>
                <w:lang w:eastAsia="es-ES"/>
              </w:rPr>
              <w:t>0</w:t>
            </w:r>
          </w:p>
        </w:tc>
      </w:tr>
      <w:tr w:rsidR="00C47EE9" w:rsidRPr="00C47EE9" w:rsidTr="00C47EE9">
        <w:trPr>
          <w:trHeight w:val="198"/>
          <w:jc w:val="center"/>
        </w:trPr>
        <w:tc>
          <w:tcPr>
            <w:tcW w:w="5760" w:type="dxa"/>
            <w:gridSpan w:val="2"/>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 xml:space="preserve">     5. </w:t>
            </w:r>
            <w:proofErr w:type="spellStart"/>
            <w:r w:rsidRPr="00C47EE9">
              <w:rPr>
                <w:rFonts w:ascii="Arial Narrow" w:hAnsi="Arial Narrow" w:cs="Arial"/>
                <w:snapToGrid w:val="0"/>
                <w:lang w:eastAsia="es-ES"/>
              </w:rPr>
              <w:t>Oblig</w:t>
            </w:r>
            <w:proofErr w:type="spellEnd"/>
            <w:r w:rsidRPr="00C47EE9">
              <w:rPr>
                <w:rFonts w:ascii="Arial Narrow" w:hAnsi="Arial Narrow" w:cs="Arial"/>
                <w:snapToGrid w:val="0"/>
                <w:lang w:eastAsia="es-ES"/>
              </w:rPr>
              <w:t xml:space="preserve">. reconocidas financiadas con Rem. </w:t>
            </w:r>
            <w:proofErr w:type="spellStart"/>
            <w:r w:rsidRPr="00C47EE9">
              <w:rPr>
                <w:rFonts w:ascii="Arial Narrow" w:hAnsi="Arial Narrow" w:cs="Arial"/>
                <w:snapToGrid w:val="0"/>
                <w:lang w:eastAsia="es-ES"/>
              </w:rPr>
              <w:t>Tesor</w:t>
            </w:r>
            <w:proofErr w:type="spellEnd"/>
            <w:r w:rsidRPr="00C47EE9">
              <w:rPr>
                <w:rFonts w:ascii="Arial Narrow" w:hAnsi="Arial Narrow" w:cs="Arial"/>
                <w:snapToGrid w:val="0"/>
                <w:lang w:eastAsia="es-ES"/>
              </w:rPr>
              <w:t>. afecto a FPELIN</w:t>
            </w:r>
          </w:p>
        </w:tc>
        <w:tc>
          <w:tcPr>
            <w:tcW w:w="1593" w:type="dxa"/>
            <w:tcBorders>
              <w:top w:val="single" w:sz="2" w:space="0" w:color="auto"/>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lang w:eastAsia="es-ES"/>
              </w:rPr>
            </w:pPr>
          </w:p>
        </w:tc>
        <w:tc>
          <w:tcPr>
            <w:tcW w:w="1482" w:type="dxa"/>
            <w:tcBorders>
              <w:top w:val="single" w:sz="2" w:space="0" w:color="auto"/>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lang w:eastAsia="es-ES"/>
              </w:rPr>
            </w:pPr>
            <w:r w:rsidRPr="00C47EE9">
              <w:rPr>
                <w:rFonts w:ascii="Arial Narrow" w:hAnsi="Arial Narrow" w:cs="Arial"/>
                <w:snapToGrid w:val="0"/>
                <w:lang w:eastAsia="es-ES"/>
              </w:rPr>
              <w:t>0</w:t>
            </w:r>
          </w:p>
        </w:tc>
      </w:tr>
      <w:tr w:rsidR="00C47EE9" w:rsidRPr="00C47EE9" w:rsidTr="00C47EE9">
        <w:trPr>
          <w:trHeight w:val="198"/>
          <w:jc w:val="center"/>
        </w:trPr>
        <w:tc>
          <w:tcPr>
            <w:tcW w:w="5760" w:type="dxa"/>
            <w:gridSpan w:val="2"/>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 xml:space="preserve">     6. Desviaciones de financiación negativas imputables al ejercicio</w:t>
            </w:r>
          </w:p>
        </w:tc>
        <w:tc>
          <w:tcPr>
            <w:tcW w:w="1593"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p>
        </w:tc>
        <w:tc>
          <w:tcPr>
            <w:tcW w:w="1482" w:type="dxa"/>
            <w:tcBorders>
              <w:top w:val="single" w:sz="2" w:space="0" w:color="auto"/>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lang w:eastAsia="es-ES"/>
              </w:rPr>
            </w:pPr>
            <w:r w:rsidRPr="00C47EE9">
              <w:rPr>
                <w:rFonts w:ascii="Arial Narrow" w:hAnsi="Arial Narrow" w:cs="Arial"/>
                <w:snapToGrid w:val="0"/>
                <w:lang w:eastAsia="es-ES"/>
              </w:rPr>
              <w:t>10.103</w:t>
            </w:r>
          </w:p>
        </w:tc>
      </w:tr>
      <w:tr w:rsidR="00C47EE9" w:rsidRPr="00C47EE9" w:rsidTr="00C47EE9">
        <w:trPr>
          <w:trHeight w:val="198"/>
          <w:jc w:val="center"/>
        </w:trPr>
        <w:tc>
          <w:tcPr>
            <w:tcW w:w="5760" w:type="dxa"/>
            <w:gridSpan w:val="2"/>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 xml:space="preserve">     7. Desviaciones de financiación positivas imputables al ejercicio</w:t>
            </w:r>
          </w:p>
        </w:tc>
        <w:tc>
          <w:tcPr>
            <w:tcW w:w="1593"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p>
        </w:tc>
        <w:tc>
          <w:tcPr>
            <w:tcW w:w="1482" w:type="dxa"/>
            <w:tcBorders>
              <w:top w:val="single" w:sz="2" w:space="0" w:color="auto"/>
              <w:bottom w:val="single" w:sz="2" w:space="0" w:color="auto"/>
            </w:tcBorders>
            <w:vAlign w:val="center"/>
          </w:tcPr>
          <w:p w:rsidR="00C47EE9" w:rsidRPr="00C47EE9" w:rsidRDefault="00C47EE9" w:rsidP="00C47EE9">
            <w:pPr>
              <w:spacing w:after="0"/>
              <w:ind w:firstLine="0"/>
              <w:jc w:val="right"/>
              <w:rPr>
                <w:rFonts w:ascii="Arial Narrow" w:hAnsi="Arial Narrow" w:cs="Arial"/>
                <w:snapToGrid w:val="0"/>
                <w:lang w:eastAsia="es-ES"/>
              </w:rPr>
            </w:pPr>
            <w:r w:rsidRPr="00C47EE9">
              <w:rPr>
                <w:rFonts w:ascii="Arial Narrow" w:hAnsi="Arial Narrow" w:cs="Arial"/>
                <w:snapToGrid w:val="0"/>
                <w:lang w:eastAsia="es-ES"/>
              </w:rPr>
              <w:t>3.171</w:t>
            </w:r>
          </w:p>
        </w:tc>
      </w:tr>
      <w:tr w:rsidR="00C47EE9" w:rsidRPr="00C47EE9" w:rsidTr="00C47EE9">
        <w:trPr>
          <w:trHeight w:val="255"/>
          <w:jc w:val="center"/>
        </w:trPr>
        <w:tc>
          <w:tcPr>
            <w:tcW w:w="7353" w:type="dxa"/>
            <w:gridSpan w:val="3"/>
            <w:tcBorders>
              <w:top w:val="single" w:sz="2" w:space="0" w:color="auto"/>
              <w:bottom w:val="single" w:sz="4" w:space="0" w:color="auto"/>
            </w:tcBorders>
            <w:vAlign w:val="center"/>
          </w:tcPr>
          <w:p w:rsidR="00C47EE9" w:rsidRPr="00C47EE9" w:rsidRDefault="00C47EE9" w:rsidP="00C47EE9">
            <w:pPr>
              <w:spacing w:after="0"/>
              <w:ind w:firstLine="0"/>
              <w:rPr>
                <w:rFonts w:ascii="Arial Narrow" w:hAnsi="Arial Narrow" w:cs="Arial"/>
                <w:b/>
                <w:snapToGrid w:val="0"/>
                <w:lang w:eastAsia="es-ES"/>
              </w:rPr>
            </w:pPr>
            <w:r w:rsidRPr="00C47EE9">
              <w:rPr>
                <w:rFonts w:ascii="Arial Narrow" w:hAnsi="Arial Narrow" w:cs="Arial"/>
                <w:b/>
                <w:snapToGrid w:val="0"/>
                <w:lang w:eastAsia="es-ES"/>
              </w:rPr>
              <w:t>V. Saldo presupuestario ajustado del ejercicio (III+4+5+6)</w:t>
            </w:r>
          </w:p>
        </w:tc>
        <w:tc>
          <w:tcPr>
            <w:tcW w:w="1482" w:type="dxa"/>
            <w:tcBorders>
              <w:top w:val="single" w:sz="2" w:space="0" w:color="auto"/>
              <w:bottom w:val="single" w:sz="4" w:space="0" w:color="auto"/>
            </w:tcBorders>
            <w:vAlign w:val="center"/>
          </w:tcPr>
          <w:p w:rsidR="00C47EE9" w:rsidRPr="00C47EE9" w:rsidRDefault="00C47EE9" w:rsidP="00C47EE9">
            <w:pPr>
              <w:spacing w:after="0"/>
              <w:ind w:firstLine="0"/>
              <w:jc w:val="right"/>
              <w:rPr>
                <w:rFonts w:ascii="Arial Narrow" w:hAnsi="Arial Narrow" w:cs="Arial"/>
                <w:b/>
                <w:snapToGrid w:val="0"/>
                <w:lang w:eastAsia="es-ES"/>
              </w:rPr>
            </w:pPr>
            <w:r w:rsidRPr="00C47EE9">
              <w:rPr>
                <w:rFonts w:ascii="Arial Narrow" w:hAnsi="Arial Narrow" w:cs="Arial"/>
                <w:b/>
                <w:snapToGrid w:val="0"/>
                <w:lang w:eastAsia="es-ES"/>
              </w:rPr>
              <w:t>551.411</w:t>
            </w:r>
          </w:p>
        </w:tc>
      </w:tr>
    </w:tbl>
    <w:p w:rsidR="00C47EE9" w:rsidRPr="00C47EE9" w:rsidRDefault="00C47EE9" w:rsidP="00C47EE9">
      <w:pPr>
        <w:tabs>
          <w:tab w:val="center" w:pos="2835"/>
          <w:tab w:val="center" w:pos="3969"/>
          <w:tab w:val="center" w:pos="5103"/>
          <w:tab w:val="center" w:pos="6237"/>
          <w:tab w:val="center" w:pos="7371"/>
        </w:tabs>
        <w:ind w:firstLine="284"/>
        <w:rPr>
          <w:spacing w:val="6"/>
          <w:sz w:val="26"/>
          <w:szCs w:val="24"/>
        </w:rPr>
      </w:pPr>
    </w:p>
    <w:p w:rsidR="00C47EE9" w:rsidRPr="00C47EE9" w:rsidRDefault="00C47EE9" w:rsidP="00C47EE9">
      <w:pPr>
        <w:tabs>
          <w:tab w:val="center" w:pos="2835"/>
          <w:tab w:val="center" w:pos="3969"/>
          <w:tab w:val="center" w:pos="5103"/>
          <w:tab w:val="center" w:pos="6237"/>
          <w:tab w:val="center" w:pos="7371"/>
        </w:tabs>
        <w:ind w:firstLine="284"/>
        <w:rPr>
          <w:spacing w:val="6"/>
          <w:sz w:val="26"/>
          <w:szCs w:val="24"/>
        </w:rPr>
      </w:pPr>
    </w:p>
    <w:p w:rsidR="00C47EE9" w:rsidRPr="00C47EE9" w:rsidRDefault="00C47EE9" w:rsidP="00557ED4">
      <w:pPr>
        <w:pStyle w:val="atitulo2"/>
      </w:pPr>
      <w:bookmarkStart w:id="41" w:name="_Toc399859618"/>
      <w:bookmarkStart w:id="42" w:name="_Toc463350243"/>
      <w:bookmarkStart w:id="43" w:name="_Toc494270377"/>
      <w:bookmarkStart w:id="44" w:name="_Toc525907434"/>
      <w:bookmarkStart w:id="45" w:name="_Toc530034662"/>
      <w:r w:rsidRPr="00C47EE9">
        <w:t>IV.3. Remanente de Tesorería a 31 de diciembre de 201</w:t>
      </w:r>
      <w:bookmarkEnd w:id="41"/>
      <w:bookmarkEnd w:id="42"/>
      <w:bookmarkEnd w:id="43"/>
      <w:r w:rsidRPr="00C47EE9">
        <w:t>7</w:t>
      </w:r>
      <w:bookmarkEnd w:id="44"/>
      <w:bookmarkEnd w:id="45"/>
    </w:p>
    <w:p w:rsidR="00C47EE9" w:rsidRPr="00C47EE9" w:rsidRDefault="00C47EE9" w:rsidP="00C47EE9">
      <w:pPr>
        <w:suppressAutoHyphens/>
        <w:spacing w:after="60"/>
        <w:ind w:firstLine="0"/>
        <w:jc w:val="right"/>
        <w:rPr>
          <w:rFonts w:ascii="Arial" w:hAnsi="Arial"/>
          <w:spacing w:val="6"/>
          <w:sz w:val="17"/>
          <w:szCs w:val="17"/>
        </w:rPr>
      </w:pPr>
      <w:r w:rsidRPr="00C47EE9">
        <w:rPr>
          <w:rFonts w:ascii="Arial" w:hAnsi="Arial"/>
          <w:spacing w:val="6"/>
          <w:sz w:val="17"/>
          <w:szCs w:val="17"/>
        </w:rPr>
        <w:t>(en euros)</w:t>
      </w:r>
    </w:p>
    <w:tbl>
      <w:tblPr>
        <w:tblW w:w="8953" w:type="dxa"/>
        <w:jc w:val="center"/>
        <w:tblCellMar>
          <w:left w:w="70" w:type="dxa"/>
          <w:right w:w="70" w:type="dxa"/>
        </w:tblCellMar>
        <w:tblLook w:val="0000" w:firstRow="0" w:lastRow="0" w:firstColumn="0" w:lastColumn="0" w:noHBand="0" w:noVBand="0"/>
      </w:tblPr>
      <w:tblGrid>
        <w:gridCol w:w="4705"/>
        <w:gridCol w:w="2281"/>
        <w:gridCol w:w="1967"/>
      </w:tblGrid>
      <w:tr w:rsidR="00C47EE9" w:rsidRPr="00C47EE9" w:rsidTr="00C47EE9">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cs="Arial"/>
                <w:snapToGrid w:val="0"/>
                <w:spacing w:val="6"/>
                <w:sz w:val="18"/>
                <w:szCs w:val="18"/>
              </w:rPr>
            </w:pPr>
            <w:r w:rsidRPr="00C47EE9">
              <w:rPr>
                <w:rFonts w:ascii="Arial" w:hAnsi="Arial" w:cs="Arial"/>
                <w:snapToGrid w:val="0"/>
                <w:spacing w:val="6"/>
                <w:sz w:val="18"/>
                <w:szCs w:val="18"/>
              </w:rPr>
              <w:t>Conceptos</w:t>
            </w:r>
          </w:p>
        </w:tc>
        <w:tc>
          <w:tcPr>
            <w:tcW w:w="1967" w:type="dxa"/>
            <w:tcBorders>
              <w:top w:val="single" w:sz="4" w:space="0" w:color="auto"/>
              <w:bottom w:val="single" w:sz="4" w:space="0" w:color="auto"/>
            </w:tcBorders>
            <w:shd w:val="clear" w:color="auto" w:fill="8DB3E2" w:themeFill="text2" w:themeFillTint="66"/>
            <w:noWrap/>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rPr>
            </w:pPr>
            <w:r w:rsidRPr="00C47EE9">
              <w:rPr>
                <w:rFonts w:ascii="Arial" w:hAnsi="Arial" w:cs="Arial"/>
                <w:snapToGrid w:val="0"/>
                <w:spacing w:val="6"/>
                <w:sz w:val="18"/>
                <w:szCs w:val="18"/>
              </w:rPr>
              <w:t>Importe</w:t>
            </w:r>
          </w:p>
        </w:tc>
      </w:tr>
      <w:tr w:rsidR="00C47EE9" w:rsidRPr="00C47EE9" w:rsidTr="00C47EE9">
        <w:trPr>
          <w:trHeight w:hRule="exact" w:val="255"/>
          <w:jc w:val="center"/>
        </w:trPr>
        <w:tc>
          <w:tcPr>
            <w:tcW w:w="6986" w:type="dxa"/>
            <w:gridSpan w:val="2"/>
            <w:tcBorders>
              <w:top w:val="single" w:sz="4"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b/>
                <w:bCs/>
              </w:rPr>
            </w:pPr>
            <w:r w:rsidRPr="00C47EE9">
              <w:rPr>
                <w:rFonts w:ascii="Arial Narrow" w:hAnsi="Arial Narrow" w:cs="Arial"/>
                <w:b/>
                <w:bCs/>
              </w:rPr>
              <w:t>+ Derechos pendientes de cobro</w:t>
            </w:r>
          </w:p>
        </w:tc>
        <w:tc>
          <w:tcPr>
            <w:tcW w:w="1967" w:type="dxa"/>
            <w:tcBorders>
              <w:top w:val="single" w:sz="4" w:space="0" w:color="auto"/>
              <w:bottom w:val="single" w:sz="2" w:space="0" w:color="auto"/>
            </w:tcBorders>
            <w:shd w:val="clear" w:color="auto" w:fill="auto"/>
            <w:noWrap/>
            <w:vAlign w:val="center"/>
          </w:tcPr>
          <w:p w:rsidR="00C47EE9" w:rsidRPr="00C47EE9" w:rsidRDefault="00C47EE9" w:rsidP="00C47EE9">
            <w:pPr>
              <w:spacing w:after="0"/>
              <w:ind w:hanging="1"/>
              <w:jc w:val="right"/>
              <w:rPr>
                <w:rFonts w:ascii="Arial Narrow" w:hAnsi="Arial Narrow" w:cs="Arial"/>
                <w:b/>
                <w:bCs/>
              </w:rPr>
            </w:pPr>
            <w:r w:rsidRPr="00C47EE9">
              <w:rPr>
                <w:rFonts w:ascii="Arial Narrow" w:hAnsi="Arial Narrow" w:cs="Arial"/>
                <w:b/>
                <w:bCs/>
              </w:rPr>
              <w:t>221.210.234</w:t>
            </w:r>
          </w:p>
        </w:tc>
      </w:tr>
      <w:tr w:rsidR="00C47EE9" w:rsidRPr="00C47EE9" w:rsidTr="00C47EE9">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firstLine="0"/>
              <w:rPr>
                <w:rFonts w:ascii="Arial Narrow" w:hAnsi="Arial Narrow" w:cs="Arial"/>
              </w:rPr>
            </w:pPr>
            <w:r w:rsidRPr="00C47EE9">
              <w:rPr>
                <w:rFonts w:ascii="Arial Narrow" w:hAnsi="Arial Narrow" w:cs="Arial"/>
              </w:rPr>
              <w:t>Presupuesto Ingresos: ejercicio corriente</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jc w:val="right"/>
              <w:rPr>
                <w:rFonts w:ascii="Arial Narrow" w:hAnsi="Arial Narrow" w:cs="Arial"/>
                <w:snapToGrid w:val="0"/>
              </w:rPr>
            </w:pPr>
            <w:r w:rsidRPr="00C47EE9">
              <w:rPr>
                <w:rFonts w:ascii="Arial Narrow" w:hAnsi="Arial Narrow" w:cs="Arial"/>
                <w:snapToGrid w:val="0"/>
              </w:rPr>
              <w:t>765.436.008</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rPr>
            </w:pPr>
          </w:p>
        </w:tc>
      </w:tr>
      <w:tr w:rsidR="00C47EE9" w:rsidRPr="00C47EE9" w:rsidTr="00C47EE9">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firstLine="0"/>
              <w:rPr>
                <w:rFonts w:ascii="Arial Narrow" w:hAnsi="Arial Narrow" w:cs="Arial"/>
              </w:rPr>
            </w:pPr>
            <w:r w:rsidRPr="00C47EE9">
              <w:rPr>
                <w:rFonts w:ascii="Arial Narrow" w:hAnsi="Arial Narrow" w:cs="Arial"/>
              </w:rPr>
              <w:t>Derechos difícil recaudación</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jc w:val="right"/>
              <w:rPr>
                <w:rFonts w:ascii="Arial Narrow" w:hAnsi="Arial Narrow" w:cs="Arial"/>
                <w:snapToGrid w:val="0"/>
              </w:rPr>
            </w:pPr>
            <w:r w:rsidRPr="00C47EE9">
              <w:rPr>
                <w:rFonts w:ascii="Arial Narrow" w:hAnsi="Arial Narrow" w:cs="Arial"/>
                <w:snapToGrid w:val="0"/>
              </w:rPr>
              <w:t>-502.295.249</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rPr>
            </w:pPr>
          </w:p>
        </w:tc>
      </w:tr>
      <w:tr w:rsidR="00C47EE9" w:rsidRPr="00C47EE9" w:rsidTr="00C47EE9">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firstLine="0"/>
              <w:rPr>
                <w:rFonts w:ascii="Arial Narrow" w:hAnsi="Arial Narrow" w:cs="Arial"/>
              </w:rPr>
            </w:pPr>
            <w:r w:rsidRPr="00C47EE9">
              <w:rPr>
                <w:rFonts w:ascii="Arial Narrow" w:hAnsi="Arial Narrow" w:cs="Arial"/>
              </w:rPr>
              <w:t>Minoración por partidas pendientes de aplicar</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jc w:val="right"/>
              <w:rPr>
                <w:rFonts w:ascii="Arial Narrow" w:hAnsi="Arial Narrow" w:cs="Arial"/>
                <w:snapToGrid w:val="0"/>
              </w:rPr>
            </w:pPr>
            <w:r w:rsidRPr="00C47EE9">
              <w:rPr>
                <w:rFonts w:ascii="Arial Narrow" w:hAnsi="Arial Narrow" w:cs="Arial"/>
                <w:snapToGrid w:val="0"/>
              </w:rPr>
              <w:t>-2.152.040</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rPr>
            </w:pPr>
          </w:p>
        </w:tc>
      </w:tr>
      <w:tr w:rsidR="00C47EE9" w:rsidRPr="00C47EE9" w:rsidTr="00C47EE9">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firstLine="0"/>
              <w:rPr>
                <w:rFonts w:ascii="Arial Narrow" w:hAnsi="Arial Narrow" w:cs="Arial"/>
              </w:rPr>
            </w:pPr>
            <w:r w:rsidRPr="00C47EE9">
              <w:rPr>
                <w:rFonts w:ascii="Arial Narrow" w:hAnsi="Arial Narrow" w:cs="Arial"/>
              </w:rPr>
              <w:t xml:space="preserve">Minoración por partidas </w:t>
            </w:r>
            <w:proofErr w:type="spellStart"/>
            <w:r w:rsidRPr="00C47EE9">
              <w:rPr>
                <w:rFonts w:ascii="Arial Narrow" w:hAnsi="Arial Narrow" w:cs="Arial"/>
              </w:rPr>
              <w:t>pdtes</w:t>
            </w:r>
            <w:proofErr w:type="spellEnd"/>
            <w:r w:rsidRPr="00C47EE9">
              <w:rPr>
                <w:rFonts w:ascii="Arial Narrow" w:hAnsi="Arial Narrow" w:cs="Arial"/>
              </w:rPr>
              <w:t xml:space="preserve"> aplicar CAT</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jc w:val="right"/>
              <w:rPr>
                <w:rFonts w:ascii="Arial Narrow" w:hAnsi="Arial Narrow" w:cs="Arial"/>
                <w:snapToGrid w:val="0"/>
              </w:rPr>
            </w:pPr>
            <w:r w:rsidRPr="00C47EE9">
              <w:rPr>
                <w:rFonts w:ascii="Arial Narrow" w:hAnsi="Arial Narrow" w:cs="Arial"/>
                <w:snapToGrid w:val="0"/>
              </w:rPr>
              <w:t>-42.968.659</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rPr>
            </w:pPr>
          </w:p>
        </w:tc>
      </w:tr>
      <w:tr w:rsidR="00C47EE9" w:rsidRPr="00C47EE9" w:rsidTr="00C47EE9">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firstLine="0"/>
              <w:rPr>
                <w:rFonts w:ascii="Arial Narrow" w:hAnsi="Arial Narrow" w:cs="Arial"/>
              </w:rPr>
            </w:pPr>
            <w:r w:rsidRPr="00C47EE9">
              <w:rPr>
                <w:rFonts w:ascii="Arial Narrow" w:hAnsi="Arial Narrow" w:cs="Arial"/>
              </w:rPr>
              <w:t>Presupuesto Ingresos: ejercicios cerrados</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jc w:val="right"/>
              <w:rPr>
                <w:rFonts w:ascii="Arial Narrow" w:hAnsi="Arial Narrow" w:cs="Arial"/>
                <w:snapToGrid w:val="0"/>
              </w:rPr>
            </w:pPr>
            <w:r w:rsidRPr="00C47EE9">
              <w:rPr>
                <w:rFonts w:ascii="Arial Narrow" w:hAnsi="Arial Narrow" w:cs="Arial"/>
                <w:snapToGrid w:val="0"/>
              </w:rPr>
              <w:t>7.212.060</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rPr>
            </w:pPr>
          </w:p>
        </w:tc>
      </w:tr>
      <w:tr w:rsidR="00C47EE9" w:rsidRPr="00C47EE9" w:rsidTr="00C47EE9">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firstLine="0"/>
              <w:rPr>
                <w:rFonts w:ascii="Arial Narrow" w:hAnsi="Arial Narrow" w:cs="Arial"/>
              </w:rPr>
            </w:pPr>
            <w:r w:rsidRPr="00C47EE9">
              <w:rPr>
                <w:rFonts w:ascii="Arial Narrow" w:hAnsi="Arial Narrow" w:cs="Arial"/>
              </w:rPr>
              <w:t>Derechos difícil recaudación</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jc w:val="right"/>
              <w:rPr>
                <w:rFonts w:ascii="Arial Narrow" w:hAnsi="Arial Narrow" w:cs="Arial"/>
                <w:snapToGrid w:val="0"/>
              </w:rPr>
            </w:pPr>
            <w:r w:rsidRPr="00C47EE9">
              <w:rPr>
                <w:rFonts w:ascii="Arial Narrow" w:hAnsi="Arial Narrow" w:cs="Arial"/>
                <w:snapToGrid w:val="0"/>
              </w:rPr>
              <w:t>-4.900.801</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rPr>
            </w:pPr>
          </w:p>
        </w:tc>
      </w:tr>
      <w:tr w:rsidR="00C47EE9" w:rsidRPr="00C47EE9" w:rsidTr="00C47EE9">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firstLine="0"/>
              <w:rPr>
                <w:rFonts w:ascii="Arial Narrow" w:hAnsi="Arial Narrow" w:cs="Arial"/>
              </w:rPr>
            </w:pPr>
            <w:r w:rsidRPr="00C47EE9">
              <w:rPr>
                <w:rFonts w:ascii="Arial Narrow" w:hAnsi="Arial Narrow" w:cs="Arial"/>
              </w:rPr>
              <w:t>Ingresos extrapresupuestarios</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jc w:val="right"/>
              <w:rPr>
                <w:rFonts w:ascii="Arial Narrow" w:hAnsi="Arial Narrow" w:cs="Arial"/>
                <w:snapToGrid w:val="0"/>
              </w:rPr>
            </w:pPr>
            <w:r w:rsidRPr="00C47EE9">
              <w:rPr>
                <w:rFonts w:ascii="Arial Narrow" w:hAnsi="Arial Narrow" w:cs="Arial"/>
                <w:snapToGrid w:val="0"/>
              </w:rPr>
              <w:t>1.005.769</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rPr>
            </w:pPr>
          </w:p>
        </w:tc>
      </w:tr>
      <w:tr w:rsidR="00C47EE9" w:rsidRPr="00C47EE9" w:rsidTr="00C47EE9">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firstLine="0"/>
              <w:rPr>
                <w:rFonts w:ascii="Arial Narrow" w:hAnsi="Arial Narrow" w:cs="Arial"/>
              </w:rPr>
            </w:pPr>
            <w:r w:rsidRPr="00C47EE9">
              <w:rPr>
                <w:rFonts w:ascii="Arial Narrow" w:hAnsi="Arial Narrow" w:cs="Arial"/>
              </w:rPr>
              <w:t>Derechos difícil recaudación</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jc w:val="right"/>
              <w:rPr>
                <w:rFonts w:ascii="Arial Narrow" w:hAnsi="Arial Narrow" w:cs="Arial"/>
                <w:snapToGrid w:val="0"/>
              </w:rPr>
            </w:pPr>
            <w:r w:rsidRPr="00C47EE9">
              <w:rPr>
                <w:rFonts w:ascii="Arial Narrow" w:hAnsi="Arial Narrow" w:cs="Arial"/>
                <w:snapToGrid w:val="0"/>
              </w:rPr>
              <w:t>-126.853</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rPr>
            </w:pPr>
          </w:p>
        </w:tc>
      </w:tr>
      <w:tr w:rsidR="00C47EE9" w:rsidRPr="00C47EE9" w:rsidTr="00C47EE9">
        <w:trPr>
          <w:trHeight w:hRule="exact" w:val="255"/>
          <w:jc w:val="center"/>
        </w:trPr>
        <w:tc>
          <w:tcPr>
            <w:tcW w:w="6986" w:type="dxa"/>
            <w:gridSpan w:val="2"/>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b/>
                <w:bCs/>
              </w:rPr>
            </w:pPr>
            <w:r w:rsidRPr="00C47EE9">
              <w:rPr>
                <w:rFonts w:ascii="Arial Narrow" w:hAnsi="Arial Narrow" w:cs="Arial"/>
                <w:b/>
                <w:bCs/>
              </w:rPr>
              <w:t>+ Obligaciones pendientes de pago</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jc w:val="right"/>
              <w:rPr>
                <w:rFonts w:ascii="Arial Narrow" w:hAnsi="Arial Narrow" w:cs="Arial"/>
                <w:b/>
                <w:snapToGrid w:val="0"/>
              </w:rPr>
            </w:pPr>
            <w:r w:rsidRPr="00C47EE9">
              <w:rPr>
                <w:rFonts w:ascii="Arial Narrow" w:hAnsi="Arial Narrow" w:cs="Arial"/>
                <w:b/>
                <w:snapToGrid w:val="0"/>
              </w:rPr>
              <w:t>-437.780.450</w:t>
            </w:r>
          </w:p>
        </w:tc>
      </w:tr>
      <w:tr w:rsidR="00C47EE9" w:rsidRPr="00C47EE9" w:rsidTr="00C47EE9">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right="-70" w:firstLine="0"/>
              <w:rPr>
                <w:rFonts w:ascii="Arial Narrow" w:hAnsi="Arial Narrow" w:cs="Arial"/>
              </w:rPr>
            </w:pPr>
            <w:r w:rsidRPr="00C47EE9">
              <w:rPr>
                <w:rFonts w:ascii="Arial Narrow" w:hAnsi="Arial Narrow" w:cs="Arial"/>
              </w:rPr>
              <w:t>Presupuesto Gastos: ejercicio corriente</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jc w:val="right"/>
              <w:rPr>
                <w:rFonts w:ascii="Arial Narrow" w:hAnsi="Arial Narrow" w:cs="Arial"/>
              </w:rPr>
            </w:pPr>
            <w:r w:rsidRPr="00C47EE9">
              <w:rPr>
                <w:rFonts w:ascii="Arial Narrow" w:hAnsi="Arial Narrow" w:cs="Arial"/>
              </w:rPr>
              <w:t>-408.649.129</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rPr>
            </w:pPr>
          </w:p>
        </w:tc>
      </w:tr>
      <w:tr w:rsidR="00C47EE9" w:rsidRPr="00C47EE9" w:rsidTr="00C47EE9">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firstLine="0"/>
              <w:rPr>
                <w:rFonts w:ascii="Arial Narrow" w:hAnsi="Arial Narrow" w:cs="Arial"/>
              </w:rPr>
            </w:pPr>
            <w:r w:rsidRPr="00C47EE9">
              <w:rPr>
                <w:rFonts w:ascii="Arial Narrow" w:hAnsi="Arial Narrow" w:cs="Arial"/>
              </w:rPr>
              <w:t>Presupuesto Gastos: ejercicios cerrados</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jc w:val="right"/>
              <w:rPr>
                <w:rFonts w:ascii="Arial Narrow" w:hAnsi="Arial Narrow" w:cs="Arial"/>
              </w:rPr>
            </w:pPr>
            <w:r w:rsidRPr="00C47EE9">
              <w:rPr>
                <w:rFonts w:ascii="Arial Narrow" w:hAnsi="Arial Narrow" w:cs="Arial"/>
              </w:rPr>
              <w:t>-7.862.471</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rPr>
            </w:pPr>
          </w:p>
        </w:tc>
      </w:tr>
      <w:tr w:rsidR="00C47EE9" w:rsidRPr="00C47EE9" w:rsidTr="00C47EE9">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firstLine="0"/>
              <w:rPr>
                <w:rFonts w:ascii="Arial Narrow" w:hAnsi="Arial Narrow" w:cs="Arial"/>
              </w:rPr>
            </w:pPr>
            <w:r w:rsidRPr="00C47EE9">
              <w:rPr>
                <w:rFonts w:ascii="Arial Narrow" w:hAnsi="Arial Narrow" w:cs="Arial"/>
              </w:rPr>
              <w:t>Gastos extrapresupuestarios</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jc w:val="right"/>
              <w:rPr>
                <w:rFonts w:ascii="Arial Narrow" w:hAnsi="Arial Narrow" w:cs="Arial"/>
              </w:rPr>
            </w:pPr>
            <w:r w:rsidRPr="00C47EE9">
              <w:rPr>
                <w:rFonts w:ascii="Arial Narrow" w:hAnsi="Arial Narrow" w:cs="Arial"/>
              </w:rPr>
              <w:t>-21.268.850</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rPr>
            </w:pPr>
          </w:p>
        </w:tc>
      </w:tr>
      <w:tr w:rsidR="00C47EE9" w:rsidRPr="00C47EE9" w:rsidTr="00C47EE9">
        <w:trPr>
          <w:trHeight w:hRule="exact" w:val="255"/>
          <w:jc w:val="center"/>
        </w:trPr>
        <w:tc>
          <w:tcPr>
            <w:tcW w:w="4705" w:type="dxa"/>
            <w:tcBorders>
              <w:top w:val="single" w:sz="2" w:space="0" w:color="auto"/>
              <w:bottom w:val="single" w:sz="4" w:space="0" w:color="auto"/>
            </w:tcBorders>
            <w:shd w:val="clear" w:color="auto" w:fill="auto"/>
            <w:noWrap/>
            <w:vAlign w:val="center"/>
          </w:tcPr>
          <w:p w:rsidR="00C47EE9" w:rsidRPr="00C47EE9" w:rsidRDefault="00C47EE9" w:rsidP="00C47EE9">
            <w:pPr>
              <w:spacing w:after="0"/>
              <w:ind w:firstLine="12"/>
              <w:rPr>
                <w:rFonts w:ascii="Arial Narrow" w:hAnsi="Arial Narrow" w:cs="Arial"/>
                <w:b/>
                <w:bCs/>
              </w:rPr>
            </w:pPr>
            <w:r w:rsidRPr="00C47EE9">
              <w:rPr>
                <w:rFonts w:ascii="Arial Narrow" w:hAnsi="Arial Narrow" w:cs="Arial"/>
                <w:b/>
                <w:bCs/>
              </w:rPr>
              <w:t>+ Fondos líquidos</w:t>
            </w:r>
          </w:p>
        </w:tc>
        <w:tc>
          <w:tcPr>
            <w:tcW w:w="2281" w:type="dxa"/>
            <w:tcBorders>
              <w:top w:val="single" w:sz="2" w:space="0" w:color="auto"/>
              <w:bottom w:val="single" w:sz="4" w:space="0" w:color="auto"/>
            </w:tcBorders>
            <w:shd w:val="clear" w:color="auto" w:fill="auto"/>
            <w:noWrap/>
            <w:vAlign w:val="center"/>
          </w:tcPr>
          <w:p w:rsidR="00C47EE9" w:rsidRPr="00C47EE9" w:rsidRDefault="00C47EE9" w:rsidP="00C47EE9">
            <w:pPr>
              <w:spacing w:after="0"/>
              <w:ind w:hanging="1"/>
              <w:rPr>
                <w:rFonts w:ascii="Arial Narrow" w:hAnsi="Arial Narrow" w:cs="Arial"/>
                <w:b/>
              </w:rPr>
            </w:pPr>
          </w:p>
        </w:tc>
        <w:tc>
          <w:tcPr>
            <w:tcW w:w="1967" w:type="dxa"/>
            <w:tcBorders>
              <w:top w:val="single" w:sz="2" w:space="0" w:color="auto"/>
              <w:bottom w:val="single" w:sz="4" w:space="0" w:color="auto"/>
            </w:tcBorders>
            <w:shd w:val="clear" w:color="auto" w:fill="auto"/>
            <w:noWrap/>
            <w:vAlign w:val="center"/>
          </w:tcPr>
          <w:p w:rsidR="00C47EE9" w:rsidRPr="00C47EE9" w:rsidRDefault="00C47EE9" w:rsidP="00C47EE9">
            <w:pPr>
              <w:spacing w:after="0"/>
              <w:ind w:hanging="1"/>
              <w:jc w:val="right"/>
              <w:rPr>
                <w:rFonts w:ascii="Arial Narrow" w:hAnsi="Arial Narrow" w:cs="Arial"/>
                <w:b/>
                <w:bCs/>
              </w:rPr>
            </w:pPr>
            <w:r w:rsidRPr="00C47EE9">
              <w:rPr>
                <w:rFonts w:ascii="Arial Narrow" w:hAnsi="Arial Narrow" w:cs="Arial"/>
                <w:b/>
                <w:bCs/>
              </w:rPr>
              <w:t>631.135.789</w:t>
            </w:r>
          </w:p>
        </w:tc>
      </w:tr>
      <w:tr w:rsidR="00C47EE9" w:rsidRPr="00C47EE9" w:rsidTr="00C47EE9">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cs="Arial"/>
                <w:b/>
                <w:bCs/>
                <w:spacing w:val="6"/>
                <w:sz w:val="18"/>
                <w:szCs w:val="18"/>
              </w:rPr>
            </w:pPr>
            <w:r w:rsidRPr="00C47EE9">
              <w:rPr>
                <w:rFonts w:ascii="Arial" w:hAnsi="Arial" w:cs="Arial"/>
                <w:spacing w:val="6"/>
                <w:sz w:val="18"/>
                <w:szCs w:val="18"/>
              </w:rPr>
              <w:t>Remanente de Tesorería Total</w:t>
            </w:r>
          </w:p>
        </w:tc>
        <w:tc>
          <w:tcPr>
            <w:tcW w:w="1967" w:type="dxa"/>
            <w:tcBorders>
              <w:top w:val="single" w:sz="4" w:space="0" w:color="auto"/>
              <w:bottom w:val="single" w:sz="4" w:space="0" w:color="auto"/>
            </w:tcBorders>
            <w:shd w:val="clear" w:color="auto" w:fill="8DB3E2" w:themeFill="text2" w:themeFillTint="66"/>
            <w:noWrap/>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bCs/>
                <w:spacing w:val="6"/>
                <w:sz w:val="18"/>
                <w:szCs w:val="18"/>
              </w:rPr>
            </w:pPr>
            <w:r w:rsidRPr="00C47EE9">
              <w:rPr>
                <w:rFonts w:ascii="Arial" w:hAnsi="Arial" w:cs="Arial"/>
                <w:bCs/>
                <w:spacing w:val="6"/>
                <w:sz w:val="18"/>
                <w:szCs w:val="18"/>
              </w:rPr>
              <w:t>414.565.573</w:t>
            </w:r>
          </w:p>
        </w:tc>
      </w:tr>
      <w:tr w:rsidR="00C47EE9" w:rsidRPr="00C47EE9" w:rsidTr="00557ED4">
        <w:trPr>
          <w:trHeight w:val="198"/>
          <w:jc w:val="center"/>
        </w:trPr>
        <w:tc>
          <w:tcPr>
            <w:tcW w:w="4705" w:type="dxa"/>
            <w:tcBorders>
              <w:top w:val="single" w:sz="4" w:space="0" w:color="auto"/>
              <w:bottom w:val="single" w:sz="2" w:space="0" w:color="auto"/>
            </w:tcBorders>
            <w:shd w:val="clear" w:color="auto" w:fill="auto"/>
            <w:noWrap/>
            <w:vAlign w:val="center"/>
          </w:tcPr>
          <w:p w:rsidR="00C47EE9" w:rsidRPr="00C47EE9" w:rsidRDefault="00C47EE9" w:rsidP="00C47EE9">
            <w:pPr>
              <w:spacing w:after="0"/>
              <w:ind w:firstLine="0"/>
              <w:jc w:val="left"/>
              <w:rPr>
                <w:rFonts w:ascii="Arial Narrow" w:hAnsi="Arial Narrow" w:cs="Arial"/>
              </w:rPr>
            </w:pPr>
            <w:r w:rsidRPr="00C47EE9">
              <w:rPr>
                <w:rFonts w:ascii="Arial Narrow" w:hAnsi="Arial Narrow" w:cs="Arial"/>
              </w:rPr>
              <w:t>R.T. afecto a Fondo Haciendas Locales</w:t>
            </w:r>
          </w:p>
        </w:tc>
        <w:tc>
          <w:tcPr>
            <w:tcW w:w="2281" w:type="dxa"/>
            <w:tcBorders>
              <w:top w:val="single" w:sz="4" w:space="0" w:color="auto"/>
              <w:bottom w:val="single" w:sz="2" w:space="0" w:color="auto"/>
            </w:tcBorders>
            <w:shd w:val="clear" w:color="auto" w:fill="auto"/>
            <w:noWrap/>
            <w:vAlign w:val="center"/>
          </w:tcPr>
          <w:p w:rsidR="00C47EE9" w:rsidRPr="00C47EE9" w:rsidRDefault="00C47EE9" w:rsidP="00C47EE9">
            <w:pPr>
              <w:spacing w:after="0"/>
              <w:ind w:hanging="1"/>
              <w:jc w:val="right"/>
              <w:rPr>
                <w:rFonts w:ascii="Arial Narrow" w:hAnsi="Arial Narrow" w:cs="Arial"/>
              </w:rPr>
            </w:pPr>
            <w:r w:rsidRPr="00C47EE9">
              <w:rPr>
                <w:rFonts w:ascii="Arial Narrow" w:hAnsi="Arial Narrow" w:cs="Arial"/>
              </w:rPr>
              <w:t>50.523.395</w:t>
            </w:r>
          </w:p>
        </w:tc>
        <w:tc>
          <w:tcPr>
            <w:tcW w:w="1967" w:type="dxa"/>
            <w:tcBorders>
              <w:top w:val="single" w:sz="4"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b/>
              </w:rPr>
            </w:pPr>
          </w:p>
        </w:tc>
      </w:tr>
      <w:tr w:rsidR="00C47EE9" w:rsidRPr="00C47EE9" w:rsidTr="00557ED4">
        <w:trPr>
          <w:trHeight w:val="198"/>
          <w:jc w:val="center"/>
        </w:trPr>
        <w:tc>
          <w:tcPr>
            <w:tcW w:w="4705"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firstLine="0"/>
              <w:jc w:val="left"/>
              <w:rPr>
                <w:rFonts w:ascii="Arial Narrow" w:hAnsi="Arial Narrow" w:cs="Arial"/>
              </w:rPr>
            </w:pPr>
            <w:r w:rsidRPr="00C47EE9">
              <w:rPr>
                <w:rFonts w:ascii="Arial Narrow" w:hAnsi="Arial Narrow" w:cs="Arial"/>
              </w:rPr>
              <w:t>Desviaciones de financiación acumuladas positivas</w:t>
            </w:r>
          </w:p>
        </w:tc>
        <w:tc>
          <w:tcPr>
            <w:tcW w:w="2281"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jc w:val="right"/>
              <w:rPr>
                <w:rFonts w:ascii="Arial Narrow" w:hAnsi="Arial Narrow" w:cs="Arial"/>
              </w:rPr>
            </w:pPr>
            <w:r w:rsidRPr="00C47EE9">
              <w:rPr>
                <w:rFonts w:ascii="Arial Narrow" w:hAnsi="Arial Narrow" w:cs="Arial"/>
              </w:rPr>
              <w:t>4.013.693</w:t>
            </w:r>
          </w:p>
        </w:tc>
        <w:tc>
          <w:tcPr>
            <w:tcW w:w="1967" w:type="dxa"/>
            <w:tcBorders>
              <w:top w:val="single" w:sz="2" w:space="0" w:color="auto"/>
              <w:bottom w:val="single" w:sz="2" w:space="0" w:color="auto"/>
            </w:tcBorders>
            <w:shd w:val="clear" w:color="auto" w:fill="auto"/>
            <w:noWrap/>
            <w:vAlign w:val="center"/>
          </w:tcPr>
          <w:p w:rsidR="00C47EE9" w:rsidRPr="00C47EE9" w:rsidRDefault="00C47EE9" w:rsidP="00C47EE9">
            <w:pPr>
              <w:spacing w:after="0"/>
              <w:ind w:hanging="1"/>
              <w:rPr>
                <w:rFonts w:ascii="Arial Narrow" w:hAnsi="Arial Narrow" w:cs="Arial"/>
                <w:b/>
              </w:rPr>
            </w:pPr>
          </w:p>
        </w:tc>
      </w:tr>
      <w:tr w:rsidR="00C47EE9" w:rsidRPr="00C47EE9" w:rsidTr="00C47EE9">
        <w:trPr>
          <w:trHeight w:val="198"/>
          <w:jc w:val="center"/>
        </w:trPr>
        <w:tc>
          <w:tcPr>
            <w:tcW w:w="4705" w:type="dxa"/>
            <w:tcBorders>
              <w:top w:val="single" w:sz="2" w:space="0" w:color="auto"/>
              <w:bottom w:val="single" w:sz="4" w:space="0" w:color="auto"/>
            </w:tcBorders>
            <w:shd w:val="clear" w:color="auto" w:fill="auto"/>
            <w:noWrap/>
            <w:vAlign w:val="center"/>
          </w:tcPr>
          <w:p w:rsidR="00C47EE9" w:rsidRPr="00C47EE9" w:rsidRDefault="00C47EE9" w:rsidP="00C47EE9">
            <w:pPr>
              <w:spacing w:after="0"/>
              <w:ind w:firstLine="0"/>
              <w:jc w:val="left"/>
              <w:rPr>
                <w:rFonts w:ascii="Arial Narrow" w:hAnsi="Arial Narrow" w:cs="Arial"/>
              </w:rPr>
            </w:pPr>
            <w:r w:rsidRPr="00C47EE9">
              <w:rPr>
                <w:rFonts w:ascii="Arial Narrow" w:hAnsi="Arial Narrow" w:cs="Arial"/>
              </w:rPr>
              <w:t>R.T. afecto 0,7% IRPF</w:t>
            </w:r>
          </w:p>
        </w:tc>
        <w:tc>
          <w:tcPr>
            <w:tcW w:w="2281" w:type="dxa"/>
            <w:tcBorders>
              <w:top w:val="single" w:sz="2" w:space="0" w:color="auto"/>
              <w:bottom w:val="single" w:sz="4" w:space="0" w:color="auto"/>
            </w:tcBorders>
            <w:shd w:val="clear" w:color="auto" w:fill="auto"/>
            <w:noWrap/>
            <w:vAlign w:val="center"/>
          </w:tcPr>
          <w:p w:rsidR="00C47EE9" w:rsidRPr="00C47EE9" w:rsidRDefault="00C47EE9" w:rsidP="00C47EE9">
            <w:pPr>
              <w:spacing w:after="0"/>
              <w:ind w:hanging="1"/>
              <w:jc w:val="right"/>
              <w:rPr>
                <w:rFonts w:ascii="Arial Narrow" w:hAnsi="Arial Narrow" w:cs="Arial"/>
              </w:rPr>
            </w:pPr>
            <w:r w:rsidRPr="00C47EE9">
              <w:rPr>
                <w:rFonts w:ascii="Arial Narrow" w:hAnsi="Arial Narrow" w:cs="Arial"/>
              </w:rPr>
              <w:t>818.692</w:t>
            </w:r>
          </w:p>
        </w:tc>
        <w:tc>
          <w:tcPr>
            <w:tcW w:w="1967" w:type="dxa"/>
            <w:tcBorders>
              <w:top w:val="single" w:sz="2" w:space="0" w:color="auto"/>
              <w:bottom w:val="single" w:sz="4" w:space="0" w:color="auto"/>
            </w:tcBorders>
            <w:shd w:val="clear" w:color="auto" w:fill="auto"/>
            <w:noWrap/>
            <w:vAlign w:val="center"/>
          </w:tcPr>
          <w:p w:rsidR="00C47EE9" w:rsidRPr="00C47EE9" w:rsidRDefault="00C47EE9" w:rsidP="00C47EE9">
            <w:pPr>
              <w:spacing w:after="0"/>
              <w:ind w:hanging="1"/>
              <w:rPr>
                <w:rFonts w:ascii="Arial Narrow" w:hAnsi="Arial Narrow" w:cs="Arial"/>
                <w:b/>
              </w:rPr>
            </w:pPr>
          </w:p>
        </w:tc>
      </w:tr>
      <w:tr w:rsidR="00C47EE9" w:rsidRPr="00C47EE9" w:rsidTr="00C47EE9">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sidRPr="00C47EE9">
              <w:rPr>
                <w:rFonts w:ascii="Arial" w:hAnsi="Arial" w:cs="Arial"/>
                <w:spacing w:val="6"/>
                <w:sz w:val="18"/>
                <w:szCs w:val="18"/>
              </w:rPr>
              <w:t>Remanente de Tesorería afecto</w:t>
            </w:r>
          </w:p>
        </w:tc>
        <w:tc>
          <w:tcPr>
            <w:tcW w:w="1967" w:type="dxa"/>
            <w:tcBorders>
              <w:top w:val="single" w:sz="4" w:space="0" w:color="auto"/>
              <w:bottom w:val="single" w:sz="4" w:space="0" w:color="auto"/>
            </w:tcBorders>
            <w:shd w:val="clear" w:color="auto" w:fill="8DB3E2" w:themeFill="text2" w:themeFillTint="66"/>
            <w:noWrap/>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47EE9">
              <w:rPr>
                <w:rFonts w:ascii="Arial" w:hAnsi="Arial" w:cs="Arial"/>
                <w:spacing w:val="6"/>
                <w:sz w:val="18"/>
                <w:szCs w:val="18"/>
              </w:rPr>
              <w:t>55.355.780</w:t>
            </w:r>
          </w:p>
        </w:tc>
      </w:tr>
      <w:tr w:rsidR="00C47EE9" w:rsidRPr="00C47EE9" w:rsidTr="00C47EE9">
        <w:trPr>
          <w:trHeight w:val="255"/>
          <w:jc w:val="center"/>
        </w:trPr>
        <w:tc>
          <w:tcPr>
            <w:tcW w:w="6986" w:type="dxa"/>
            <w:gridSpan w:val="2"/>
            <w:tcBorders>
              <w:top w:val="single" w:sz="4" w:space="0" w:color="auto"/>
              <w:bottom w:val="single" w:sz="4" w:space="0" w:color="auto"/>
            </w:tcBorders>
            <w:shd w:val="clear" w:color="auto" w:fill="8DB3E2" w:themeFill="text2" w:themeFillTint="66"/>
            <w:noWrap/>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sidRPr="00C47EE9">
              <w:rPr>
                <w:rFonts w:ascii="Arial" w:hAnsi="Arial" w:cs="Arial"/>
                <w:spacing w:val="6"/>
                <w:sz w:val="18"/>
                <w:szCs w:val="18"/>
              </w:rPr>
              <w:t>Remanente de Tesorería gastos generales</w:t>
            </w:r>
          </w:p>
        </w:tc>
        <w:tc>
          <w:tcPr>
            <w:tcW w:w="1967" w:type="dxa"/>
            <w:tcBorders>
              <w:top w:val="single" w:sz="4" w:space="0" w:color="auto"/>
              <w:bottom w:val="single" w:sz="4" w:space="0" w:color="auto"/>
            </w:tcBorders>
            <w:shd w:val="clear" w:color="auto" w:fill="8DB3E2" w:themeFill="text2" w:themeFillTint="66"/>
            <w:noWrap/>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bCs/>
                <w:spacing w:val="6"/>
                <w:sz w:val="18"/>
                <w:szCs w:val="18"/>
              </w:rPr>
            </w:pPr>
            <w:r w:rsidRPr="00C47EE9">
              <w:rPr>
                <w:rFonts w:ascii="Arial" w:hAnsi="Arial" w:cs="Arial"/>
                <w:bCs/>
                <w:spacing w:val="6"/>
                <w:sz w:val="18"/>
                <w:szCs w:val="18"/>
              </w:rPr>
              <w:t>359.209.793</w:t>
            </w:r>
          </w:p>
        </w:tc>
      </w:tr>
    </w:tbl>
    <w:p w:rsidR="00C47EE9" w:rsidRPr="00C47EE9" w:rsidRDefault="00C47EE9" w:rsidP="00C47EE9">
      <w:pPr>
        <w:tabs>
          <w:tab w:val="center" w:pos="2835"/>
          <w:tab w:val="center" w:pos="3969"/>
          <w:tab w:val="center" w:pos="5103"/>
          <w:tab w:val="center" w:pos="6237"/>
          <w:tab w:val="center" w:pos="7371"/>
        </w:tabs>
        <w:ind w:firstLine="284"/>
        <w:rPr>
          <w:spacing w:val="6"/>
          <w:sz w:val="26"/>
          <w:szCs w:val="24"/>
        </w:rPr>
      </w:pPr>
    </w:p>
    <w:p w:rsidR="00C47EE9" w:rsidRPr="00C47EE9" w:rsidRDefault="00C47EE9" w:rsidP="00232E50">
      <w:pPr>
        <w:pStyle w:val="atitulo2"/>
        <w:spacing w:after="120"/>
      </w:pPr>
      <w:r w:rsidRPr="00C47EE9">
        <w:br w:type="page"/>
      </w:r>
      <w:bookmarkStart w:id="46" w:name="_Toc399859619"/>
      <w:bookmarkStart w:id="47" w:name="_Toc463350244"/>
      <w:bookmarkStart w:id="48" w:name="_Toc494270378"/>
      <w:bookmarkStart w:id="49" w:name="_Toc525907435"/>
      <w:bookmarkStart w:id="50" w:name="_Toc530034663"/>
      <w:r w:rsidRPr="00C47EE9">
        <w:lastRenderedPageBreak/>
        <w:t>IV.4. Balance de situación a 31 de diciembre de 201</w:t>
      </w:r>
      <w:bookmarkEnd w:id="46"/>
      <w:bookmarkEnd w:id="47"/>
      <w:bookmarkEnd w:id="48"/>
      <w:r w:rsidRPr="00C47EE9">
        <w:t>7</w:t>
      </w:r>
      <w:bookmarkEnd w:id="49"/>
      <w:bookmarkEnd w:id="50"/>
    </w:p>
    <w:p w:rsidR="00C47EE9" w:rsidRPr="00C47EE9" w:rsidRDefault="00C47EE9" w:rsidP="00C47EE9">
      <w:pPr>
        <w:suppressAutoHyphens/>
        <w:spacing w:after="60"/>
        <w:ind w:firstLine="0"/>
        <w:jc w:val="right"/>
        <w:rPr>
          <w:rFonts w:ascii="Arial" w:hAnsi="Arial"/>
          <w:spacing w:val="6"/>
          <w:sz w:val="17"/>
          <w:szCs w:val="17"/>
        </w:rPr>
      </w:pPr>
      <w:r w:rsidRPr="00C47EE9">
        <w:rPr>
          <w:rFonts w:ascii="Arial" w:hAnsi="Arial"/>
          <w:spacing w:val="6"/>
          <w:sz w:val="17"/>
          <w:szCs w:val="17"/>
        </w:rPr>
        <w:t>(en euros)</w:t>
      </w:r>
    </w:p>
    <w:tbl>
      <w:tblPr>
        <w:tblW w:w="8886" w:type="dxa"/>
        <w:jc w:val="center"/>
        <w:tblLayout w:type="fixed"/>
        <w:tblCellMar>
          <w:left w:w="70" w:type="dxa"/>
          <w:right w:w="70" w:type="dxa"/>
        </w:tblCellMar>
        <w:tblLook w:val="0000" w:firstRow="0" w:lastRow="0" w:firstColumn="0" w:lastColumn="0" w:noHBand="0" w:noVBand="0"/>
      </w:tblPr>
      <w:tblGrid>
        <w:gridCol w:w="5074"/>
        <w:gridCol w:w="1843"/>
        <w:gridCol w:w="1969"/>
      </w:tblGrid>
      <w:tr w:rsidR="00C47EE9" w:rsidRPr="00C47EE9" w:rsidTr="00C47EE9">
        <w:trPr>
          <w:trHeight w:val="255"/>
          <w:jc w:val="center"/>
        </w:trPr>
        <w:tc>
          <w:tcPr>
            <w:tcW w:w="5074"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sidRPr="00C47EE9">
              <w:rPr>
                <w:rFonts w:ascii="Arial" w:hAnsi="Arial"/>
                <w:snapToGrid w:val="0"/>
                <w:spacing w:val="6"/>
                <w:sz w:val="18"/>
                <w:szCs w:val="24"/>
              </w:rPr>
              <w:t>ACTIVO</w:t>
            </w:r>
          </w:p>
        </w:tc>
        <w:tc>
          <w:tcPr>
            <w:tcW w:w="1843"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left="-63" w:right="72" w:firstLine="0"/>
              <w:jc w:val="right"/>
              <w:rPr>
                <w:rFonts w:ascii="Arial" w:hAnsi="Arial"/>
                <w:snapToGrid w:val="0"/>
                <w:spacing w:val="6"/>
                <w:sz w:val="18"/>
                <w:szCs w:val="24"/>
                <w:lang w:val="es-ES"/>
              </w:rPr>
            </w:pPr>
            <w:r w:rsidRPr="00C47EE9">
              <w:rPr>
                <w:rFonts w:ascii="Arial" w:hAnsi="Arial"/>
                <w:snapToGrid w:val="0"/>
                <w:spacing w:val="6"/>
                <w:sz w:val="18"/>
                <w:szCs w:val="24"/>
                <w:lang w:val="es-ES"/>
              </w:rPr>
              <w:t>Ejercicio 2017</w:t>
            </w:r>
          </w:p>
        </w:tc>
        <w:tc>
          <w:tcPr>
            <w:tcW w:w="1969"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left="-63" w:firstLine="0"/>
              <w:jc w:val="center"/>
              <w:rPr>
                <w:rFonts w:ascii="Arial" w:hAnsi="Arial"/>
                <w:snapToGrid w:val="0"/>
                <w:spacing w:val="6"/>
                <w:sz w:val="18"/>
                <w:szCs w:val="24"/>
                <w:lang w:val="es-ES"/>
              </w:rPr>
            </w:pPr>
            <w:r w:rsidRPr="00C47EE9">
              <w:rPr>
                <w:rFonts w:ascii="Arial" w:hAnsi="Arial"/>
                <w:snapToGrid w:val="0"/>
                <w:spacing w:val="6"/>
                <w:sz w:val="18"/>
                <w:szCs w:val="24"/>
                <w:lang w:val="es-ES"/>
              </w:rPr>
              <w:t xml:space="preserve">        Ejercicio 2016</w:t>
            </w:r>
          </w:p>
        </w:tc>
      </w:tr>
      <w:tr w:rsidR="00C47EE9" w:rsidRPr="00C47EE9" w:rsidTr="00C47EE9">
        <w:trPr>
          <w:trHeight w:val="255"/>
          <w:jc w:val="center"/>
        </w:trPr>
        <w:tc>
          <w:tcPr>
            <w:tcW w:w="5074" w:type="dxa"/>
            <w:tcBorders>
              <w:top w:val="single" w:sz="4" w:space="0" w:color="auto"/>
              <w:bottom w:val="single" w:sz="4" w:space="0" w:color="auto"/>
            </w:tcBorders>
            <w:vAlign w:val="center"/>
          </w:tcPr>
          <w:p w:rsidR="00C47EE9" w:rsidRPr="00C47EE9" w:rsidRDefault="00C47EE9" w:rsidP="00C47EE9">
            <w:pPr>
              <w:spacing w:after="0"/>
              <w:ind w:firstLine="0"/>
              <w:rPr>
                <w:rFonts w:ascii="Arial Narrow" w:hAnsi="Arial Narrow" w:cs="Arial"/>
                <w:b/>
                <w:snapToGrid w:val="0"/>
                <w:color w:val="000000"/>
              </w:rPr>
            </w:pPr>
            <w:r w:rsidRPr="00C47EE9">
              <w:rPr>
                <w:rFonts w:ascii="Arial Narrow" w:hAnsi="Arial Narrow" w:cs="Arial"/>
                <w:b/>
                <w:snapToGrid w:val="0"/>
                <w:color w:val="000000"/>
              </w:rPr>
              <w:t xml:space="preserve">A) Inmovilizado </w:t>
            </w:r>
          </w:p>
        </w:tc>
        <w:tc>
          <w:tcPr>
            <w:tcW w:w="1843" w:type="dxa"/>
            <w:tcBorders>
              <w:top w:val="single" w:sz="4" w:space="0" w:color="auto"/>
              <w:bottom w:val="single" w:sz="4"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sidRPr="00C47EE9">
              <w:rPr>
                <w:rFonts w:ascii="Arial Narrow" w:hAnsi="Arial Narrow" w:cs="Arial"/>
                <w:b/>
                <w:snapToGrid w:val="0"/>
                <w:color w:val="000000"/>
              </w:rPr>
              <w:t>2.806.341.257</w:t>
            </w:r>
          </w:p>
        </w:tc>
        <w:tc>
          <w:tcPr>
            <w:tcW w:w="1969" w:type="dxa"/>
            <w:tcBorders>
              <w:top w:val="single" w:sz="4" w:space="0" w:color="auto"/>
              <w:bottom w:val="single" w:sz="4"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sidRPr="00C47EE9">
              <w:rPr>
                <w:rFonts w:ascii="Arial Narrow" w:hAnsi="Arial Narrow" w:cs="Arial"/>
                <w:b/>
                <w:snapToGrid w:val="0"/>
                <w:color w:val="000000"/>
              </w:rPr>
              <w:t>2.819.319.088</w:t>
            </w:r>
          </w:p>
        </w:tc>
      </w:tr>
      <w:tr w:rsidR="00C47EE9" w:rsidRPr="00C47EE9" w:rsidTr="00C47EE9">
        <w:trPr>
          <w:trHeight w:val="255"/>
          <w:jc w:val="center"/>
        </w:trPr>
        <w:tc>
          <w:tcPr>
            <w:tcW w:w="5074" w:type="dxa"/>
            <w:tcBorders>
              <w:top w:val="single" w:sz="4" w:space="0" w:color="auto"/>
            </w:tcBorders>
            <w:vAlign w:val="center"/>
          </w:tcPr>
          <w:p w:rsidR="00C47EE9" w:rsidRPr="00C47EE9" w:rsidRDefault="00C47EE9" w:rsidP="00C47EE9">
            <w:pPr>
              <w:spacing w:after="0"/>
              <w:ind w:firstLine="0"/>
              <w:rPr>
                <w:rFonts w:ascii="Arial Narrow" w:hAnsi="Arial Narrow" w:cs="Arial"/>
                <w:b/>
                <w:snapToGrid w:val="0"/>
                <w:color w:val="000000"/>
              </w:rPr>
            </w:pPr>
            <w:r w:rsidRPr="00C47EE9">
              <w:rPr>
                <w:rFonts w:ascii="Arial Narrow" w:hAnsi="Arial Narrow" w:cs="Arial"/>
                <w:b/>
                <w:snapToGrid w:val="0"/>
                <w:color w:val="000000"/>
              </w:rPr>
              <w:t>III. Inmovilizaciones materiales</w:t>
            </w:r>
          </w:p>
        </w:tc>
        <w:tc>
          <w:tcPr>
            <w:tcW w:w="1843" w:type="dxa"/>
            <w:tcBorders>
              <w:top w:val="single" w:sz="4"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sidRPr="00C47EE9">
              <w:rPr>
                <w:rFonts w:ascii="Arial Narrow" w:hAnsi="Arial Narrow" w:cs="Arial"/>
                <w:b/>
                <w:snapToGrid w:val="0"/>
                <w:color w:val="000000"/>
              </w:rPr>
              <w:t>2.269.837.824</w:t>
            </w:r>
          </w:p>
        </w:tc>
        <w:tc>
          <w:tcPr>
            <w:tcW w:w="1969" w:type="dxa"/>
            <w:tcBorders>
              <w:top w:val="single" w:sz="4"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sidRPr="00C47EE9">
              <w:rPr>
                <w:rFonts w:ascii="Arial Narrow" w:hAnsi="Arial Narrow" w:cs="Arial"/>
                <w:b/>
                <w:snapToGrid w:val="0"/>
                <w:color w:val="000000"/>
              </w:rPr>
              <w:t>2.218.327.677</w:t>
            </w:r>
          </w:p>
        </w:tc>
      </w:tr>
      <w:tr w:rsidR="00C47EE9" w:rsidRPr="00C47EE9" w:rsidTr="00C47EE9">
        <w:trPr>
          <w:trHeight w:val="198"/>
          <w:jc w:val="center"/>
        </w:trPr>
        <w:tc>
          <w:tcPr>
            <w:tcW w:w="5074" w:type="dxa"/>
            <w:vAlign w:val="center"/>
          </w:tcPr>
          <w:p w:rsidR="00C47EE9" w:rsidRPr="00C47EE9" w:rsidRDefault="00C47EE9"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 xml:space="preserve">1. Terrenos y construcciones </w:t>
            </w:r>
          </w:p>
        </w:tc>
        <w:tc>
          <w:tcPr>
            <w:tcW w:w="1843" w:type="dxa"/>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1.527.036.478</w:t>
            </w:r>
          </w:p>
        </w:tc>
        <w:tc>
          <w:tcPr>
            <w:tcW w:w="1969" w:type="dxa"/>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1.501.283.482</w:t>
            </w:r>
          </w:p>
        </w:tc>
      </w:tr>
      <w:tr w:rsidR="00C47EE9" w:rsidRPr="00C47EE9" w:rsidTr="00C47EE9">
        <w:trPr>
          <w:trHeight w:val="198"/>
          <w:jc w:val="center"/>
        </w:trPr>
        <w:tc>
          <w:tcPr>
            <w:tcW w:w="5074" w:type="dxa"/>
            <w:vAlign w:val="center"/>
          </w:tcPr>
          <w:p w:rsidR="00C47EE9" w:rsidRPr="00C47EE9" w:rsidRDefault="00C47EE9"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2. Instalaciones técnicas y maquinaria</w:t>
            </w:r>
          </w:p>
        </w:tc>
        <w:tc>
          <w:tcPr>
            <w:tcW w:w="1843" w:type="dxa"/>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71.075.757</w:t>
            </w:r>
          </w:p>
        </w:tc>
        <w:tc>
          <w:tcPr>
            <w:tcW w:w="1969" w:type="dxa"/>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69.405.710</w:t>
            </w:r>
          </w:p>
        </w:tc>
      </w:tr>
      <w:tr w:rsidR="00C47EE9" w:rsidRPr="00C47EE9" w:rsidTr="00C47EE9">
        <w:trPr>
          <w:trHeight w:val="198"/>
          <w:jc w:val="center"/>
        </w:trPr>
        <w:tc>
          <w:tcPr>
            <w:tcW w:w="5074" w:type="dxa"/>
            <w:vAlign w:val="center"/>
          </w:tcPr>
          <w:p w:rsidR="00C47EE9" w:rsidRPr="00C47EE9" w:rsidRDefault="00C47EE9"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3. Utillaje y mobiliario</w:t>
            </w:r>
          </w:p>
        </w:tc>
        <w:tc>
          <w:tcPr>
            <w:tcW w:w="1843" w:type="dxa"/>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401.916.231</w:t>
            </w:r>
          </w:p>
        </w:tc>
        <w:tc>
          <w:tcPr>
            <w:tcW w:w="1969" w:type="dxa"/>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388.433.588</w:t>
            </w:r>
          </w:p>
        </w:tc>
      </w:tr>
      <w:tr w:rsidR="00C47EE9" w:rsidRPr="00C47EE9" w:rsidTr="00C47EE9">
        <w:trPr>
          <w:trHeight w:val="198"/>
          <w:jc w:val="center"/>
        </w:trPr>
        <w:tc>
          <w:tcPr>
            <w:tcW w:w="5074" w:type="dxa"/>
            <w:tcBorders>
              <w:bottom w:val="single" w:sz="2" w:space="0" w:color="auto"/>
            </w:tcBorders>
            <w:vAlign w:val="center"/>
          </w:tcPr>
          <w:p w:rsidR="00C47EE9" w:rsidRPr="00C47EE9" w:rsidRDefault="00C47EE9"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 xml:space="preserve">4. Otro inmovilizado </w:t>
            </w:r>
          </w:p>
        </w:tc>
        <w:tc>
          <w:tcPr>
            <w:tcW w:w="1843" w:type="dxa"/>
            <w:tcBorders>
              <w:bottom w:val="single" w:sz="2" w:space="0" w:color="auto"/>
            </w:tcBorders>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269.809.358</w:t>
            </w:r>
          </w:p>
        </w:tc>
        <w:tc>
          <w:tcPr>
            <w:tcW w:w="1969" w:type="dxa"/>
            <w:tcBorders>
              <w:bottom w:val="single" w:sz="2" w:space="0" w:color="auto"/>
            </w:tcBorders>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259.204.897</w:t>
            </w:r>
          </w:p>
        </w:tc>
      </w:tr>
      <w:tr w:rsidR="00C47EE9" w:rsidRPr="00C47EE9" w:rsidTr="00C47EE9">
        <w:trPr>
          <w:trHeight w:val="255"/>
          <w:jc w:val="center"/>
        </w:trPr>
        <w:tc>
          <w:tcPr>
            <w:tcW w:w="5074" w:type="dxa"/>
            <w:tcBorders>
              <w:top w:val="single" w:sz="2" w:space="0" w:color="auto"/>
            </w:tcBorders>
            <w:vAlign w:val="center"/>
          </w:tcPr>
          <w:p w:rsidR="00C47EE9" w:rsidRPr="00C47EE9" w:rsidRDefault="00C47EE9" w:rsidP="00C47EE9">
            <w:pPr>
              <w:spacing w:after="0"/>
              <w:ind w:firstLine="0"/>
              <w:rPr>
                <w:rFonts w:ascii="Arial Narrow" w:hAnsi="Arial Narrow" w:cs="Arial"/>
                <w:b/>
                <w:snapToGrid w:val="0"/>
                <w:color w:val="000000"/>
              </w:rPr>
            </w:pPr>
            <w:r w:rsidRPr="00C47EE9">
              <w:rPr>
                <w:rFonts w:ascii="Arial Narrow" w:hAnsi="Arial Narrow" w:cs="Arial"/>
                <w:b/>
                <w:snapToGrid w:val="0"/>
                <w:color w:val="000000"/>
              </w:rPr>
              <w:t>V. Inversiones financieras permanentes</w:t>
            </w:r>
          </w:p>
        </w:tc>
        <w:tc>
          <w:tcPr>
            <w:tcW w:w="1843" w:type="dxa"/>
            <w:tcBorders>
              <w:top w:val="single" w:sz="2"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sidRPr="00C47EE9">
              <w:rPr>
                <w:rFonts w:ascii="Arial Narrow" w:hAnsi="Arial Narrow" w:cs="Arial"/>
                <w:b/>
                <w:snapToGrid w:val="0"/>
                <w:color w:val="000000"/>
              </w:rPr>
              <w:t>536.503.433</w:t>
            </w:r>
          </w:p>
        </w:tc>
        <w:tc>
          <w:tcPr>
            <w:tcW w:w="1969" w:type="dxa"/>
            <w:tcBorders>
              <w:top w:val="single" w:sz="2"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sidRPr="00C47EE9">
              <w:rPr>
                <w:rFonts w:ascii="Arial Narrow" w:hAnsi="Arial Narrow" w:cs="Arial"/>
                <w:b/>
                <w:snapToGrid w:val="0"/>
                <w:color w:val="000000"/>
              </w:rPr>
              <w:t>600.991.411</w:t>
            </w:r>
          </w:p>
        </w:tc>
      </w:tr>
      <w:tr w:rsidR="00C47EE9" w:rsidRPr="00C47EE9" w:rsidTr="00C47EE9">
        <w:trPr>
          <w:trHeight w:val="198"/>
          <w:jc w:val="center"/>
        </w:trPr>
        <w:tc>
          <w:tcPr>
            <w:tcW w:w="5074" w:type="dxa"/>
            <w:vAlign w:val="center"/>
          </w:tcPr>
          <w:p w:rsidR="00C47EE9" w:rsidRPr="00C47EE9" w:rsidRDefault="00C47EE9"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 xml:space="preserve">1. Cartera de valores a largo plazo </w:t>
            </w:r>
          </w:p>
        </w:tc>
        <w:tc>
          <w:tcPr>
            <w:tcW w:w="1843" w:type="dxa"/>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540.187.255</w:t>
            </w:r>
          </w:p>
        </w:tc>
        <w:tc>
          <w:tcPr>
            <w:tcW w:w="1969" w:type="dxa"/>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534.493.407</w:t>
            </w:r>
          </w:p>
        </w:tc>
      </w:tr>
      <w:tr w:rsidR="00C47EE9" w:rsidRPr="00C47EE9" w:rsidTr="00C47EE9">
        <w:trPr>
          <w:trHeight w:val="198"/>
          <w:jc w:val="center"/>
        </w:trPr>
        <w:tc>
          <w:tcPr>
            <w:tcW w:w="5074" w:type="dxa"/>
            <w:vAlign w:val="center"/>
          </w:tcPr>
          <w:p w:rsidR="00C47EE9" w:rsidRPr="00C47EE9" w:rsidRDefault="00C47EE9"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2. Otras inversiones y créditos a largo plazo</w:t>
            </w:r>
          </w:p>
        </w:tc>
        <w:tc>
          <w:tcPr>
            <w:tcW w:w="1843" w:type="dxa"/>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74.066.473</w:t>
            </w:r>
          </w:p>
        </w:tc>
        <w:tc>
          <w:tcPr>
            <w:tcW w:w="1969" w:type="dxa"/>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67.385.457</w:t>
            </w:r>
          </w:p>
        </w:tc>
      </w:tr>
      <w:tr w:rsidR="00C47EE9" w:rsidRPr="00C47EE9" w:rsidTr="00C47EE9">
        <w:trPr>
          <w:trHeight w:val="198"/>
          <w:jc w:val="center"/>
        </w:trPr>
        <w:tc>
          <w:tcPr>
            <w:tcW w:w="5074" w:type="dxa"/>
            <w:tcBorders>
              <w:bottom w:val="single" w:sz="4" w:space="0" w:color="auto"/>
            </w:tcBorders>
            <w:vAlign w:val="center"/>
          </w:tcPr>
          <w:p w:rsidR="00C47EE9" w:rsidRPr="00C47EE9" w:rsidRDefault="00C47EE9"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4. (Provisiones)</w:t>
            </w:r>
          </w:p>
        </w:tc>
        <w:tc>
          <w:tcPr>
            <w:tcW w:w="1843" w:type="dxa"/>
            <w:tcBorders>
              <w:bottom w:val="single" w:sz="4" w:space="0" w:color="auto"/>
            </w:tcBorders>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-77.750.295</w:t>
            </w:r>
          </w:p>
        </w:tc>
        <w:tc>
          <w:tcPr>
            <w:tcW w:w="1969" w:type="dxa"/>
            <w:tcBorders>
              <w:bottom w:val="single" w:sz="4" w:space="0" w:color="auto"/>
            </w:tcBorders>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-887.453</w:t>
            </w:r>
          </w:p>
        </w:tc>
      </w:tr>
      <w:tr w:rsidR="00C47EE9" w:rsidRPr="00C47EE9" w:rsidTr="00C47EE9">
        <w:trPr>
          <w:trHeight w:val="255"/>
          <w:jc w:val="center"/>
        </w:trPr>
        <w:tc>
          <w:tcPr>
            <w:tcW w:w="5074" w:type="dxa"/>
            <w:tcBorders>
              <w:top w:val="single" w:sz="4" w:space="0" w:color="auto"/>
              <w:bottom w:val="single" w:sz="4" w:space="0" w:color="auto"/>
            </w:tcBorders>
            <w:vAlign w:val="center"/>
          </w:tcPr>
          <w:p w:rsidR="00C47EE9" w:rsidRPr="00C47EE9" w:rsidRDefault="00C47EE9" w:rsidP="00C47EE9">
            <w:pPr>
              <w:spacing w:after="0"/>
              <w:ind w:firstLine="0"/>
              <w:rPr>
                <w:rFonts w:ascii="Arial Narrow" w:hAnsi="Arial Narrow" w:cs="Arial"/>
                <w:b/>
                <w:snapToGrid w:val="0"/>
                <w:color w:val="000000"/>
              </w:rPr>
            </w:pPr>
            <w:r w:rsidRPr="00C47EE9">
              <w:rPr>
                <w:rFonts w:ascii="Arial Narrow" w:hAnsi="Arial Narrow" w:cs="Arial"/>
                <w:b/>
                <w:snapToGrid w:val="0"/>
                <w:color w:val="000000"/>
              </w:rPr>
              <w:t>C) Activo circulante</w:t>
            </w:r>
          </w:p>
        </w:tc>
        <w:tc>
          <w:tcPr>
            <w:tcW w:w="1843" w:type="dxa"/>
            <w:tcBorders>
              <w:top w:val="single" w:sz="4" w:space="0" w:color="auto"/>
              <w:bottom w:val="single" w:sz="4"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sidRPr="00C47EE9">
              <w:rPr>
                <w:rFonts w:ascii="Arial Narrow" w:hAnsi="Arial Narrow" w:cs="Arial"/>
                <w:b/>
                <w:snapToGrid w:val="0"/>
                <w:color w:val="000000"/>
              </w:rPr>
              <w:t>948.197.149</w:t>
            </w:r>
          </w:p>
        </w:tc>
        <w:tc>
          <w:tcPr>
            <w:tcW w:w="1969" w:type="dxa"/>
            <w:tcBorders>
              <w:top w:val="single" w:sz="4" w:space="0" w:color="auto"/>
              <w:bottom w:val="single" w:sz="4"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sidRPr="00C47EE9">
              <w:rPr>
                <w:rFonts w:ascii="Arial Narrow" w:hAnsi="Arial Narrow" w:cs="Arial"/>
                <w:b/>
                <w:snapToGrid w:val="0"/>
                <w:color w:val="000000"/>
              </w:rPr>
              <w:t>496.171.312</w:t>
            </w:r>
          </w:p>
        </w:tc>
      </w:tr>
      <w:tr w:rsidR="00C47EE9" w:rsidRPr="00C47EE9" w:rsidTr="00C47EE9">
        <w:trPr>
          <w:trHeight w:val="198"/>
          <w:jc w:val="center"/>
        </w:trPr>
        <w:tc>
          <w:tcPr>
            <w:tcW w:w="5074" w:type="dxa"/>
            <w:tcBorders>
              <w:top w:val="single" w:sz="4" w:space="0" w:color="auto"/>
            </w:tcBorders>
            <w:vAlign w:val="center"/>
          </w:tcPr>
          <w:p w:rsidR="00C47EE9" w:rsidRPr="00C47EE9" w:rsidRDefault="00C47EE9" w:rsidP="00C47EE9">
            <w:pPr>
              <w:spacing w:after="0"/>
              <w:ind w:firstLine="0"/>
              <w:rPr>
                <w:rFonts w:ascii="Arial Narrow" w:hAnsi="Arial Narrow" w:cs="Arial"/>
                <w:b/>
                <w:snapToGrid w:val="0"/>
                <w:color w:val="000000"/>
              </w:rPr>
            </w:pPr>
            <w:r w:rsidRPr="00C47EE9">
              <w:rPr>
                <w:rFonts w:ascii="Arial Narrow" w:hAnsi="Arial Narrow" w:cs="Arial"/>
                <w:b/>
                <w:snapToGrid w:val="0"/>
                <w:color w:val="000000"/>
              </w:rPr>
              <w:t xml:space="preserve">I. Existencias </w:t>
            </w:r>
          </w:p>
        </w:tc>
        <w:tc>
          <w:tcPr>
            <w:tcW w:w="1843" w:type="dxa"/>
            <w:tcBorders>
              <w:top w:val="single" w:sz="4"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sidRPr="00C47EE9">
              <w:rPr>
                <w:rFonts w:ascii="Arial Narrow" w:hAnsi="Arial Narrow" w:cs="Arial"/>
                <w:b/>
                <w:snapToGrid w:val="0"/>
                <w:color w:val="000000"/>
              </w:rPr>
              <w:t>18.623.835</w:t>
            </w:r>
          </w:p>
        </w:tc>
        <w:tc>
          <w:tcPr>
            <w:tcW w:w="1969" w:type="dxa"/>
            <w:tcBorders>
              <w:top w:val="single" w:sz="4"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sidRPr="00C47EE9">
              <w:rPr>
                <w:rFonts w:ascii="Arial Narrow" w:hAnsi="Arial Narrow" w:cs="Arial"/>
                <w:b/>
                <w:snapToGrid w:val="0"/>
                <w:color w:val="000000"/>
              </w:rPr>
              <w:t>17.669.835</w:t>
            </w:r>
          </w:p>
        </w:tc>
      </w:tr>
      <w:tr w:rsidR="00C47EE9" w:rsidRPr="00C47EE9" w:rsidTr="00C47EE9">
        <w:trPr>
          <w:trHeight w:val="198"/>
          <w:jc w:val="center"/>
        </w:trPr>
        <w:tc>
          <w:tcPr>
            <w:tcW w:w="5074" w:type="dxa"/>
            <w:tcBorders>
              <w:bottom w:val="single" w:sz="2" w:space="0" w:color="auto"/>
            </w:tcBorders>
            <w:vAlign w:val="center"/>
          </w:tcPr>
          <w:p w:rsidR="00C47EE9" w:rsidRPr="00C47EE9" w:rsidRDefault="00C47EE9"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2. Materias primas y otros aprovisionamientos</w:t>
            </w:r>
          </w:p>
        </w:tc>
        <w:tc>
          <w:tcPr>
            <w:tcW w:w="1843" w:type="dxa"/>
            <w:tcBorders>
              <w:bottom w:val="single" w:sz="2" w:space="0" w:color="auto"/>
            </w:tcBorders>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18.623.835</w:t>
            </w:r>
          </w:p>
        </w:tc>
        <w:tc>
          <w:tcPr>
            <w:tcW w:w="1969" w:type="dxa"/>
            <w:tcBorders>
              <w:bottom w:val="single" w:sz="2" w:space="0" w:color="auto"/>
            </w:tcBorders>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17.669.835</w:t>
            </w:r>
          </w:p>
        </w:tc>
      </w:tr>
      <w:tr w:rsidR="00C47EE9" w:rsidRPr="00C47EE9" w:rsidTr="00C47EE9">
        <w:trPr>
          <w:trHeight w:val="255"/>
          <w:jc w:val="center"/>
        </w:trPr>
        <w:tc>
          <w:tcPr>
            <w:tcW w:w="5074" w:type="dxa"/>
            <w:tcBorders>
              <w:top w:val="single" w:sz="2" w:space="0" w:color="auto"/>
            </w:tcBorders>
            <w:vAlign w:val="center"/>
          </w:tcPr>
          <w:p w:rsidR="00C47EE9" w:rsidRPr="00C47EE9" w:rsidRDefault="00C47EE9" w:rsidP="00C47EE9">
            <w:pPr>
              <w:spacing w:after="0"/>
              <w:ind w:firstLine="0"/>
              <w:rPr>
                <w:rFonts w:ascii="Arial Narrow" w:hAnsi="Arial Narrow" w:cs="Arial"/>
                <w:b/>
                <w:snapToGrid w:val="0"/>
                <w:color w:val="000000"/>
              </w:rPr>
            </w:pPr>
            <w:r w:rsidRPr="00C47EE9">
              <w:rPr>
                <w:rFonts w:ascii="Arial Narrow" w:hAnsi="Arial Narrow" w:cs="Arial"/>
                <w:b/>
                <w:snapToGrid w:val="0"/>
                <w:color w:val="000000"/>
              </w:rPr>
              <w:t xml:space="preserve">II. Deudores </w:t>
            </w:r>
          </w:p>
        </w:tc>
        <w:tc>
          <w:tcPr>
            <w:tcW w:w="1843" w:type="dxa"/>
            <w:tcBorders>
              <w:top w:val="single" w:sz="2"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sidRPr="00C47EE9">
              <w:rPr>
                <w:rFonts w:ascii="Arial Narrow" w:hAnsi="Arial Narrow" w:cs="Arial"/>
                <w:b/>
                <w:snapToGrid w:val="0"/>
                <w:color w:val="000000"/>
              </w:rPr>
              <w:t>298.419.502</w:t>
            </w:r>
          </w:p>
        </w:tc>
        <w:tc>
          <w:tcPr>
            <w:tcW w:w="1969" w:type="dxa"/>
            <w:tcBorders>
              <w:top w:val="single" w:sz="2"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sidRPr="00C47EE9">
              <w:rPr>
                <w:rFonts w:ascii="Arial Narrow" w:hAnsi="Arial Narrow" w:cs="Arial"/>
                <w:b/>
                <w:snapToGrid w:val="0"/>
                <w:color w:val="000000"/>
              </w:rPr>
              <w:t>337.532.940</w:t>
            </w:r>
          </w:p>
        </w:tc>
      </w:tr>
      <w:tr w:rsidR="00C47EE9" w:rsidRPr="00C47EE9" w:rsidTr="00C47EE9">
        <w:trPr>
          <w:trHeight w:val="198"/>
          <w:jc w:val="center"/>
        </w:trPr>
        <w:tc>
          <w:tcPr>
            <w:tcW w:w="5074" w:type="dxa"/>
            <w:vAlign w:val="center"/>
          </w:tcPr>
          <w:p w:rsidR="00C47EE9" w:rsidRPr="00C47EE9" w:rsidRDefault="00C47EE9"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1. Deudores presupuestarios</w:t>
            </w:r>
          </w:p>
        </w:tc>
        <w:tc>
          <w:tcPr>
            <w:tcW w:w="1843" w:type="dxa"/>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804.754.661</w:t>
            </w:r>
          </w:p>
        </w:tc>
        <w:tc>
          <w:tcPr>
            <w:tcW w:w="1969" w:type="dxa"/>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818.678.712</w:t>
            </w:r>
          </w:p>
        </w:tc>
      </w:tr>
      <w:tr w:rsidR="00C47EE9" w:rsidRPr="00C47EE9" w:rsidTr="00C47EE9">
        <w:trPr>
          <w:trHeight w:val="198"/>
          <w:jc w:val="center"/>
        </w:trPr>
        <w:tc>
          <w:tcPr>
            <w:tcW w:w="5074" w:type="dxa"/>
            <w:vAlign w:val="center"/>
          </w:tcPr>
          <w:p w:rsidR="00C47EE9" w:rsidRPr="00C47EE9" w:rsidRDefault="00C47EE9"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2. Deudores no presupuestarios</w:t>
            </w:r>
          </w:p>
        </w:tc>
        <w:tc>
          <w:tcPr>
            <w:tcW w:w="1843" w:type="dxa"/>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107.883</w:t>
            </w:r>
          </w:p>
        </w:tc>
        <w:tc>
          <w:tcPr>
            <w:tcW w:w="1969" w:type="dxa"/>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143.635</w:t>
            </w:r>
          </w:p>
        </w:tc>
      </w:tr>
      <w:tr w:rsidR="00C47EE9" w:rsidRPr="00C47EE9" w:rsidTr="00C47EE9">
        <w:trPr>
          <w:trHeight w:val="198"/>
          <w:jc w:val="center"/>
        </w:trPr>
        <w:tc>
          <w:tcPr>
            <w:tcW w:w="5074" w:type="dxa"/>
            <w:vAlign w:val="center"/>
          </w:tcPr>
          <w:p w:rsidR="00C47EE9" w:rsidRPr="00C47EE9" w:rsidRDefault="00C47EE9"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 xml:space="preserve">3. Deudores por admón. de recursos por cuenta de otros EEPP </w:t>
            </w:r>
          </w:p>
        </w:tc>
        <w:tc>
          <w:tcPr>
            <w:tcW w:w="1843" w:type="dxa"/>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365.696</w:t>
            </w:r>
          </w:p>
        </w:tc>
        <w:tc>
          <w:tcPr>
            <w:tcW w:w="1969" w:type="dxa"/>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395.994</w:t>
            </w:r>
          </w:p>
        </w:tc>
      </w:tr>
      <w:tr w:rsidR="00C47EE9" w:rsidRPr="00C47EE9" w:rsidTr="00C47EE9">
        <w:trPr>
          <w:trHeight w:val="198"/>
          <w:jc w:val="center"/>
        </w:trPr>
        <w:tc>
          <w:tcPr>
            <w:tcW w:w="5074" w:type="dxa"/>
            <w:vAlign w:val="center"/>
          </w:tcPr>
          <w:p w:rsidR="00C47EE9" w:rsidRPr="00C47EE9" w:rsidRDefault="00C47EE9"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 xml:space="preserve">5. Otros deudores </w:t>
            </w:r>
          </w:p>
        </w:tc>
        <w:tc>
          <w:tcPr>
            <w:tcW w:w="1843" w:type="dxa"/>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5.527.761</w:t>
            </w:r>
          </w:p>
        </w:tc>
        <w:tc>
          <w:tcPr>
            <w:tcW w:w="1969" w:type="dxa"/>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3.787.345</w:t>
            </w:r>
          </w:p>
        </w:tc>
      </w:tr>
      <w:tr w:rsidR="00C47EE9" w:rsidRPr="00C47EE9" w:rsidTr="00C47EE9">
        <w:trPr>
          <w:trHeight w:val="198"/>
          <w:jc w:val="center"/>
        </w:trPr>
        <w:tc>
          <w:tcPr>
            <w:tcW w:w="5074" w:type="dxa"/>
            <w:tcBorders>
              <w:bottom w:val="single" w:sz="2" w:space="0" w:color="auto"/>
            </w:tcBorders>
            <w:vAlign w:val="center"/>
          </w:tcPr>
          <w:p w:rsidR="00C47EE9" w:rsidRPr="00C47EE9" w:rsidRDefault="00C47EE9"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6. (Provisiones)</w:t>
            </w:r>
          </w:p>
        </w:tc>
        <w:tc>
          <w:tcPr>
            <w:tcW w:w="1843" w:type="dxa"/>
            <w:tcBorders>
              <w:bottom w:val="single" w:sz="2" w:space="0" w:color="auto"/>
            </w:tcBorders>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-512.336.499</w:t>
            </w:r>
          </w:p>
        </w:tc>
        <w:tc>
          <w:tcPr>
            <w:tcW w:w="1969" w:type="dxa"/>
            <w:tcBorders>
              <w:bottom w:val="single" w:sz="2" w:space="0" w:color="auto"/>
            </w:tcBorders>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-485.472.746</w:t>
            </w:r>
          </w:p>
        </w:tc>
      </w:tr>
      <w:tr w:rsidR="00C47EE9" w:rsidRPr="00C47EE9" w:rsidTr="00C47EE9">
        <w:trPr>
          <w:trHeight w:val="255"/>
          <w:jc w:val="center"/>
        </w:trPr>
        <w:tc>
          <w:tcPr>
            <w:tcW w:w="5074" w:type="dxa"/>
            <w:tcBorders>
              <w:top w:val="single" w:sz="2" w:space="0" w:color="auto"/>
            </w:tcBorders>
            <w:vAlign w:val="center"/>
          </w:tcPr>
          <w:p w:rsidR="00C47EE9" w:rsidRPr="00C47EE9" w:rsidRDefault="00C47EE9" w:rsidP="00C47EE9">
            <w:pPr>
              <w:spacing w:after="0"/>
              <w:ind w:firstLine="0"/>
              <w:rPr>
                <w:rFonts w:ascii="Arial Narrow" w:hAnsi="Arial Narrow" w:cs="Arial"/>
                <w:b/>
                <w:snapToGrid w:val="0"/>
                <w:color w:val="000000"/>
              </w:rPr>
            </w:pPr>
            <w:r w:rsidRPr="00C47EE9">
              <w:rPr>
                <w:rFonts w:ascii="Arial Narrow" w:hAnsi="Arial Narrow" w:cs="Arial"/>
                <w:b/>
                <w:snapToGrid w:val="0"/>
                <w:color w:val="000000"/>
              </w:rPr>
              <w:t>III. Inversiones financieras temporales</w:t>
            </w:r>
          </w:p>
        </w:tc>
        <w:tc>
          <w:tcPr>
            <w:tcW w:w="1843" w:type="dxa"/>
            <w:tcBorders>
              <w:top w:val="single" w:sz="2"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sidRPr="00C47EE9">
              <w:rPr>
                <w:rFonts w:ascii="Arial Narrow" w:hAnsi="Arial Narrow" w:cs="Arial"/>
                <w:b/>
                <w:snapToGrid w:val="0"/>
                <w:color w:val="000000"/>
              </w:rPr>
              <w:t>18.024</w:t>
            </w:r>
          </w:p>
        </w:tc>
        <w:tc>
          <w:tcPr>
            <w:tcW w:w="1969" w:type="dxa"/>
            <w:tcBorders>
              <w:top w:val="single" w:sz="2"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sidRPr="00C47EE9">
              <w:rPr>
                <w:rFonts w:ascii="Arial Narrow" w:hAnsi="Arial Narrow" w:cs="Arial"/>
                <w:b/>
                <w:snapToGrid w:val="0"/>
                <w:color w:val="000000"/>
              </w:rPr>
              <w:t>5.779</w:t>
            </w:r>
          </w:p>
        </w:tc>
      </w:tr>
      <w:tr w:rsidR="00C47EE9" w:rsidRPr="00C47EE9" w:rsidTr="00C47EE9">
        <w:trPr>
          <w:trHeight w:val="198"/>
          <w:jc w:val="center"/>
        </w:trPr>
        <w:tc>
          <w:tcPr>
            <w:tcW w:w="5074" w:type="dxa"/>
            <w:vAlign w:val="center"/>
          </w:tcPr>
          <w:p w:rsidR="00C47EE9" w:rsidRPr="00C47EE9" w:rsidRDefault="00C47EE9"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2. Otras inversiones y créditos a corto plazo</w:t>
            </w:r>
          </w:p>
        </w:tc>
        <w:tc>
          <w:tcPr>
            <w:tcW w:w="1843" w:type="dxa"/>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0</w:t>
            </w:r>
          </w:p>
        </w:tc>
        <w:tc>
          <w:tcPr>
            <w:tcW w:w="1969" w:type="dxa"/>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510</w:t>
            </w:r>
          </w:p>
        </w:tc>
      </w:tr>
      <w:tr w:rsidR="00C47EE9" w:rsidRPr="00C47EE9" w:rsidTr="00C47EE9">
        <w:trPr>
          <w:trHeight w:val="198"/>
          <w:jc w:val="center"/>
        </w:trPr>
        <w:tc>
          <w:tcPr>
            <w:tcW w:w="5074" w:type="dxa"/>
            <w:tcBorders>
              <w:bottom w:val="single" w:sz="2" w:space="0" w:color="auto"/>
            </w:tcBorders>
            <w:vAlign w:val="center"/>
          </w:tcPr>
          <w:p w:rsidR="00C47EE9" w:rsidRPr="00C47EE9" w:rsidRDefault="00C47EE9" w:rsidP="00C47EE9">
            <w:pPr>
              <w:spacing w:after="0"/>
              <w:ind w:firstLine="0"/>
              <w:rPr>
                <w:rFonts w:ascii="Arial Narrow" w:hAnsi="Arial Narrow" w:cs="Arial"/>
                <w:snapToGrid w:val="0"/>
                <w:color w:val="000000"/>
              </w:rPr>
            </w:pPr>
            <w:r w:rsidRPr="00C47EE9">
              <w:rPr>
                <w:rFonts w:ascii="Arial Narrow" w:hAnsi="Arial Narrow" w:cs="Arial"/>
                <w:snapToGrid w:val="0"/>
                <w:color w:val="000000"/>
              </w:rPr>
              <w:t xml:space="preserve">3. Fianzas y depósitos constituidos a corto plazo </w:t>
            </w:r>
          </w:p>
        </w:tc>
        <w:tc>
          <w:tcPr>
            <w:tcW w:w="1843" w:type="dxa"/>
            <w:tcBorders>
              <w:bottom w:val="single" w:sz="2" w:space="0" w:color="auto"/>
            </w:tcBorders>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18.024</w:t>
            </w:r>
          </w:p>
        </w:tc>
        <w:tc>
          <w:tcPr>
            <w:tcW w:w="1969" w:type="dxa"/>
            <w:tcBorders>
              <w:bottom w:val="single" w:sz="2" w:space="0" w:color="auto"/>
            </w:tcBorders>
            <w:vAlign w:val="center"/>
          </w:tcPr>
          <w:p w:rsidR="00C47EE9" w:rsidRPr="00C47EE9" w:rsidRDefault="00C47EE9" w:rsidP="00C47EE9">
            <w:pPr>
              <w:spacing w:after="0"/>
              <w:ind w:left="-63" w:right="72"/>
              <w:jc w:val="right"/>
              <w:rPr>
                <w:rFonts w:ascii="Arial Narrow" w:hAnsi="Arial Narrow" w:cs="Arial"/>
                <w:snapToGrid w:val="0"/>
                <w:color w:val="000000"/>
              </w:rPr>
            </w:pPr>
            <w:r w:rsidRPr="00C47EE9">
              <w:rPr>
                <w:rFonts w:ascii="Arial Narrow" w:hAnsi="Arial Narrow" w:cs="Arial"/>
                <w:snapToGrid w:val="0"/>
                <w:color w:val="000000"/>
              </w:rPr>
              <w:t>5.269</w:t>
            </w:r>
          </w:p>
        </w:tc>
      </w:tr>
      <w:tr w:rsidR="00C47EE9" w:rsidRPr="00C47EE9" w:rsidTr="00C47EE9">
        <w:trPr>
          <w:trHeight w:val="255"/>
          <w:jc w:val="center"/>
        </w:trPr>
        <w:tc>
          <w:tcPr>
            <w:tcW w:w="5074" w:type="dxa"/>
            <w:tcBorders>
              <w:top w:val="single" w:sz="2" w:space="0" w:color="auto"/>
              <w:bottom w:val="single" w:sz="4" w:space="0" w:color="auto"/>
            </w:tcBorders>
            <w:vAlign w:val="center"/>
          </w:tcPr>
          <w:p w:rsidR="00C47EE9" w:rsidRPr="00C47EE9" w:rsidRDefault="00C47EE9" w:rsidP="00C47EE9">
            <w:pPr>
              <w:spacing w:after="0"/>
              <w:ind w:firstLine="0"/>
              <w:rPr>
                <w:rFonts w:ascii="Arial Narrow" w:hAnsi="Arial Narrow" w:cs="Arial"/>
                <w:b/>
                <w:snapToGrid w:val="0"/>
                <w:color w:val="000000"/>
              </w:rPr>
            </w:pPr>
            <w:r w:rsidRPr="00C47EE9">
              <w:rPr>
                <w:rFonts w:ascii="Arial Narrow" w:hAnsi="Arial Narrow" w:cs="Arial"/>
                <w:b/>
                <w:snapToGrid w:val="0"/>
                <w:color w:val="000000"/>
              </w:rPr>
              <w:t xml:space="preserve">IV. Tesorería </w:t>
            </w:r>
          </w:p>
        </w:tc>
        <w:tc>
          <w:tcPr>
            <w:tcW w:w="1843" w:type="dxa"/>
            <w:tcBorders>
              <w:top w:val="single" w:sz="2" w:space="0" w:color="auto"/>
              <w:bottom w:val="single" w:sz="4"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sidRPr="00C47EE9">
              <w:rPr>
                <w:rFonts w:ascii="Arial Narrow" w:hAnsi="Arial Narrow" w:cs="Arial"/>
                <w:b/>
                <w:snapToGrid w:val="0"/>
                <w:color w:val="000000"/>
              </w:rPr>
              <w:t>631.135.789</w:t>
            </w:r>
          </w:p>
        </w:tc>
        <w:tc>
          <w:tcPr>
            <w:tcW w:w="1969" w:type="dxa"/>
            <w:tcBorders>
              <w:top w:val="single" w:sz="2" w:space="0" w:color="auto"/>
              <w:bottom w:val="single" w:sz="4" w:space="0" w:color="auto"/>
            </w:tcBorders>
            <w:vAlign w:val="center"/>
          </w:tcPr>
          <w:p w:rsidR="00C47EE9" w:rsidRPr="00C47EE9" w:rsidRDefault="00C47EE9" w:rsidP="00C47EE9">
            <w:pPr>
              <w:spacing w:after="0"/>
              <w:ind w:left="-63" w:right="72"/>
              <w:jc w:val="right"/>
              <w:rPr>
                <w:rFonts w:ascii="Arial Narrow" w:hAnsi="Arial Narrow" w:cs="Arial"/>
                <w:b/>
                <w:snapToGrid w:val="0"/>
                <w:color w:val="000000"/>
              </w:rPr>
            </w:pPr>
            <w:r w:rsidRPr="00C47EE9">
              <w:rPr>
                <w:rFonts w:ascii="Arial Narrow" w:hAnsi="Arial Narrow" w:cs="Arial"/>
                <w:b/>
                <w:snapToGrid w:val="0"/>
                <w:color w:val="000000"/>
              </w:rPr>
              <w:t>140.962.758</w:t>
            </w:r>
          </w:p>
        </w:tc>
      </w:tr>
      <w:tr w:rsidR="00C47EE9" w:rsidRPr="00C47EE9" w:rsidTr="00C47EE9">
        <w:trPr>
          <w:trHeight w:val="255"/>
          <w:jc w:val="center"/>
        </w:trPr>
        <w:tc>
          <w:tcPr>
            <w:tcW w:w="5074"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sidRPr="00C47EE9">
              <w:rPr>
                <w:rFonts w:ascii="Arial" w:hAnsi="Arial"/>
                <w:snapToGrid w:val="0"/>
                <w:spacing w:val="6"/>
                <w:sz w:val="18"/>
                <w:szCs w:val="24"/>
              </w:rPr>
              <w:t>Total Activo (A+C)</w:t>
            </w:r>
          </w:p>
        </w:tc>
        <w:tc>
          <w:tcPr>
            <w:tcW w:w="1843"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left="-63" w:right="72" w:firstLine="0"/>
              <w:jc w:val="right"/>
              <w:rPr>
                <w:rFonts w:ascii="Arial" w:hAnsi="Arial"/>
                <w:snapToGrid w:val="0"/>
                <w:spacing w:val="6"/>
                <w:sz w:val="18"/>
                <w:szCs w:val="24"/>
                <w:lang w:val="es-ES"/>
              </w:rPr>
            </w:pPr>
            <w:r w:rsidRPr="00C47EE9">
              <w:rPr>
                <w:rFonts w:ascii="Arial" w:hAnsi="Arial"/>
                <w:snapToGrid w:val="0"/>
                <w:spacing w:val="6"/>
                <w:sz w:val="18"/>
                <w:szCs w:val="24"/>
                <w:lang w:val="es-ES"/>
              </w:rPr>
              <w:t>3.754.538.406</w:t>
            </w:r>
          </w:p>
        </w:tc>
        <w:tc>
          <w:tcPr>
            <w:tcW w:w="1969"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left="-63" w:firstLine="0"/>
              <w:jc w:val="right"/>
              <w:rPr>
                <w:rFonts w:ascii="Arial" w:hAnsi="Arial"/>
                <w:snapToGrid w:val="0"/>
                <w:spacing w:val="6"/>
                <w:sz w:val="18"/>
                <w:szCs w:val="24"/>
                <w:lang w:val="es-ES"/>
              </w:rPr>
            </w:pPr>
            <w:r w:rsidRPr="00C47EE9">
              <w:rPr>
                <w:rFonts w:ascii="Arial" w:hAnsi="Arial"/>
                <w:snapToGrid w:val="0"/>
                <w:spacing w:val="6"/>
                <w:sz w:val="18"/>
                <w:szCs w:val="24"/>
                <w:lang w:val="es-ES"/>
              </w:rPr>
              <w:t>3.202.840.688</w:t>
            </w:r>
          </w:p>
        </w:tc>
      </w:tr>
    </w:tbl>
    <w:p w:rsidR="00C47EE9" w:rsidRPr="00C47EE9" w:rsidRDefault="00C47EE9" w:rsidP="00C47EE9">
      <w:pPr>
        <w:tabs>
          <w:tab w:val="center" w:pos="2835"/>
          <w:tab w:val="center" w:pos="3969"/>
          <w:tab w:val="center" w:pos="5103"/>
          <w:tab w:val="center" w:pos="6237"/>
          <w:tab w:val="center" w:pos="7371"/>
        </w:tabs>
        <w:spacing w:before="120" w:after="0"/>
        <w:ind w:left="-357" w:firstLine="0"/>
        <w:rPr>
          <w:rFonts w:ascii="Arial Narrow" w:hAnsi="Arial Narrow"/>
          <w:spacing w:val="6"/>
          <w:sz w:val="18"/>
          <w:szCs w:val="18"/>
        </w:rPr>
      </w:pPr>
    </w:p>
    <w:tbl>
      <w:tblPr>
        <w:tblW w:w="8836" w:type="dxa"/>
        <w:jc w:val="center"/>
        <w:tblLayout w:type="fixed"/>
        <w:tblCellMar>
          <w:left w:w="70" w:type="dxa"/>
          <w:right w:w="70" w:type="dxa"/>
        </w:tblCellMar>
        <w:tblLook w:val="0000" w:firstRow="0" w:lastRow="0" w:firstColumn="0" w:lastColumn="0" w:noHBand="0" w:noVBand="0"/>
      </w:tblPr>
      <w:tblGrid>
        <w:gridCol w:w="5127"/>
        <w:gridCol w:w="1647"/>
        <w:gridCol w:w="2062"/>
      </w:tblGrid>
      <w:tr w:rsidR="00C47EE9" w:rsidRPr="00C47EE9" w:rsidTr="00C47EE9">
        <w:trPr>
          <w:trHeight w:val="255"/>
          <w:jc w:val="center"/>
        </w:trPr>
        <w:tc>
          <w:tcPr>
            <w:tcW w:w="5127"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sidRPr="00C47EE9">
              <w:rPr>
                <w:rFonts w:ascii="Arial" w:hAnsi="Arial"/>
                <w:snapToGrid w:val="0"/>
                <w:spacing w:val="6"/>
                <w:sz w:val="18"/>
                <w:szCs w:val="24"/>
              </w:rPr>
              <w:br w:type="page"/>
            </w:r>
            <w:r w:rsidRPr="00C47EE9">
              <w:rPr>
                <w:rFonts w:ascii="Arial" w:hAnsi="Arial"/>
                <w:snapToGrid w:val="0"/>
                <w:spacing w:val="6"/>
                <w:sz w:val="18"/>
                <w:szCs w:val="24"/>
              </w:rPr>
              <w:br w:type="page"/>
              <w:t>PATRIMONIO NETO Y PASIVO</w:t>
            </w:r>
          </w:p>
        </w:tc>
        <w:tc>
          <w:tcPr>
            <w:tcW w:w="1647"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left="-91" w:right="-67" w:firstLine="0"/>
              <w:jc w:val="right"/>
              <w:rPr>
                <w:rFonts w:ascii="Arial" w:hAnsi="Arial"/>
                <w:snapToGrid w:val="0"/>
                <w:spacing w:val="6"/>
                <w:sz w:val="18"/>
                <w:szCs w:val="24"/>
              </w:rPr>
            </w:pPr>
            <w:r w:rsidRPr="00C47EE9">
              <w:rPr>
                <w:rFonts w:ascii="Arial" w:hAnsi="Arial"/>
                <w:snapToGrid w:val="0"/>
                <w:spacing w:val="6"/>
                <w:sz w:val="18"/>
                <w:szCs w:val="24"/>
              </w:rPr>
              <w:t>Ejercicio 2017</w:t>
            </w:r>
          </w:p>
        </w:tc>
        <w:tc>
          <w:tcPr>
            <w:tcW w:w="2062"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left="-91" w:right="-67" w:firstLine="0"/>
              <w:jc w:val="right"/>
              <w:rPr>
                <w:rFonts w:ascii="Arial" w:hAnsi="Arial"/>
                <w:snapToGrid w:val="0"/>
                <w:spacing w:val="6"/>
                <w:sz w:val="18"/>
                <w:szCs w:val="24"/>
              </w:rPr>
            </w:pPr>
            <w:r w:rsidRPr="00C47EE9">
              <w:rPr>
                <w:rFonts w:ascii="Arial" w:hAnsi="Arial"/>
                <w:snapToGrid w:val="0"/>
                <w:spacing w:val="6"/>
                <w:sz w:val="18"/>
                <w:szCs w:val="24"/>
              </w:rPr>
              <w:t>Ejercicio 2016</w:t>
            </w:r>
          </w:p>
        </w:tc>
      </w:tr>
      <w:tr w:rsidR="00C47EE9" w:rsidRPr="00C47EE9" w:rsidTr="00C47EE9">
        <w:trPr>
          <w:trHeight w:val="255"/>
          <w:jc w:val="center"/>
        </w:trPr>
        <w:tc>
          <w:tcPr>
            <w:tcW w:w="5127" w:type="dxa"/>
            <w:tcBorders>
              <w:top w:val="single" w:sz="4" w:space="0" w:color="auto"/>
              <w:bottom w:val="single" w:sz="4" w:space="0" w:color="auto"/>
            </w:tcBorders>
            <w:vAlign w:val="center"/>
          </w:tcPr>
          <w:p w:rsidR="00C47EE9" w:rsidRPr="00C47EE9" w:rsidRDefault="00C47EE9" w:rsidP="00C47EE9">
            <w:pPr>
              <w:spacing w:after="0"/>
              <w:ind w:left="71" w:firstLine="0"/>
              <w:rPr>
                <w:rFonts w:ascii="Arial" w:hAnsi="Arial" w:cs="Arial"/>
                <w:b/>
                <w:snapToGrid w:val="0"/>
                <w:color w:val="000000"/>
                <w:sz w:val="18"/>
                <w:szCs w:val="18"/>
              </w:rPr>
            </w:pPr>
            <w:r w:rsidRPr="00C47EE9">
              <w:rPr>
                <w:rFonts w:ascii="Arial" w:hAnsi="Arial" w:cs="Arial"/>
                <w:b/>
                <w:snapToGrid w:val="0"/>
                <w:color w:val="000000"/>
                <w:sz w:val="18"/>
                <w:szCs w:val="18"/>
              </w:rPr>
              <w:t>A) Fondos Propios</w:t>
            </w:r>
          </w:p>
        </w:tc>
        <w:tc>
          <w:tcPr>
            <w:tcW w:w="1647" w:type="dxa"/>
            <w:tcBorders>
              <w:top w:val="single" w:sz="4" w:space="0" w:color="auto"/>
              <w:bottom w:val="single" w:sz="4" w:space="0" w:color="auto"/>
            </w:tcBorders>
            <w:vAlign w:val="center"/>
          </w:tcPr>
          <w:p w:rsidR="00C47EE9" w:rsidRPr="00C47EE9" w:rsidRDefault="00C47EE9" w:rsidP="00C47EE9">
            <w:pPr>
              <w:spacing w:after="0"/>
              <w:ind w:left="-91" w:right="-67" w:firstLine="0"/>
              <w:jc w:val="right"/>
              <w:rPr>
                <w:rFonts w:ascii="Arial" w:hAnsi="Arial" w:cs="Arial"/>
                <w:b/>
                <w:snapToGrid w:val="0"/>
                <w:color w:val="000000"/>
                <w:sz w:val="18"/>
                <w:szCs w:val="18"/>
              </w:rPr>
            </w:pPr>
            <w:r w:rsidRPr="00C47EE9">
              <w:rPr>
                <w:rFonts w:ascii="Arial" w:hAnsi="Arial" w:cs="Arial"/>
                <w:b/>
                <w:snapToGrid w:val="0"/>
                <w:color w:val="000000"/>
                <w:sz w:val="18"/>
                <w:szCs w:val="18"/>
              </w:rPr>
              <w:t>-19.518.265</w:t>
            </w:r>
          </w:p>
        </w:tc>
        <w:tc>
          <w:tcPr>
            <w:tcW w:w="2062" w:type="dxa"/>
            <w:tcBorders>
              <w:top w:val="single" w:sz="4" w:space="0" w:color="auto"/>
              <w:bottom w:val="single" w:sz="4" w:space="0" w:color="auto"/>
            </w:tcBorders>
            <w:vAlign w:val="center"/>
          </w:tcPr>
          <w:p w:rsidR="00C47EE9" w:rsidRPr="00C47EE9" w:rsidRDefault="00C47EE9" w:rsidP="00C47EE9">
            <w:pPr>
              <w:spacing w:after="0"/>
              <w:ind w:left="-91" w:right="-67" w:firstLine="0"/>
              <w:jc w:val="right"/>
              <w:rPr>
                <w:rFonts w:ascii="Arial" w:hAnsi="Arial" w:cs="Arial"/>
                <w:b/>
                <w:snapToGrid w:val="0"/>
                <w:color w:val="000000"/>
                <w:sz w:val="18"/>
                <w:szCs w:val="18"/>
              </w:rPr>
            </w:pPr>
            <w:r w:rsidRPr="00C47EE9">
              <w:rPr>
                <w:rFonts w:ascii="Arial" w:hAnsi="Arial" w:cs="Arial"/>
                <w:b/>
                <w:snapToGrid w:val="0"/>
                <w:color w:val="000000"/>
                <w:sz w:val="18"/>
                <w:szCs w:val="18"/>
              </w:rPr>
              <w:t>-301.677.846</w:t>
            </w:r>
          </w:p>
        </w:tc>
      </w:tr>
      <w:tr w:rsidR="00C47EE9" w:rsidRPr="00C47EE9" w:rsidTr="00C47EE9">
        <w:trPr>
          <w:trHeight w:val="255"/>
          <w:jc w:val="center"/>
        </w:trPr>
        <w:tc>
          <w:tcPr>
            <w:tcW w:w="5127" w:type="dxa"/>
            <w:tcBorders>
              <w:top w:val="single" w:sz="4" w:space="0" w:color="auto"/>
            </w:tcBorders>
            <w:vAlign w:val="center"/>
          </w:tcPr>
          <w:p w:rsidR="00C47EE9" w:rsidRPr="00C47EE9" w:rsidRDefault="00C47EE9" w:rsidP="00C47EE9">
            <w:pPr>
              <w:spacing w:after="0"/>
              <w:ind w:left="71" w:firstLine="0"/>
              <w:rPr>
                <w:rFonts w:ascii="Arial Narrow" w:hAnsi="Arial Narrow" w:cs="Arial"/>
                <w:b/>
                <w:snapToGrid w:val="0"/>
                <w:color w:val="000000"/>
              </w:rPr>
            </w:pPr>
            <w:r w:rsidRPr="00C47EE9">
              <w:rPr>
                <w:rFonts w:ascii="Arial Narrow" w:hAnsi="Arial Narrow" w:cs="Arial"/>
                <w:b/>
                <w:snapToGrid w:val="0"/>
                <w:color w:val="000000"/>
              </w:rPr>
              <w:t xml:space="preserve">I. Patrimonio </w:t>
            </w:r>
          </w:p>
        </w:tc>
        <w:tc>
          <w:tcPr>
            <w:tcW w:w="1647" w:type="dxa"/>
            <w:tcBorders>
              <w:top w:val="single" w:sz="4"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rPr>
            </w:pPr>
            <w:r w:rsidRPr="00C47EE9">
              <w:rPr>
                <w:rFonts w:ascii="Arial Narrow" w:hAnsi="Arial Narrow" w:cs="Arial"/>
                <w:b/>
                <w:snapToGrid w:val="0"/>
              </w:rPr>
              <w:t>-247.812.397</w:t>
            </w:r>
          </w:p>
        </w:tc>
        <w:tc>
          <w:tcPr>
            <w:tcW w:w="2062" w:type="dxa"/>
            <w:tcBorders>
              <w:top w:val="single" w:sz="4"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rPr>
            </w:pPr>
            <w:r w:rsidRPr="00C47EE9">
              <w:rPr>
                <w:rFonts w:ascii="Arial Narrow" w:hAnsi="Arial Narrow" w:cs="Arial"/>
                <w:b/>
                <w:snapToGrid w:val="0"/>
              </w:rPr>
              <w:t>-97.910.167</w:t>
            </w:r>
          </w:p>
        </w:tc>
      </w:tr>
      <w:tr w:rsidR="00C47EE9" w:rsidRPr="00C47EE9" w:rsidTr="00C47EE9">
        <w:trPr>
          <w:trHeight w:val="198"/>
          <w:jc w:val="center"/>
        </w:trPr>
        <w:tc>
          <w:tcPr>
            <w:tcW w:w="5127" w:type="dxa"/>
            <w:tcBorders>
              <w:bottom w:val="single" w:sz="2" w:space="0" w:color="auto"/>
            </w:tcBorders>
            <w:vAlign w:val="center"/>
          </w:tcPr>
          <w:p w:rsidR="00C47EE9" w:rsidRPr="00C47EE9" w:rsidRDefault="00C47EE9" w:rsidP="00C47EE9">
            <w:pPr>
              <w:spacing w:after="0"/>
              <w:ind w:left="71" w:firstLine="0"/>
              <w:rPr>
                <w:rFonts w:ascii="Arial Narrow" w:hAnsi="Arial Narrow" w:cs="Arial"/>
                <w:snapToGrid w:val="0"/>
                <w:color w:val="000000"/>
              </w:rPr>
            </w:pPr>
            <w:r w:rsidRPr="00C47EE9">
              <w:rPr>
                <w:rFonts w:ascii="Arial Narrow" w:hAnsi="Arial Narrow" w:cs="Arial"/>
                <w:snapToGrid w:val="0"/>
                <w:color w:val="000000"/>
              </w:rPr>
              <w:t xml:space="preserve">1. Patrimonio </w:t>
            </w:r>
          </w:p>
        </w:tc>
        <w:tc>
          <w:tcPr>
            <w:tcW w:w="1647" w:type="dxa"/>
            <w:tcBorders>
              <w:bottom w:val="single" w:sz="2" w:space="0" w:color="auto"/>
            </w:tcBorders>
            <w:vAlign w:val="center"/>
          </w:tcPr>
          <w:p w:rsidR="00C47EE9" w:rsidRPr="00C47EE9" w:rsidRDefault="00C47EE9" w:rsidP="00C47EE9">
            <w:pPr>
              <w:spacing w:after="0"/>
              <w:ind w:left="-91" w:right="-67" w:firstLine="0"/>
              <w:jc w:val="right"/>
              <w:rPr>
                <w:rFonts w:ascii="Arial Narrow" w:hAnsi="Arial Narrow" w:cs="Arial"/>
                <w:snapToGrid w:val="0"/>
              </w:rPr>
            </w:pPr>
            <w:r w:rsidRPr="00C47EE9">
              <w:rPr>
                <w:rFonts w:ascii="Arial Narrow" w:hAnsi="Arial Narrow" w:cs="Arial"/>
                <w:snapToGrid w:val="0"/>
              </w:rPr>
              <w:t>-247.812.397</w:t>
            </w:r>
          </w:p>
        </w:tc>
        <w:tc>
          <w:tcPr>
            <w:tcW w:w="2062" w:type="dxa"/>
            <w:tcBorders>
              <w:bottom w:val="single" w:sz="2" w:space="0" w:color="auto"/>
            </w:tcBorders>
            <w:vAlign w:val="center"/>
          </w:tcPr>
          <w:p w:rsidR="00C47EE9" w:rsidRPr="00C47EE9" w:rsidRDefault="00C47EE9" w:rsidP="00C47EE9">
            <w:pPr>
              <w:spacing w:after="0"/>
              <w:ind w:left="-91" w:right="-67" w:firstLine="0"/>
              <w:jc w:val="right"/>
              <w:rPr>
                <w:rFonts w:ascii="Arial Narrow" w:hAnsi="Arial Narrow" w:cs="Arial"/>
                <w:snapToGrid w:val="0"/>
              </w:rPr>
            </w:pPr>
            <w:r w:rsidRPr="00C47EE9">
              <w:rPr>
                <w:rFonts w:ascii="Arial Narrow" w:hAnsi="Arial Narrow" w:cs="Arial"/>
                <w:snapToGrid w:val="0"/>
              </w:rPr>
              <w:t>-97.910.167</w:t>
            </w:r>
          </w:p>
        </w:tc>
      </w:tr>
      <w:tr w:rsidR="00C47EE9" w:rsidRPr="00C47EE9" w:rsidTr="00C47EE9">
        <w:trPr>
          <w:trHeight w:val="255"/>
          <w:jc w:val="center"/>
        </w:trPr>
        <w:tc>
          <w:tcPr>
            <w:tcW w:w="5127" w:type="dxa"/>
            <w:tcBorders>
              <w:top w:val="single" w:sz="2" w:space="0" w:color="auto"/>
            </w:tcBorders>
            <w:vAlign w:val="center"/>
          </w:tcPr>
          <w:p w:rsidR="00C47EE9" w:rsidRPr="00C47EE9" w:rsidRDefault="00C47EE9" w:rsidP="00C47EE9">
            <w:pPr>
              <w:spacing w:after="0"/>
              <w:ind w:left="71" w:firstLine="0"/>
              <w:rPr>
                <w:rFonts w:ascii="Arial Narrow" w:hAnsi="Arial Narrow" w:cs="Arial"/>
                <w:b/>
                <w:snapToGrid w:val="0"/>
                <w:color w:val="000000"/>
              </w:rPr>
            </w:pPr>
            <w:r w:rsidRPr="00C47EE9">
              <w:rPr>
                <w:rFonts w:ascii="Arial Narrow" w:hAnsi="Arial Narrow" w:cs="Arial"/>
                <w:b/>
                <w:snapToGrid w:val="0"/>
                <w:color w:val="000000"/>
              </w:rPr>
              <w:t>III. Resultados del ejercicio anterior</w:t>
            </w:r>
          </w:p>
        </w:tc>
        <w:tc>
          <w:tcPr>
            <w:tcW w:w="1647" w:type="dxa"/>
            <w:tcBorders>
              <w:top w:val="single" w:sz="2"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rPr>
            </w:pPr>
            <w:r w:rsidRPr="00C47EE9">
              <w:rPr>
                <w:rFonts w:ascii="Arial Narrow" w:hAnsi="Arial Narrow" w:cs="Arial"/>
                <w:b/>
                <w:snapToGrid w:val="0"/>
              </w:rPr>
              <w:t>-53.576.251</w:t>
            </w:r>
          </w:p>
        </w:tc>
        <w:tc>
          <w:tcPr>
            <w:tcW w:w="2062" w:type="dxa"/>
            <w:tcBorders>
              <w:top w:val="single" w:sz="2"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rPr>
            </w:pPr>
            <w:r w:rsidRPr="00C47EE9">
              <w:rPr>
                <w:rFonts w:ascii="Arial Narrow" w:hAnsi="Arial Narrow" w:cs="Arial"/>
                <w:b/>
                <w:snapToGrid w:val="0"/>
              </w:rPr>
              <w:t>-149.902.230</w:t>
            </w:r>
          </w:p>
        </w:tc>
      </w:tr>
      <w:tr w:rsidR="00C47EE9" w:rsidRPr="00C47EE9" w:rsidTr="00C47EE9">
        <w:trPr>
          <w:trHeight w:val="198"/>
          <w:jc w:val="center"/>
        </w:trPr>
        <w:tc>
          <w:tcPr>
            <w:tcW w:w="5127" w:type="dxa"/>
            <w:tcBorders>
              <w:bottom w:val="single" w:sz="2" w:space="0" w:color="auto"/>
            </w:tcBorders>
            <w:vAlign w:val="center"/>
          </w:tcPr>
          <w:p w:rsidR="00C47EE9" w:rsidRPr="00C47EE9" w:rsidRDefault="00C47EE9" w:rsidP="00C47EE9">
            <w:pPr>
              <w:spacing w:after="0"/>
              <w:ind w:left="71" w:firstLine="0"/>
              <w:rPr>
                <w:rFonts w:ascii="Arial Narrow" w:hAnsi="Arial Narrow" w:cs="Arial"/>
                <w:snapToGrid w:val="0"/>
                <w:color w:val="000000"/>
              </w:rPr>
            </w:pPr>
            <w:r w:rsidRPr="00C47EE9">
              <w:rPr>
                <w:rFonts w:ascii="Arial Narrow" w:hAnsi="Arial Narrow" w:cs="Arial"/>
                <w:snapToGrid w:val="0"/>
                <w:color w:val="000000"/>
              </w:rPr>
              <w:t>1. Resultados del ejercicio anterior</w:t>
            </w:r>
          </w:p>
        </w:tc>
        <w:tc>
          <w:tcPr>
            <w:tcW w:w="1647" w:type="dxa"/>
            <w:tcBorders>
              <w:bottom w:val="single" w:sz="2" w:space="0" w:color="auto"/>
            </w:tcBorders>
            <w:vAlign w:val="center"/>
          </w:tcPr>
          <w:p w:rsidR="00C47EE9" w:rsidRPr="00C47EE9" w:rsidRDefault="00C47EE9" w:rsidP="00C47EE9">
            <w:pPr>
              <w:spacing w:after="0"/>
              <w:ind w:left="-91" w:right="-67" w:firstLine="0"/>
              <w:jc w:val="right"/>
              <w:rPr>
                <w:rFonts w:ascii="Arial Narrow" w:hAnsi="Arial Narrow" w:cs="Arial"/>
                <w:snapToGrid w:val="0"/>
              </w:rPr>
            </w:pPr>
            <w:r w:rsidRPr="00C47EE9">
              <w:rPr>
                <w:rFonts w:ascii="Arial Narrow" w:hAnsi="Arial Narrow" w:cs="Arial"/>
                <w:snapToGrid w:val="0"/>
              </w:rPr>
              <w:t>-53.576.251</w:t>
            </w:r>
          </w:p>
        </w:tc>
        <w:tc>
          <w:tcPr>
            <w:tcW w:w="2062" w:type="dxa"/>
            <w:tcBorders>
              <w:bottom w:val="single" w:sz="2" w:space="0" w:color="auto"/>
            </w:tcBorders>
            <w:vAlign w:val="center"/>
          </w:tcPr>
          <w:p w:rsidR="00C47EE9" w:rsidRPr="00C47EE9" w:rsidRDefault="00C47EE9" w:rsidP="00C47EE9">
            <w:pPr>
              <w:spacing w:after="0"/>
              <w:ind w:left="-91" w:right="-67" w:firstLine="0"/>
              <w:jc w:val="right"/>
              <w:rPr>
                <w:rFonts w:ascii="Arial Narrow" w:hAnsi="Arial Narrow" w:cs="Arial"/>
                <w:snapToGrid w:val="0"/>
              </w:rPr>
            </w:pPr>
            <w:r w:rsidRPr="00C47EE9">
              <w:rPr>
                <w:rFonts w:ascii="Arial Narrow" w:hAnsi="Arial Narrow" w:cs="Arial"/>
                <w:snapToGrid w:val="0"/>
              </w:rPr>
              <w:t>-149.902.230</w:t>
            </w:r>
          </w:p>
        </w:tc>
      </w:tr>
      <w:tr w:rsidR="00C47EE9" w:rsidRPr="00C47EE9" w:rsidTr="00C47EE9">
        <w:trPr>
          <w:trHeight w:val="255"/>
          <w:jc w:val="center"/>
        </w:trPr>
        <w:tc>
          <w:tcPr>
            <w:tcW w:w="5127" w:type="dxa"/>
            <w:tcBorders>
              <w:top w:val="single" w:sz="2" w:space="0" w:color="auto"/>
              <w:bottom w:val="single" w:sz="4" w:space="0" w:color="auto"/>
            </w:tcBorders>
            <w:vAlign w:val="center"/>
          </w:tcPr>
          <w:p w:rsidR="00C47EE9" w:rsidRPr="00C47EE9" w:rsidRDefault="00C47EE9" w:rsidP="00C47EE9">
            <w:pPr>
              <w:spacing w:after="0"/>
              <w:ind w:left="71" w:firstLine="0"/>
              <w:rPr>
                <w:rFonts w:ascii="Arial Narrow" w:hAnsi="Arial Narrow" w:cs="Arial"/>
                <w:b/>
                <w:snapToGrid w:val="0"/>
                <w:color w:val="000000"/>
              </w:rPr>
            </w:pPr>
            <w:r w:rsidRPr="00C47EE9">
              <w:rPr>
                <w:rFonts w:ascii="Arial Narrow" w:hAnsi="Arial Narrow" w:cs="Arial"/>
                <w:b/>
                <w:snapToGrid w:val="0"/>
                <w:color w:val="000000"/>
              </w:rPr>
              <w:t xml:space="preserve">IV. Resultados del ejercicio </w:t>
            </w:r>
          </w:p>
        </w:tc>
        <w:tc>
          <w:tcPr>
            <w:tcW w:w="1647" w:type="dxa"/>
            <w:tcBorders>
              <w:top w:val="single" w:sz="2" w:space="0" w:color="auto"/>
              <w:bottom w:val="single" w:sz="4"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rPr>
            </w:pPr>
            <w:r w:rsidRPr="00C47EE9">
              <w:rPr>
                <w:rFonts w:ascii="Arial Narrow" w:hAnsi="Arial Narrow" w:cs="Arial"/>
                <w:b/>
                <w:snapToGrid w:val="0"/>
              </w:rPr>
              <w:t>281.870.383</w:t>
            </w:r>
          </w:p>
        </w:tc>
        <w:tc>
          <w:tcPr>
            <w:tcW w:w="2062" w:type="dxa"/>
            <w:tcBorders>
              <w:top w:val="single" w:sz="2" w:space="0" w:color="auto"/>
              <w:bottom w:val="single" w:sz="4"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rPr>
            </w:pPr>
            <w:r w:rsidRPr="00C47EE9">
              <w:rPr>
                <w:rFonts w:ascii="Arial Narrow" w:hAnsi="Arial Narrow" w:cs="Arial"/>
                <w:b/>
                <w:snapToGrid w:val="0"/>
              </w:rPr>
              <w:t>-53.865.449</w:t>
            </w:r>
          </w:p>
        </w:tc>
      </w:tr>
      <w:tr w:rsidR="00C47EE9" w:rsidRPr="00C47EE9" w:rsidTr="00C47EE9">
        <w:trPr>
          <w:trHeight w:val="255"/>
          <w:jc w:val="center"/>
        </w:trPr>
        <w:tc>
          <w:tcPr>
            <w:tcW w:w="5127" w:type="dxa"/>
            <w:tcBorders>
              <w:top w:val="single" w:sz="4" w:space="0" w:color="auto"/>
              <w:bottom w:val="single" w:sz="4" w:space="0" w:color="auto"/>
            </w:tcBorders>
            <w:vAlign w:val="center"/>
          </w:tcPr>
          <w:p w:rsidR="00C47EE9" w:rsidRPr="00C47EE9" w:rsidRDefault="00C47EE9" w:rsidP="00C47EE9">
            <w:pPr>
              <w:spacing w:after="0"/>
              <w:ind w:left="71" w:firstLine="0"/>
              <w:rPr>
                <w:rFonts w:ascii="Arial" w:hAnsi="Arial" w:cs="Arial"/>
                <w:b/>
                <w:snapToGrid w:val="0"/>
                <w:color w:val="000000"/>
                <w:sz w:val="18"/>
                <w:szCs w:val="18"/>
              </w:rPr>
            </w:pPr>
            <w:r w:rsidRPr="00C47EE9">
              <w:rPr>
                <w:rFonts w:ascii="Arial" w:hAnsi="Arial" w:cs="Arial"/>
                <w:b/>
                <w:snapToGrid w:val="0"/>
                <w:color w:val="000000"/>
                <w:sz w:val="18"/>
                <w:szCs w:val="18"/>
              </w:rPr>
              <w:t>C) Acreedores a largo plazo</w:t>
            </w:r>
          </w:p>
        </w:tc>
        <w:tc>
          <w:tcPr>
            <w:tcW w:w="1647" w:type="dxa"/>
            <w:tcBorders>
              <w:top w:val="single" w:sz="4" w:space="0" w:color="auto"/>
              <w:bottom w:val="single" w:sz="4" w:space="0" w:color="auto"/>
            </w:tcBorders>
            <w:vAlign w:val="center"/>
          </w:tcPr>
          <w:p w:rsidR="00C47EE9" w:rsidRPr="00C47EE9" w:rsidRDefault="00C47EE9" w:rsidP="00C47EE9">
            <w:pPr>
              <w:spacing w:after="0"/>
              <w:ind w:left="-91" w:right="-67" w:firstLine="0"/>
              <w:jc w:val="right"/>
              <w:rPr>
                <w:rFonts w:ascii="Arial" w:hAnsi="Arial" w:cs="Arial"/>
                <w:b/>
                <w:snapToGrid w:val="0"/>
                <w:sz w:val="18"/>
                <w:szCs w:val="18"/>
              </w:rPr>
            </w:pPr>
            <w:r w:rsidRPr="00C47EE9">
              <w:rPr>
                <w:rFonts w:ascii="Arial" w:hAnsi="Arial" w:cs="Arial"/>
                <w:b/>
                <w:snapToGrid w:val="0"/>
                <w:sz w:val="18"/>
                <w:szCs w:val="18"/>
              </w:rPr>
              <w:t>2.979.579.541</w:t>
            </w:r>
          </w:p>
        </w:tc>
        <w:tc>
          <w:tcPr>
            <w:tcW w:w="2062" w:type="dxa"/>
            <w:tcBorders>
              <w:top w:val="single" w:sz="4" w:space="0" w:color="auto"/>
              <w:bottom w:val="single" w:sz="4" w:space="0" w:color="auto"/>
            </w:tcBorders>
            <w:vAlign w:val="center"/>
          </w:tcPr>
          <w:p w:rsidR="00C47EE9" w:rsidRPr="00C47EE9" w:rsidRDefault="00C47EE9" w:rsidP="00C47EE9">
            <w:pPr>
              <w:spacing w:after="0"/>
              <w:ind w:left="-91" w:right="-67" w:firstLine="0"/>
              <w:jc w:val="right"/>
              <w:rPr>
                <w:rFonts w:ascii="Arial" w:hAnsi="Arial" w:cs="Arial"/>
                <w:b/>
                <w:snapToGrid w:val="0"/>
                <w:sz w:val="18"/>
                <w:szCs w:val="18"/>
              </w:rPr>
            </w:pPr>
            <w:r w:rsidRPr="00C47EE9">
              <w:rPr>
                <w:rFonts w:ascii="Arial" w:hAnsi="Arial" w:cs="Arial"/>
                <w:b/>
                <w:snapToGrid w:val="0"/>
                <w:sz w:val="18"/>
                <w:szCs w:val="18"/>
              </w:rPr>
              <w:t>2.721.614.621</w:t>
            </w:r>
          </w:p>
        </w:tc>
      </w:tr>
      <w:tr w:rsidR="00C47EE9" w:rsidRPr="00C47EE9" w:rsidTr="00C47EE9">
        <w:trPr>
          <w:trHeight w:val="255"/>
          <w:jc w:val="center"/>
        </w:trPr>
        <w:tc>
          <w:tcPr>
            <w:tcW w:w="5127" w:type="dxa"/>
            <w:tcBorders>
              <w:top w:val="single" w:sz="4" w:space="0" w:color="auto"/>
            </w:tcBorders>
            <w:vAlign w:val="center"/>
          </w:tcPr>
          <w:p w:rsidR="00C47EE9" w:rsidRPr="00C47EE9" w:rsidRDefault="00C47EE9" w:rsidP="00C47EE9">
            <w:pPr>
              <w:spacing w:after="0"/>
              <w:ind w:left="71" w:firstLine="0"/>
              <w:rPr>
                <w:rFonts w:ascii="Arial Narrow" w:hAnsi="Arial Narrow" w:cs="Arial"/>
                <w:b/>
                <w:snapToGrid w:val="0"/>
                <w:color w:val="000000"/>
              </w:rPr>
            </w:pPr>
            <w:r w:rsidRPr="00C47EE9">
              <w:rPr>
                <w:rFonts w:ascii="Arial Narrow" w:hAnsi="Arial Narrow" w:cs="Arial"/>
                <w:b/>
                <w:snapToGrid w:val="0"/>
                <w:color w:val="000000"/>
              </w:rPr>
              <w:t>I. Emisiones de obligaciones y otros valores negociables</w:t>
            </w:r>
          </w:p>
        </w:tc>
        <w:tc>
          <w:tcPr>
            <w:tcW w:w="1647" w:type="dxa"/>
            <w:tcBorders>
              <w:top w:val="single" w:sz="4"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color w:val="000000"/>
              </w:rPr>
            </w:pPr>
            <w:r w:rsidRPr="00C47EE9">
              <w:rPr>
                <w:rFonts w:ascii="Arial Narrow" w:hAnsi="Arial Narrow" w:cs="Arial"/>
                <w:b/>
                <w:snapToGrid w:val="0"/>
                <w:color w:val="000000"/>
              </w:rPr>
              <w:t>1.359.560.412</w:t>
            </w:r>
          </w:p>
        </w:tc>
        <w:tc>
          <w:tcPr>
            <w:tcW w:w="2062" w:type="dxa"/>
            <w:tcBorders>
              <w:top w:val="single" w:sz="4"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color w:val="000000"/>
              </w:rPr>
            </w:pPr>
            <w:r w:rsidRPr="00C47EE9">
              <w:rPr>
                <w:rFonts w:ascii="Arial Narrow" w:hAnsi="Arial Narrow" w:cs="Arial"/>
                <w:b/>
                <w:snapToGrid w:val="0"/>
                <w:color w:val="000000"/>
              </w:rPr>
              <w:t>1.440.847.817</w:t>
            </w:r>
          </w:p>
        </w:tc>
      </w:tr>
      <w:tr w:rsidR="00C47EE9" w:rsidRPr="00C47EE9" w:rsidTr="00C47EE9">
        <w:trPr>
          <w:trHeight w:val="198"/>
          <w:jc w:val="center"/>
        </w:trPr>
        <w:tc>
          <w:tcPr>
            <w:tcW w:w="5127" w:type="dxa"/>
            <w:tcBorders>
              <w:bottom w:val="single" w:sz="2" w:space="0" w:color="auto"/>
            </w:tcBorders>
            <w:vAlign w:val="center"/>
          </w:tcPr>
          <w:p w:rsidR="00C47EE9" w:rsidRPr="00C47EE9" w:rsidRDefault="00C47EE9" w:rsidP="00C47EE9">
            <w:pPr>
              <w:spacing w:after="0"/>
              <w:ind w:left="71" w:firstLine="0"/>
              <w:rPr>
                <w:rFonts w:ascii="Arial Narrow" w:hAnsi="Arial Narrow" w:cs="Arial"/>
                <w:snapToGrid w:val="0"/>
                <w:color w:val="000000"/>
              </w:rPr>
            </w:pPr>
            <w:r w:rsidRPr="00C47EE9">
              <w:rPr>
                <w:rFonts w:ascii="Arial Narrow" w:hAnsi="Arial Narrow" w:cs="Arial"/>
                <w:snapToGrid w:val="0"/>
                <w:color w:val="000000"/>
              </w:rPr>
              <w:t xml:space="preserve">1. Obligaciones y bonos </w:t>
            </w:r>
          </w:p>
        </w:tc>
        <w:tc>
          <w:tcPr>
            <w:tcW w:w="1647" w:type="dxa"/>
            <w:tcBorders>
              <w:bottom w:val="single" w:sz="2" w:space="0" w:color="auto"/>
            </w:tcBorders>
            <w:vAlign w:val="center"/>
          </w:tcPr>
          <w:p w:rsidR="00C47EE9" w:rsidRPr="00C47EE9" w:rsidRDefault="00C47EE9" w:rsidP="00C47EE9">
            <w:pPr>
              <w:spacing w:after="0"/>
              <w:ind w:left="-91" w:right="-67" w:firstLine="0"/>
              <w:jc w:val="right"/>
              <w:rPr>
                <w:rFonts w:ascii="Arial Narrow" w:hAnsi="Arial Narrow" w:cs="Arial"/>
                <w:snapToGrid w:val="0"/>
                <w:color w:val="000000"/>
              </w:rPr>
            </w:pPr>
            <w:r w:rsidRPr="00C47EE9">
              <w:rPr>
                <w:rFonts w:ascii="Arial Narrow" w:hAnsi="Arial Narrow" w:cs="Arial"/>
                <w:snapToGrid w:val="0"/>
                <w:color w:val="000000"/>
              </w:rPr>
              <w:t>1.359.560.412</w:t>
            </w:r>
          </w:p>
        </w:tc>
        <w:tc>
          <w:tcPr>
            <w:tcW w:w="2062" w:type="dxa"/>
            <w:tcBorders>
              <w:bottom w:val="single" w:sz="2" w:space="0" w:color="auto"/>
            </w:tcBorders>
            <w:vAlign w:val="center"/>
          </w:tcPr>
          <w:p w:rsidR="00C47EE9" w:rsidRPr="00C47EE9" w:rsidRDefault="00C47EE9" w:rsidP="00C47EE9">
            <w:pPr>
              <w:spacing w:after="0"/>
              <w:ind w:left="-91" w:right="-67" w:firstLine="0"/>
              <w:jc w:val="right"/>
              <w:rPr>
                <w:rFonts w:ascii="Arial Narrow" w:hAnsi="Arial Narrow" w:cs="Arial"/>
                <w:snapToGrid w:val="0"/>
                <w:color w:val="000000"/>
              </w:rPr>
            </w:pPr>
            <w:r w:rsidRPr="00C47EE9">
              <w:rPr>
                <w:rFonts w:ascii="Arial Narrow" w:hAnsi="Arial Narrow" w:cs="Arial"/>
                <w:snapToGrid w:val="0"/>
                <w:color w:val="000000"/>
              </w:rPr>
              <w:t>1.440.847.817</w:t>
            </w:r>
          </w:p>
        </w:tc>
      </w:tr>
      <w:tr w:rsidR="00C47EE9" w:rsidRPr="00C47EE9" w:rsidTr="00C47EE9">
        <w:trPr>
          <w:trHeight w:val="255"/>
          <w:jc w:val="center"/>
        </w:trPr>
        <w:tc>
          <w:tcPr>
            <w:tcW w:w="5127" w:type="dxa"/>
            <w:tcBorders>
              <w:top w:val="single" w:sz="2" w:space="0" w:color="auto"/>
            </w:tcBorders>
            <w:vAlign w:val="center"/>
          </w:tcPr>
          <w:p w:rsidR="00C47EE9" w:rsidRPr="00C47EE9" w:rsidRDefault="00C47EE9" w:rsidP="00C47EE9">
            <w:pPr>
              <w:spacing w:after="0"/>
              <w:ind w:left="71" w:firstLine="0"/>
              <w:rPr>
                <w:rFonts w:ascii="Arial Narrow" w:hAnsi="Arial Narrow" w:cs="Arial"/>
                <w:b/>
                <w:snapToGrid w:val="0"/>
                <w:color w:val="000000"/>
              </w:rPr>
            </w:pPr>
            <w:r w:rsidRPr="00C47EE9">
              <w:rPr>
                <w:rFonts w:ascii="Arial Narrow" w:hAnsi="Arial Narrow" w:cs="Arial"/>
                <w:b/>
                <w:snapToGrid w:val="0"/>
                <w:color w:val="000000"/>
              </w:rPr>
              <w:t xml:space="preserve">II. Otras deudas a largo plazo </w:t>
            </w:r>
          </w:p>
        </w:tc>
        <w:tc>
          <w:tcPr>
            <w:tcW w:w="1647" w:type="dxa"/>
            <w:tcBorders>
              <w:top w:val="single" w:sz="2"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color w:val="000000"/>
              </w:rPr>
            </w:pPr>
            <w:r w:rsidRPr="00C47EE9">
              <w:rPr>
                <w:rFonts w:ascii="Arial Narrow" w:hAnsi="Arial Narrow" w:cs="Arial"/>
                <w:b/>
                <w:snapToGrid w:val="0"/>
                <w:color w:val="000000"/>
              </w:rPr>
              <w:t>1.620.019.129</w:t>
            </w:r>
          </w:p>
        </w:tc>
        <w:tc>
          <w:tcPr>
            <w:tcW w:w="2062" w:type="dxa"/>
            <w:tcBorders>
              <w:top w:val="single" w:sz="2"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color w:val="000000"/>
              </w:rPr>
            </w:pPr>
            <w:r w:rsidRPr="00C47EE9">
              <w:rPr>
                <w:rFonts w:ascii="Arial Narrow" w:hAnsi="Arial Narrow" w:cs="Arial"/>
                <w:b/>
                <w:snapToGrid w:val="0"/>
                <w:color w:val="000000"/>
              </w:rPr>
              <w:t>1.280.766.804</w:t>
            </w:r>
          </w:p>
        </w:tc>
      </w:tr>
      <w:tr w:rsidR="00C47EE9" w:rsidRPr="00C47EE9" w:rsidTr="00C47EE9">
        <w:trPr>
          <w:trHeight w:val="198"/>
          <w:jc w:val="center"/>
        </w:trPr>
        <w:tc>
          <w:tcPr>
            <w:tcW w:w="5127" w:type="dxa"/>
            <w:vAlign w:val="center"/>
          </w:tcPr>
          <w:p w:rsidR="00C47EE9" w:rsidRPr="00C47EE9" w:rsidRDefault="00C47EE9" w:rsidP="00C47EE9">
            <w:pPr>
              <w:spacing w:after="0"/>
              <w:ind w:left="71" w:firstLine="0"/>
              <w:rPr>
                <w:rFonts w:ascii="Arial Narrow" w:hAnsi="Arial Narrow" w:cs="Arial"/>
                <w:snapToGrid w:val="0"/>
                <w:color w:val="000000"/>
              </w:rPr>
            </w:pPr>
            <w:r w:rsidRPr="00C47EE9">
              <w:rPr>
                <w:rFonts w:ascii="Arial Narrow" w:hAnsi="Arial Narrow" w:cs="Arial"/>
                <w:snapToGrid w:val="0"/>
                <w:color w:val="000000"/>
              </w:rPr>
              <w:t xml:space="preserve">2. Otras deudas </w:t>
            </w:r>
          </w:p>
        </w:tc>
        <w:tc>
          <w:tcPr>
            <w:tcW w:w="1647" w:type="dxa"/>
            <w:vAlign w:val="center"/>
          </w:tcPr>
          <w:p w:rsidR="00C47EE9" w:rsidRPr="00C47EE9" w:rsidRDefault="00C47EE9" w:rsidP="00C47EE9">
            <w:pPr>
              <w:spacing w:after="0"/>
              <w:ind w:left="-91" w:right="-67" w:firstLine="0"/>
              <w:jc w:val="right"/>
              <w:rPr>
                <w:rFonts w:ascii="Arial Narrow" w:hAnsi="Arial Narrow" w:cs="Arial"/>
                <w:snapToGrid w:val="0"/>
                <w:color w:val="000000"/>
              </w:rPr>
            </w:pPr>
            <w:r w:rsidRPr="00C47EE9">
              <w:rPr>
                <w:rFonts w:ascii="Arial Narrow" w:hAnsi="Arial Narrow" w:cs="Arial"/>
                <w:snapToGrid w:val="0"/>
                <w:color w:val="000000"/>
              </w:rPr>
              <w:t>1.619.574.611</w:t>
            </w:r>
          </w:p>
        </w:tc>
        <w:tc>
          <w:tcPr>
            <w:tcW w:w="2062" w:type="dxa"/>
            <w:vAlign w:val="center"/>
          </w:tcPr>
          <w:p w:rsidR="00C47EE9" w:rsidRPr="00C47EE9" w:rsidRDefault="00C47EE9" w:rsidP="00C47EE9">
            <w:pPr>
              <w:spacing w:after="0"/>
              <w:ind w:left="-91" w:right="-67" w:firstLine="0"/>
              <w:jc w:val="right"/>
              <w:rPr>
                <w:rFonts w:ascii="Arial Narrow" w:hAnsi="Arial Narrow" w:cs="Arial"/>
                <w:snapToGrid w:val="0"/>
                <w:color w:val="000000"/>
              </w:rPr>
            </w:pPr>
            <w:r w:rsidRPr="00C47EE9">
              <w:rPr>
                <w:rFonts w:ascii="Arial Narrow" w:hAnsi="Arial Narrow" w:cs="Arial"/>
                <w:snapToGrid w:val="0"/>
                <w:color w:val="000000"/>
              </w:rPr>
              <w:t>1.280.319.604</w:t>
            </w:r>
          </w:p>
        </w:tc>
      </w:tr>
      <w:tr w:rsidR="00C47EE9" w:rsidRPr="00C47EE9" w:rsidTr="00C47EE9">
        <w:trPr>
          <w:trHeight w:val="198"/>
          <w:jc w:val="center"/>
        </w:trPr>
        <w:tc>
          <w:tcPr>
            <w:tcW w:w="5127" w:type="dxa"/>
            <w:tcBorders>
              <w:bottom w:val="single" w:sz="4" w:space="0" w:color="auto"/>
            </w:tcBorders>
            <w:vAlign w:val="center"/>
          </w:tcPr>
          <w:p w:rsidR="00C47EE9" w:rsidRPr="00C47EE9" w:rsidRDefault="00C47EE9" w:rsidP="00C47EE9">
            <w:pPr>
              <w:spacing w:after="0"/>
              <w:ind w:left="71" w:firstLine="0"/>
              <w:rPr>
                <w:rFonts w:ascii="Arial Narrow" w:hAnsi="Arial Narrow" w:cs="Arial"/>
                <w:snapToGrid w:val="0"/>
                <w:color w:val="000000"/>
              </w:rPr>
            </w:pPr>
            <w:r w:rsidRPr="00C47EE9">
              <w:rPr>
                <w:rFonts w:ascii="Arial Narrow" w:hAnsi="Arial Narrow" w:cs="Arial"/>
                <w:snapToGrid w:val="0"/>
                <w:color w:val="000000"/>
              </w:rPr>
              <w:t>4. Fianzas y depósitos recibidos a largo plazo</w:t>
            </w:r>
          </w:p>
        </w:tc>
        <w:tc>
          <w:tcPr>
            <w:tcW w:w="1647" w:type="dxa"/>
            <w:tcBorders>
              <w:bottom w:val="single" w:sz="4" w:space="0" w:color="auto"/>
            </w:tcBorders>
            <w:vAlign w:val="center"/>
          </w:tcPr>
          <w:p w:rsidR="00C47EE9" w:rsidRPr="00C47EE9" w:rsidRDefault="00C47EE9" w:rsidP="00C47EE9">
            <w:pPr>
              <w:spacing w:after="0"/>
              <w:ind w:left="-91" w:right="-67" w:firstLine="0"/>
              <w:jc w:val="right"/>
              <w:rPr>
                <w:rFonts w:ascii="Arial Narrow" w:hAnsi="Arial Narrow" w:cs="Arial"/>
                <w:snapToGrid w:val="0"/>
                <w:color w:val="000000"/>
              </w:rPr>
            </w:pPr>
            <w:r w:rsidRPr="00C47EE9">
              <w:rPr>
                <w:rFonts w:ascii="Arial Narrow" w:hAnsi="Arial Narrow" w:cs="Arial"/>
                <w:snapToGrid w:val="0"/>
                <w:color w:val="000000"/>
              </w:rPr>
              <w:t>444.518</w:t>
            </w:r>
          </w:p>
        </w:tc>
        <w:tc>
          <w:tcPr>
            <w:tcW w:w="2062" w:type="dxa"/>
            <w:tcBorders>
              <w:bottom w:val="single" w:sz="4" w:space="0" w:color="auto"/>
            </w:tcBorders>
            <w:vAlign w:val="center"/>
          </w:tcPr>
          <w:p w:rsidR="00C47EE9" w:rsidRPr="00C47EE9" w:rsidRDefault="00C47EE9" w:rsidP="00C47EE9">
            <w:pPr>
              <w:spacing w:after="0"/>
              <w:ind w:left="-91" w:right="-67" w:firstLine="0"/>
              <w:jc w:val="right"/>
              <w:rPr>
                <w:rFonts w:ascii="Arial Narrow" w:hAnsi="Arial Narrow" w:cs="Arial"/>
                <w:snapToGrid w:val="0"/>
                <w:color w:val="000000"/>
              </w:rPr>
            </w:pPr>
            <w:r w:rsidRPr="00C47EE9">
              <w:rPr>
                <w:rFonts w:ascii="Arial Narrow" w:hAnsi="Arial Narrow" w:cs="Arial"/>
                <w:snapToGrid w:val="0"/>
                <w:color w:val="000000"/>
              </w:rPr>
              <w:t>447.200</w:t>
            </w:r>
          </w:p>
        </w:tc>
      </w:tr>
      <w:tr w:rsidR="00C47EE9" w:rsidRPr="00C47EE9" w:rsidTr="00C47EE9">
        <w:trPr>
          <w:trHeight w:val="255"/>
          <w:jc w:val="center"/>
        </w:trPr>
        <w:tc>
          <w:tcPr>
            <w:tcW w:w="5127" w:type="dxa"/>
            <w:tcBorders>
              <w:top w:val="single" w:sz="4" w:space="0" w:color="auto"/>
              <w:bottom w:val="single" w:sz="4" w:space="0" w:color="auto"/>
            </w:tcBorders>
            <w:vAlign w:val="center"/>
          </w:tcPr>
          <w:p w:rsidR="00C47EE9" w:rsidRPr="00C47EE9" w:rsidRDefault="00C47EE9" w:rsidP="00C47EE9">
            <w:pPr>
              <w:spacing w:after="0"/>
              <w:ind w:left="71" w:firstLine="0"/>
              <w:rPr>
                <w:rFonts w:ascii="Arial" w:hAnsi="Arial" w:cs="Arial"/>
                <w:b/>
                <w:snapToGrid w:val="0"/>
                <w:color w:val="000000"/>
                <w:sz w:val="18"/>
                <w:szCs w:val="18"/>
              </w:rPr>
            </w:pPr>
            <w:r w:rsidRPr="00C47EE9">
              <w:rPr>
                <w:rFonts w:ascii="Arial" w:hAnsi="Arial" w:cs="Arial"/>
                <w:b/>
                <w:snapToGrid w:val="0"/>
                <w:color w:val="000000"/>
                <w:sz w:val="18"/>
                <w:szCs w:val="18"/>
              </w:rPr>
              <w:t>D) Acreedores a corto plazo</w:t>
            </w:r>
          </w:p>
        </w:tc>
        <w:tc>
          <w:tcPr>
            <w:tcW w:w="1647" w:type="dxa"/>
            <w:tcBorders>
              <w:top w:val="single" w:sz="4" w:space="0" w:color="auto"/>
              <w:bottom w:val="single" w:sz="4" w:space="0" w:color="auto"/>
            </w:tcBorders>
            <w:vAlign w:val="center"/>
          </w:tcPr>
          <w:p w:rsidR="00C47EE9" w:rsidRPr="00C47EE9" w:rsidRDefault="00C47EE9" w:rsidP="00C47EE9">
            <w:pPr>
              <w:spacing w:after="0"/>
              <w:ind w:left="-91" w:right="-67" w:firstLine="0"/>
              <w:jc w:val="right"/>
              <w:rPr>
                <w:rFonts w:ascii="Arial" w:hAnsi="Arial" w:cs="Arial"/>
                <w:b/>
                <w:snapToGrid w:val="0"/>
                <w:sz w:val="18"/>
                <w:szCs w:val="18"/>
              </w:rPr>
            </w:pPr>
            <w:r w:rsidRPr="00C47EE9">
              <w:rPr>
                <w:rFonts w:ascii="Arial" w:hAnsi="Arial" w:cs="Arial"/>
                <w:b/>
                <w:snapToGrid w:val="0"/>
                <w:sz w:val="18"/>
                <w:szCs w:val="18"/>
              </w:rPr>
              <w:t>794.477.130</w:t>
            </w:r>
          </w:p>
        </w:tc>
        <w:tc>
          <w:tcPr>
            <w:tcW w:w="2062" w:type="dxa"/>
            <w:tcBorders>
              <w:top w:val="single" w:sz="4" w:space="0" w:color="auto"/>
              <w:bottom w:val="single" w:sz="4" w:space="0" w:color="auto"/>
            </w:tcBorders>
            <w:vAlign w:val="center"/>
          </w:tcPr>
          <w:p w:rsidR="00C47EE9" w:rsidRPr="00C47EE9" w:rsidRDefault="00C47EE9" w:rsidP="00C47EE9">
            <w:pPr>
              <w:spacing w:after="0"/>
              <w:ind w:left="-91" w:right="-67" w:firstLine="0"/>
              <w:jc w:val="right"/>
              <w:rPr>
                <w:rFonts w:ascii="Arial" w:hAnsi="Arial" w:cs="Arial"/>
                <w:b/>
                <w:snapToGrid w:val="0"/>
                <w:sz w:val="18"/>
                <w:szCs w:val="18"/>
              </w:rPr>
            </w:pPr>
            <w:r w:rsidRPr="00C47EE9">
              <w:rPr>
                <w:rFonts w:ascii="Arial" w:hAnsi="Arial" w:cs="Arial"/>
                <w:b/>
                <w:snapToGrid w:val="0"/>
                <w:sz w:val="18"/>
                <w:szCs w:val="18"/>
              </w:rPr>
              <w:t>895.553.625</w:t>
            </w:r>
          </w:p>
        </w:tc>
      </w:tr>
      <w:tr w:rsidR="00C47EE9" w:rsidRPr="00C47EE9" w:rsidTr="00C47EE9">
        <w:trPr>
          <w:trHeight w:val="255"/>
          <w:jc w:val="center"/>
        </w:trPr>
        <w:tc>
          <w:tcPr>
            <w:tcW w:w="5127" w:type="dxa"/>
            <w:tcBorders>
              <w:top w:val="single" w:sz="4" w:space="0" w:color="auto"/>
            </w:tcBorders>
            <w:vAlign w:val="center"/>
          </w:tcPr>
          <w:p w:rsidR="00C47EE9" w:rsidRPr="00C47EE9" w:rsidRDefault="00C47EE9" w:rsidP="00C47EE9">
            <w:pPr>
              <w:spacing w:after="0"/>
              <w:ind w:left="71" w:firstLine="0"/>
              <w:rPr>
                <w:rFonts w:ascii="Arial Narrow" w:hAnsi="Arial Narrow" w:cs="Arial"/>
                <w:b/>
                <w:snapToGrid w:val="0"/>
                <w:color w:val="000000"/>
              </w:rPr>
            </w:pPr>
            <w:r w:rsidRPr="00C47EE9">
              <w:rPr>
                <w:rFonts w:ascii="Arial Narrow" w:hAnsi="Arial Narrow" w:cs="Arial"/>
                <w:b/>
                <w:snapToGrid w:val="0"/>
                <w:color w:val="000000"/>
              </w:rPr>
              <w:t>I. Emisiones de obligaciones y otros valores negociables</w:t>
            </w:r>
          </w:p>
        </w:tc>
        <w:tc>
          <w:tcPr>
            <w:tcW w:w="1647" w:type="dxa"/>
            <w:tcBorders>
              <w:top w:val="single" w:sz="4"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color w:val="000000"/>
              </w:rPr>
            </w:pPr>
            <w:r w:rsidRPr="00C47EE9">
              <w:rPr>
                <w:rFonts w:ascii="Arial Narrow" w:hAnsi="Arial Narrow" w:cs="Arial"/>
                <w:b/>
                <w:snapToGrid w:val="0"/>
                <w:color w:val="000000"/>
              </w:rPr>
              <w:t>289.839.293</w:t>
            </w:r>
          </w:p>
        </w:tc>
        <w:tc>
          <w:tcPr>
            <w:tcW w:w="2062" w:type="dxa"/>
            <w:tcBorders>
              <w:top w:val="single" w:sz="4"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color w:val="000000"/>
              </w:rPr>
            </w:pPr>
            <w:r w:rsidRPr="00C47EE9">
              <w:rPr>
                <w:rFonts w:ascii="Arial Narrow" w:hAnsi="Arial Narrow" w:cs="Arial"/>
                <w:b/>
                <w:snapToGrid w:val="0"/>
                <w:color w:val="000000"/>
              </w:rPr>
              <w:t>347.266.616</w:t>
            </w:r>
          </w:p>
        </w:tc>
      </w:tr>
      <w:tr w:rsidR="00C47EE9" w:rsidRPr="00C47EE9" w:rsidTr="00C47EE9">
        <w:trPr>
          <w:trHeight w:val="198"/>
          <w:jc w:val="center"/>
        </w:trPr>
        <w:tc>
          <w:tcPr>
            <w:tcW w:w="5127" w:type="dxa"/>
            <w:vAlign w:val="center"/>
          </w:tcPr>
          <w:p w:rsidR="00C47EE9" w:rsidRPr="00C47EE9" w:rsidRDefault="00C47EE9" w:rsidP="00C47EE9">
            <w:pPr>
              <w:spacing w:after="0"/>
              <w:ind w:left="71" w:firstLine="0"/>
              <w:rPr>
                <w:rFonts w:ascii="Arial Narrow" w:hAnsi="Arial Narrow" w:cs="Arial"/>
                <w:snapToGrid w:val="0"/>
                <w:color w:val="000000"/>
              </w:rPr>
            </w:pPr>
            <w:r w:rsidRPr="00C47EE9">
              <w:rPr>
                <w:rFonts w:ascii="Arial Narrow" w:hAnsi="Arial Narrow" w:cs="Arial"/>
                <w:snapToGrid w:val="0"/>
                <w:color w:val="000000"/>
              </w:rPr>
              <w:t xml:space="preserve">1. Obligaciones y bonos a corto plazo </w:t>
            </w:r>
          </w:p>
        </w:tc>
        <w:tc>
          <w:tcPr>
            <w:tcW w:w="1647" w:type="dxa"/>
            <w:vAlign w:val="center"/>
          </w:tcPr>
          <w:p w:rsidR="00C47EE9" w:rsidRPr="00C47EE9" w:rsidRDefault="00C47EE9" w:rsidP="00C47EE9">
            <w:pPr>
              <w:spacing w:after="0"/>
              <w:ind w:left="-91" w:right="-67" w:firstLine="0"/>
              <w:jc w:val="right"/>
              <w:rPr>
                <w:rFonts w:ascii="Arial Narrow" w:hAnsi="Arial Narrow" w:cs="Arial"/>
                <w:snapToGrid w:val="0"/>
              </w:rPr>
            </w:pPr>
            <w:r w:rsidRPr="00C47EE9">
              <w:rPr>
                <w:rFonts w:ascii="Arial Narrow" w:hAnsi="Arial Narrow" w:cs="Arial"/>
                <w:snapToGrid w:val="0"/>
              </w:rPr>
              <w:t>271.973.534</w:t>
            </w:r>
          </w:p>
        </w:tc>
        <w:tc>
          <w:tcPr>
            <w:tcW w:w="2062" w:type="dxa"/>
            <w:vAlign w:val="center"/>
          </w:tcPr>
          <w:p w:rsidR="00C47EE9" w:rsidRPr="00C47EE9" w:rsidRDefault="00C47EE9" w:rsidP="00C47EE9">
            <w:pPr>
              <w:spacing w:after="0"/>
              <w:ind w:left="-91" w:right="-67" w:firstLine="0"/>
              <w:jc w:val="right"/>
              <w:rPr>
                <w:rFonts w:ascii="Arial Narrow" w:hAnsi="Arial Narrow" w:cs="Arial"/>
                <w:snapToGrid w:val="0"/>
              </w:rPr>
            </w:pPr>
            <w:r w:rsidRPr="00C47EE9">
              <w:rPr>
                <w:rFonts w:ascii="Arial Narrow" w:hAnsi="Arial Narrow" w:cs="Arial"/>
                <w:snapToGrid w:val="0"/>
              </w:rPr>
              <w:t>332.735.650</w:t>
            </w:r>
          </w:p>
        </w:tc>
      </w:tr>
      <w:tr w:rsidR="00C47EE9" w:rsidRPr="00C47EE9" w:rsidTr="00C47EE9">
        <w:trPr>
          <w:trHeight w:val="198"/>
          <w:jc w:val="center"/>
        </w:trPr>
        <w:tc>
          <w:tcPr>
            <w:tcW w:w="5127" w:type="dxa"/>
            <w:tcBorders>
              <w:bottom w:val="single" w:sz="2" w:space="0" w:color="auto"/>
            </w:tcBorders>
            <w:vAlign w:val="center"/>
          </w:tcPr>
          <w:p w:rsidR="00C47EE9" w:rsidRPr="00C47EE9" w:rsidRDefault="00C47EE9" w:rsidP="00C47EE9">
            <w:pPr>
              <w:spacing w:after="0"/>
              <w:ind w:left="71" w:firstLine="0"/>
              <w:rPr>
                <w:rFonts w:ascii="Arial Narrow" w:hAnsi="Arial Narrow" w:cs="Arial"/>
                <w:snapToGrid w:val="0"/>
                <w:color w:val="000000"/>
              </w:rPr>
            </w:pPr>
            <w:r w:rsidRPr="00C47EE9">
              <w:rPr>
                <w:rFonts w:ascii="Arial Narrow" w:hAnsi="Arial Narrow" w:cs="Arial"/>
                <w:snapToGrid w:val="0"/>
                <w:color w:val="000000"/>
              </w:rPr>
              <w:t>2. Deudas con entidades de crédito a corto plazo</w:t>
            </w:r>
          </w:p>
        </w:tc>
        <w:tc>
          <w:tcPr>
            <w:tcW w:w="1647" w:type="dxa"/>
            <w:tcBorders>
              <w:bottom w:val="single" w:sz="2" w:space="0" w:color="auto"/>
            </w:tcBorders>
            <w:vAlign w:val="center"/>
          </w:tcPr>
          <w:p w:rsidR="00C47EE9" w:rsidRPr="00C47EE9" w:rsidRDefault="00C47EE9" w:rsidP="00C47EE9">
            <w:pPr>
              <w:spacing w:after="0"/>
              <w:ind w:left="-91" w:right="-67" w:firstLine="0"/>
              <w:jc w:val="right"/>
              <w:rPr>
                <w:rFonts w:ascii="Arial Narrow" w:hAnsi="Arial Narrow" w:cs="Arial"/>
                <w:snapToGrid w:val="0"/>
              </w:rPr>
            </w:pPr>
            <w:r w:rsidRPr="00C47EE9">
              <w:rPr>
                <w:rFonts w:ascii="Arial Narrow" w:hAnsi="Arial Narrow" w:cs="Arial"/>
                <w:snapToGrid w:val="0"/>
              </w:rPr>
              <w:t>17.865.759</w:t>
            </w:r>
          </w:p>
        </w:tc>
        <w:tc>
          <w:tcPr>
            <w:tcW w:w="2062" w:type="dxa"/>
            <w:tcBorders>
              <w:bottom w:val="single" w:sz="2" w:space="0" w:color="auto"/>
            </w:tcBorders>
            <w:vAlign w:val="center"/>
          </w:tcPr>
          <w:p w:rsidR="00C47EE9" w:rsidRPr="00C47EE9" w:rsidRDefault="00C47EE9" w:rsidP="00C47EE9">
            <w:pPr>
              <w:spacing w:after="0"/>
              <w:ind w:left="-91" w:right="-67" w:firstLine="0"/>
              <w:jc w:val="right"/>
              <w:rPr>
                <w:rFonts w:ascii="Arial Narrow" w:hAnsi="Arial Narrow" w:cs="Arial"/>
                <w:snapToGrid w:val="0"/>
              </w:rPr>
            </w:pPr>
            <w:r w:rsidRPr="00C47EE9">
              <w:rPr>
                <w:rFonts w:ascii="Arial Narrow" w:hAnsi="Arial Narrow" w:cs="Arial"/>
                <w:snapToGrid w:val="0"/>
              </w:rPr>
              <w:t>14.530.966</w:t>
            </w:r>
          </w:p>
        </w:tc>
      </w:tr>
      <w:tr w:rsidR="00C47EE9" w:rsidRPr="00C47EE9" w:rsidTr="00C47EE9">
        <w:trPr>
          <w:trHeight w:val="255"/>
          <w:jc w:val="center"/>
        </w:trPr>
        <w:tc>
          <w:tcPr>
            <w:tcW w:w="5127" w:type="dxa"/>
            <w:tcBorders>
              <w:top w:val="single" w:sz="2" w:space="0" w:color="auto"/>
            </w:tcBorders>
            <w:vAlign w:val="center"/>
          </w:tcPr>
          <w:p w:rsidR="00C47EE9" w:rsidRPr="00C47EE9" w:rsidRDefault="00C47EE9" w:rsidP="00C47EE9">
            <w:pPr>
              <w:spacing w:after="0"/>
              <w:ind w:left="71" w:firstLine="0"/>
              <w:rPr>
                <w:rFonts w:ascii="Arial Narrow" w:hAnsi="Arial Narrow" w:cs="Arial"/>
                <w:b/>
                <w:snapToGrid w:val="0"/>
                <w:color w:val="000000"/>
              </w:rPr>
            </w:pPr>
            <w:r w:rsidRPr="00C47EE9">
              <w:rPr>
                <w:rFonts w:ascii="Arial Narrow" w:hAnsi="Arial Narrow" w:cs="Arial"/>
                <w:b/>
                <w:snapToGrid w:val="0"/>
                <w:color w:val="000000"/>
              </w:rPr>
              <w:t xml:space="preserve">III. Acreedores </w:t>
            </w:r>
          </w:p>
        </w:tc>
        <w:tc>
          <w:tcPr>
            <w:tcW w:w="1647" w:type="dxa"/>
            <w:tcBorders>
              <w:top w:val="single" w:sz="2"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rPr>
            </w:pPr>
            <w:r w:rsidRPr="00C47EE9">
              <w:rPr>
                <w:rFonts w:ascii="Arial Narrow" w:hAnsi="Arial Narrow" w:cs="Arial"/>
                <w:b/>
                <w:snapToGrid w:val="0"/>
              </w:rPr>
              <w:t>504.637.837</w:t>
            </w:r>
          </w:p>
        </w:tc>
        <w:tc>
          <w:tcPr>
            <w:tcW w:w="2062" w:type="dxa"/>
            <w:tcBorders>
              <w:top w:val="single" w:sz="2" w:space="0" w:color="auto"/>
            </w:tcBorders>
            <w:vAlign w:val="center"/>
          </w:tcPr>
          <w:p w:rsidR="00C47EE9" w:rsidRPr="00C47EE9" w:rsidRDefault="00C47EE9" w:rsidP="00C47EE9">
            <w:pPr>
              <w:spacing w:after="0"/>
              <w:ind w:left="-91" w:right="-67" w:firstLine="0"/>
              <w:jc w:val="right"/>
              <w:rPr>
                <w:rFonts w:ascii="Arial Narrow" w:hAnsi="Arial Narrow" w:cs="Arial"/>
                <w:b/>
                <w:snapToGrid w:val="0"/>
              </w:rPr>
            </w:pPr>
            <w:r w:rsidRPr="00C47EE9">
              <w:rPr>
                <w:rFonts w:ascii="Arial Narrow" w:hAnsi="Arial Narrow" w:cs="Arial"/>
                <w:b/>
                <w:snapToGrid w:val="0"/>
              </w:rPr>
              <w:t>548.287.009</w:t>
            </w:r>
          </w:p>
        </w:tc>
      </w:tr>
      <w:tr w:rsidR="00C47EE9" w:rsidRPr="00C47EE9" w:rsidTr="00C47EE9">
        <w:trPr>
          <w:trHeight w:val="198"/>
          <w:jc w:val="center"/>
        </w:trPr>
        <w:tc>
          <w:tcPr>
            <w:tcW w:w="5127" w:type="dxa"/>
            <w:vAlign w:val="center"/>
          </w:tcPr>
          <w:p w:rsidR="00C47EE9" w:rsidRPr="00C47EE9" w:rsidRDefault="00C47EE9" w:rsidP="00C47EE9">
            <w:pPr>
              <w:spacing w:after="0"/>
              <w:ind w:left="71" w:firstLine="0"/>
              <w:rPr>
                <w:rFonts w:ascii="Arial Narrow" w:hAnsi="Arial Narrow" w:cs="Arial"/>
                <w:snapToGrid w:val="0"/>
                <w:color w:val="000000"/>
              </w:rPr>
            </w:pPr>
            <w:r w:rsidRPr="00C47EE9">
              <w:rPr>
                <w:rFonts w:ascii="Arial Narrow" w:hAnsi="Arial Narrow" w:cs="Arial"/>
                <w:snapToGrid w:val="0"/>
                <w:color w:val="000000"/>
              </w:rPr>
              <w:t xml:space="preserve">1. Acreedores presupuestarios </w:t>
            </w:r>
          </w:p>
        </w:tc>
        <w:tc>
          <w:tcPr>
            <w:tcW w:w="1647" w:type="dxa"/>
            <w:vAlign w:val="center"/>
          </w:tcPr>
          <w:p w:rsidR="00C47EE9" w:rsidRPr="00C47EE9" w:rsidRDefault="00C47EE9" w:rsidP="00C47EE9">
            <w:pPr>
              <w:spacing w:after="0"/>
              <w:ind w:left="-91" w:right="-67" w:firstLine="0"/>
              <w:jc w:val="right"/>
              <w:rPr>
                <w:rFonts w:ascii="Arial Narrow" w:hAnsi="Arial Narrow" w:cs="Arial"/>
                <w:snapToGrid w:val="0"/>
              </w:rPr>
            </w:pPr>
            <w:r w:rsidRPr="00C47EE9">
              <w:rPr>
                <w:rFonts w:ascii="Arial Narrow" w:hAnsi="Arial Narrow" w:cs="Arial"/>
                <w:snapToGrid w:val="0"/>
              </w:rPr>
              <w:t>441.052.086</w:t>
            </w:r>
          </w:p>
        </w:tc>
        <w:tc>
          <w:tcPr>
            <w:tcW w:w="2062" w:type="dxa"/>
            <w:vAlign w:val="center"/>
          </w:tcPr>
          <w:p w:rsidR="00C47EE9" w:rsidRPr="00C47EE9" w:rsidRDefault="00C47EE9" w:rsidP="00C47EE9">
            <w:pPr>
              <w:spacing w:after="0"/>
              <w:ind w:left="-91" w:right="-67" w:firstLine="0"/>
              <w:jc w:val="right"/>
              <w:rPr>
                <w:rFonts w:ascii="Arial Narrow" w:hAnsi="Arial Narrow" w:cs="Arial"/>
                <w:snapToGrid w:val="0"/>
              </w:rPr>
            </w:pPr>
            <w:r w:rsidRPr="00C47EE9">
              <w:rPr>
                <w:rFonts w:ascii="Arial Narrow" w:hAnsi="Arial Narrow" w:cs="Arial"/>
                <w:snapToGrid w:val="0"/>
              </w:rPr>
              <w:t>459.311.368</w:t>
            </w:r>
          </w:p>
        </w:tc>
      </w:tr>
      <w:tr w:rsidR="00C47EE9" w:rsidRPr="00C47EE9" w:rsidTr="00C47EE9">
        <w:trPr>
          <w:trHeight w:val="198"/>
          <w:jc w:val="center"/>
        </w:trPr>
        <w:tc>
          <w:tcPr>
            <w:tcW w:w="5127" w:type="dxa"/>
            <w:vAlign w:val="center"/>
          </w:tcPr>
          <w:p w:rsidR="00C47EE9" w:rsidRPr="00C47EE9" w:rsidRDefault="00C47EE9" w:rsidP="00C47EE9">
            <w:pPr>
              <w:spacing w:after="0"/>
              <w:ind w:left="71" w:firstLine="0"/>
              <w:rPr>
                <w:rFonts w:ascii="Arial Narrow" w:hAnsi="Arial Narrow" w:cs="Arial"/>
                <w:snapToGrid w:val="0"/>
                <w:color w:val="000000"/>
              </w:rPr>
            </w:pPr>
            <w:r w:rsidRPr="00C47EE9">
              <w:rPr>
                <w:rFonts w:ascii="Arial Narrow" w:hAnsi="Arial Narrow" w:cs="Arial"/>
                <w:snapToGrid w:val="0"/>
                <w:color w:val="000000"/>
              </w:rPr>
              <w:t xml:space="preserve">3. Acreedores por admón. de recursos por cuenta de otros EEPP </w:t>
            </w:r>
          </w:p>
        </w:tc>
        <w:tc>
          <w:tcPr>
            <w:tcW w:w="1647" w:type="dxa"/>
            <w:vAlign w:val="center"/>
          </w:tcPr>
          <w:p w:rsidR="00C47EE9" w:rsidRPr="00C47EE9" w:rsidRDefault="00C47EE9" w:rsidP="00C47EE9">
            <w:pPr>
              <w:spacing w:after="0"/>
              <w:ind w:left="-91" w:right="-67" w:firstLine="0"/>
              <w:jc w:val="right"/>
              <w:rPr>
                <w:rFonts w:ascii="Arial Narrow" w:hAnsi="Arial Narrow" w:cs="Arial"/>
                <w:snapToGrid w:val="0"/>
                <w:color w:val="000000"/>
              </w:rPr>
            </w:pPr>
            <w:r w:rsidRPr="00C47EE9">
              <w:rPr>
                <w:rFonts w:ascii="Arial Narrow" w:hAnsi="Arial Narrow" w:cs="Arial"/>
                <w:snapToGrid w:val="0"/>
                <w:color w:val="000000"/>
              </w:rPr>
              <w:t>6.838.127</w:t>
            </w:r>
          </w:p>
        </w:tc>
        <w:tc>
          <w:tcPr>
            <w:tcW w:w="2062" w:type="dxa"/>
            <w:vAlign w:val="center"/>
          </w:tcPr>
          <w:p w:rsidR="00C47EE9" w:rsidRPr="00C47EE9" w:rsidRDefault="00C47EE9" w:rsidP="00C47EE9">
            <w:pPr>
              <w:spacing w:after="0"/>
              <w:ind w:left="-91" w:right="-67" w:firstLine="0"/>
              <w:jc w:val="right"/>
              <w:rPr>
                <w:rFonts w:ascii="Arial Narrow" w:hAnsi="Arial Narrow" w:cs="Arial"/>
                <w:snapToGrid w:val="0"/>
                <w:color w:val="000000"/>
              </w:rPr>
            </w:pPr>
            <w:r w:rsidRPr="00C47EE9">
              <w:rPr>
                <w:rFonts w:ascii="Arial Narrow" w:hAnsi="Arial Narrow" w:cs="Arial"/>
                <w:snapToGrid w:val="0"/>
                <w:color w:val="000000"/>
              </w:rPr>
              <w:t>5.664.535</w:t>
            </w:r>
          </w:p>
        </w:tc>
      </w:tr>
      <w:tr w:rsidR="00C47EE9" w:rsidRPr="00C47EE9" w:rsidTr="00C47EE9">
        <w:trPr>
          <w:trHeight w:val="198"/>
          <w:jc w:val="center"/>
        </w:trPr>
        <w:tc>
          <w:tcPr>
            <w:tcW w:w="5127" w:type="dxa"/>
            <w:vAlign w:val="center"/>
          </w:tcPr>
          <w:p w:rsidR="00C47EE9" w:rsidRPr="00C47EE9" w:rsidRDefault="00C47EE9" w:rsidP="00C47EE9">
            <w:pPr>
              <w:spacing w:after="0"/>
              <w:ind w:left="71" w:firstLine="0"/>
              <w:rPr>
                <w:rFonts w:ascii="Arial Narrow" w:hAnsi="Arial Narrow" w:cs="Arial"/>
                <w:snapToGrid w:val="0"/>
                <w:color w:val="000000"/>
              </w:rPr>
            </w:pPr>
            <w:r w:rsidRPr="00C47EE9">
              <w:rPr>
                <w:rFonts w:ascii="Arial Narrow" w:hAnsi="Arial Narrow" w:cs="Arial"/>
                <w:snapToGrid w:val="0"/>
                <w:color w:val="000000"/>
              </w:rPr>
              <w:t xml:space="preserve">4. Administraciones públicas </w:t>
            </w:r>
          </w:p>
        </w:tc>
        <w:tc>
          <w:tcPr>
            <w:tcW w:w="1647" w:type="dxa"/>
            <w:vAlign w:val="center"/>
          </w:tcPr>
          <w:p w:rsidR="00C47EE9" w:rsidRPr="00C47EE9" w:rsidRDefault="00C47EE9" w:rsidP="00C47EE9">
            <w:pPr>
              <w:spacing w:after="0"/>
              <w:ind w:left="-91" w:right="-67" w:firstLine="0"/>
              <w:jc w:val="right"/>
              <w:rPr>
                <w:rFonts w:ascii="Arial Narrow" w:hAnsi="Arial Narrow" w:cs="Arial"/>
                <w:snapToGrid w:val="0"/>
                <w:color w:val="000000"/>
              </w:rPr>
            </w:pPr>
            <w:r w:rsidRPr="00C47EE9">
              <w:rPr>
                <w:rFonts w:ascii="Arial Narrow" w:hAnsi="Arial Narrow" w:cs="Arial"/>
                <w:snapToGrid w:val="0"/>
                <w:color w:val="000000"/>
              </w:rPr>
              <w:t>3.458.494</w:t>
            </w:r>
          </w:p>
        </w:tc>
        <w:tc>
          <w:tcPr>
            <w:tcW w:w="2062" w:type="dxa"/>
            <w:vAlign w:val="center"/>
          </w:tcPr>
          <w:p w:rsidR="00C47EE9" w:rsidRPr="00C47EE9" w:rsidRDefault="00C47EE9" w:rsidP="00C47EE9">
            <w:pPr>
              <w:spacing w:after="0"/>
              <w:ind w:left="-91" w:right="-67" w:firstLine="0"/>
              <w:jc w:val="right"/>
              <w:rPr>
                <w:rFonts w:ascii="Arial Narrow" w:hAnsi="Arial Narrow" w:cs="Arial"/>
                <w:snapToGrid w:val="0"/>
                <w:color w:val="000000"/>
              </w:rPr>
            </w:pPr>
            <w:r w:rsidRPr="00C47EE9">
              <w:rPr>
                <w:rFonts w:ascii="Arial Narrow" w:hAnsi="Arial Narrow" w:cs="Arial"/>
                <w:snapToGrid w:val="0"/>
                <w:color w:val="000000"/>
              </w:rPr>
              <w:t>3.212.248</w:t>
            </w:r>
          </w:p>
        </w:tc>
      </w:tr>
      <w:tr w:rsidR="00C47EE9" w:rsidRPr="00C47EE9" w:rsidTr="00C47EE9">
        <w:trPr>
          <w:trHeight w:val="198"/>
          <w:jc w:val="center"/>
        </w:trPr>
        <w:tc>
          <w:tcPr>
            <w:tcW w:w="5127" w:type="dxa"/>
            <w:vAlign w:val="center"/>
          </w:tcPr>
          <w:p w:rsidR="00C47EE9" w:rsidRPr="00C47EE9" w:rsidRDefault="00C47EE9" w:rsidP="00C47EE9">
            <w:pPr>
              <w:spacing w:after="0"/>
              <w:ind w:left="71" w:firstLine="0"/>
              <w:rPr>
                <w:rFonts w:ascii="Arial Narrow" w:hAnsi="Arial Narrow" w:cs="Arial"/>
                <w:snapToGrid w:val="0"/>
                <w:color w:val="000000"/>
              </w:rPr>
            </w:pPr>
            <w:r w:rsidRPr="00C47EE9">
              <w:rPr>
                <w:rFonts w:ascii="Arial Narrow" w:hAnsi="Arial Narrow" w:cs="Arial"/>
                <w:snapToGrid w:val="0"/>
                <w:color w:val="000000"/>
              </w:rPr>
              <w:t>5. Otros acreedores</w:t>
            </w:r>
          </w:p>
        </w:tc>
        <w:tc>
          <w:tcPr>
            <w:tcW w:w="1647" w:type="dxa"/>
            <w:vAlign w:val="center"/>
          </w:tcPr>
          <w:p w:rsidR="00C47EE9" w:rsidRPr="00C47EE9" w:rsidRDefault="00C47EE9" w:rsidP="00C47EE9">
            <w:pPr>
              <w:spacing w:after="0"/>
              <w:ind w:left="-91" w:right="-67" w:firstLine="0"/>
              <w:jc w:val="right"/>
              <w:rPr>
                <w:rFonts w:ascii="Arial Narrow" w:hAnsi="Arial Narrow" w:cs="Arial"/>
                <w:snapToGrid w:val="0"/>
              </w:rPr>
            </w:pPr>
            <w:r w:rsidRPr="00C47EE9">
              <w:rPr>
                <w:rFonts w:ascii="Arial Narrow" w:hAnsi="Arial Narrow" w:cs="Arial"/>
                <w:snapToGrid w:val="0"/>
              </w:rPr>
              <w:t>50.417.867</w:t>
            </w:r>
          </w:p>
        </w:tc>
        <w:tc>
          <w:tcPr>
            <w:tcW w:w="2062" w:type="dxa"/>
            <w:vAlign w:val="center"/>
          </w:tcPr>
          <w:p w:rsidR="00C47EE9" w:rsidRPr="00C47EE9" w:rsidRDefault="00C47EE9" w:rsidP="00C47EE9">
            <w:pPr>
              <w:spacing w:after="0"/>
              <w:ind w:left="-91" w:right="-67" w:firstLine="0"/>
              <w:jc w:val="right"/>
              <w:rPr>
                <w:rFonts w:ascii="Arial Narrow" w:hAnsi="Arial Narrow" w:cs="Arial"/>
                <w:snapToGrid w:val="0"/>
              </w:rPr>
            </w:pPr>
            <w:r w:rsidRPr="00C47EE9">
              <w:rPr>
                <w:rFonts w:ascii="Arial Narrow" w:hAnsi="Arial Narrow" w:cs="Arial"/>
                <w:snapToGrid w:val="0"/>
              </w:rPr>
              <w:t>58.333.014</w:t>
            </w:r>
          </w:p>
        </w:tc>
      </w:tr>
      <w:tr w:rsidR="00C47EE9" w:rsidRPr="00C47EE9" w:rsidTr="00C47EE9">
        <w:trPr>
          <w:trHeight w:val="198"/>
          <w:jc w:val="center"/>
        </w:trPr>
        <w:tc>
          <w:tcPr>
            <w:tcW w:w="5127" w:type="dxa"/>
            <w:tcBorders>
              <w:bottom w:val="single" w:sz="4" w:space="0" w:color="auto"/>
            </w:tcBorders>
            <w:vAlign w:val="center"/>
          </w:tcPr>
          <w:p w:rsidR="00C47EE9" w:rsidRPr="00C47EE9" w:rsidRDefault="00C47EE9" w:rsidP="00C47EE9">
            <w:pPr>
              <w:spacing w:after="0"/>
              <w:ind w:left="71" w:firstLine="0"/>
              <w:rPr>
                <w:rFonts w:ascii="Arial Narrow" w:hAnsi="Arial Narrow" w:cs="Arial"/>
                <w:snapToGrid w:val="0"/>
                <w:color w:val="000000"/>
              </w:rPr>
            </w:pPr>
            <w:r w:rsidRPr="00C47EE9">
              <w:rPr>
                <w:rFonts w:ascii="Arial Narrow" w:hAnsi="Arial Narrow" w:cs="Arial"/>
                <w:snapToGrid w:val="0"/>
                <w:color w:val="000000"/>
              </w:rPr>
              <w:t xml:space="preserve">6. Fianzas y depósitos recibidos a corto plazo </w:t>
            </w:r>
          </w:p>
        </w:tc>
        <w:tc>
          <w:tcPr>
            <w:tcW w:w="1647" w:type="dxa"/>
            <w:tcBorders>
              <w:bottom w:val="single" w:sz="4" w:space="0" w:color="auto"/>
            </w:tcBorders>
            <w:vAlign w:val="center"/>
          </w:tcPr>
          <w:p w:rsidR="00C47EE9" w:rsidRPr="00C47EE9" w:rsidRDefault="00C47EE9" w:rsidP="00C47EE9">
            <w:pPr>
              <w:spacing w:after="0"/>
              <w:ind w:left="-91" w:right="-67" w:firstLine="0"/>
              <w:jc w:val="right"/>
              <w:rPr>
                <w:rFonts w:ascii="Arial Narrow" w:hAnsi="Arial Narrow" w:cs="Arial"/>
                <w:snapToGrid w:val="0"/>
                <w:color w:val="000000"/>
              </w:rPr>
            </w:pPr>
            <w:r w:rsidRPr="00C47EE9">
              <w:rPr>
                <w:rFonts w:ascii="Arial Narrow" w:hAnsi="Arial Narrow" w:cs="Arial"/>
                <w:snapToGrid w:val="0"/>
                <w:color w:val="000000"/>
              </w:rPr>
              <w:t>2.871.263</w:t>
            </w:r>
          </w:p>
        </w:tc>
        <w:tc>
          <w:tcPr>
            <w:tcW w:w="2062" w:type="dxa"/>
            <w:tcBorders>
              <w:bottom w:val="single" w:sz="4" w:space="0" w:color="auto"/>
            </w:tcBorders>
            <w:vAlign w:val="center"/>
          </w:tcPr>
          <w:p w:rsidR="00C47EE9" w:rsidRPr="00C47EE9" w:rsidRDefault="00C47EE9" w:rsidP="00C47EE9">
            <w:pPr>
              <w:spacing w:after="0"/>
              <w:ind w:left="-91" w:right="-67" w:firstLine="0"/>
              <w:jc w:val="right"/>
              <w:rPr>
                <w:rFonts w:ascii="Arial Narrow" w:hAnsi="Arial Narrow" w:cs="Arial"/>
                <w:snapToGrid w:val="0"/>
                <w:color w:val="000000"/>
              </w:rPr>
            </w:pPr>
            <w:r w:rsidRPr="00C47EE9">
              <w:rPr>
                <w:rFonts w:ascii="Arial Narrow" w:hAnsi="Arial Narrow" w:cs="Arial"/>
                <w:snapToGrid w:val="0"/>
                <w:color w:val="000000"/>
              </w:rPr>
              <w:t>21.765.844</w:t>
            </w:r>
          </w:p>
        </w:tc>
      </w:tr>
      <w:tr w:rsidR="00C47EE9" w:rsidRPr="00C47EE9" w:rsidTr="00C47EE9">
        <w:trPr>
          <w:trHeight w:val="255"/>
          <w:jc w:val="center"/>
        </w:trPr>
        <w:tc>
          <w:tcPr>
            <w:tcW w:w="5127"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sidRPr="00C47EE9">
              <w:rPr>
                <w:rFonts w:ascii="Arial" w:hAnsi="Arial"/>
                <w:snapToGrid w:val="0"/>
                <w:spacing w:val="6"/>
                <w:sz w:val="18"/>
                <w:szCs w:val="24"/>
              </w:rPr>
              <w:t xml:space="preserve">Total Patrimonio Neto y Pasivo (A+C+D) </w:t>
            </w:r>
          </w:p>
        </w:tc>
        <w:tc>
          <w:tcPr>
            <w:tcW w:w="1647"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spacing w:after="0"/>
              <w:ind w:left="-91" w:right="-67" w:firstLine="0"/>
              <w:jc w:val="right"/>
              <w:rPr>
                <w:rFonts w:ascii="Arial" w:hAnsi="Arial" w:cs="Arial"/>
                <w:snapToGrid w:val="0"/>
                <w:color w:val="000000"/>
                <w:sz w:val="18"/>
                <w:szCs w:val="18"/>
                <w:highlight w:val="yellow"/>
              </w:rPr>
            </w:pPr>
            <w:r w:rsidRPr="00C47EE9">
              <w:rPr>
                <w:rFonts w:ascii="Arial" w:hAnsi="Arial" w:cs="Arial"/>
                <w:snapToGrid w:val="0"/>
                <w:color w:val="000000"/>
                <w:sz w:val="18"/>
                <w:szCs w:val="18"/>
              </w:rPr>
              <w:t>3.754.538.406</w:t>
            </w:r>
          </w:p>
        </w:tc>
        <w:tc>
          <w:tcPr>
            <w:tcW w:w="2062"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spacing w:after="0"/>
              <w:ind w:left="-91" w:right="-67" w:firstLine="0"/>
              <w:jc w:val="right"/>
              <w:rPr>
                <w:rFonts w:ascii="Arial" w:hAnsi="Arial" w:cs="Arial"/>
                <w:snapToGrid w:val="0"/>
                <w:color w:val="000000"/>
                <w:sz w:val="18"/>
                <w:szCs w:val="18"/>
                <w:highlight w:val="yellow"/>
              </w:rPr>
            </w:pPr>
            <w:r w:rsidRPr="00C47EE9">
              <w:rPr>
                <w:rFonts w:ascii="Arial" w:hAnsi="Arial" w:cs="Arial"/>
                <w:snapToGrid w:val="0"/>
                <w:color w:val="000000"/>
                <w:sz w:val="18"/>
                <w:szCs w:val="18"/>
              </w:rPr>
              <w:t>3.315.490.400</w:t>
            </w:r>
          </w:p>
        </w:tc>
      </w:tr>
    </w:tbl>
    <w:p w:rsidR="00C47EE9" w:rsidRPr="00C47EE9" w:rsidRDefault="00C47EE9" w:rsidP="00232E50">
      <w:pPr>
        <w:pStyle w:val="atitulo2"/>
      </w:pPr>
      <w:bookmarkStart w:id="51" w:name="_Toc399859620"/>
      <w:bookmarkStart w:id="52" w:name="_Toc463350245"/>
      <w:bookmarkStart w:id="53" w:name="_Toc494270379"/>
      <w:bookmarkStart w:id="54" w:name="_Toc525907436"/>
      <w:bookmarkStart w:id="55" w:name="_Toc530034664"/>
      <w:r w:rsidRPr="00C47EE9">
        <w:lastRenderedPageBreak/>
        <w:t xml:space="preserve">IV.5. Cuenta de Resultados </w:t>
      </w:r>
      <w:bookmarkEnd w:id="51"/>
      <w:bookmarkEnd w:id="52"/>
      <w:r w:rsidRPr="00C47EE9">
        <w:t>201</w:t>
      </w:r>
      <w:bookmarkEnd w:id="53"/>
      <w:r w:rsidRPr="00C47EE9">
        <w:t>7</w:t>
      </w:r>
      <w:bookmarkEnd w:id="54"/>
      <w:bookmarkEnd w:id="55"/>
    </w:p>
    <w:p w:rsidR="00C47EE9" w:rsidRPr="00C47EE9" w:rsidRDefault="00C47EE9" w:rsidP="00C47EE9">
      <w:pPr>
        <w:suppressAutoHyphens/>
        <w:spacing w:after="60"/>
        <w:ind w:firstLine="0"/>
        <w:jc w:val="right"/>
        <w:rPr>
          <w:rFonts w:ascii="Arial" w:hAnsi="Arial"/>
          <w:spacing w:val="6"/>
          <w:sz w:val="17"/>
          <w:szCs w:val="17"/>
        </w:rPr>
      </w:pPr>
      <w:r w:rsidRPr="00C47EE9">
        <w:rPr>
          <w:rFonts w:ascii="Arial" w:hAnsi="Arial"/>
          <w:spacing w:val="6"/>
          <w:sz w:val="17"/>
          <w:szCs w:val="17"/>
        </w:rPr>
        <w:t>(en euros)</w:t>
      </w:r>
    </w:p>
    <w:tbl>
      <w:tblPr>
        <w:tblW w:w="8892"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080"/>
        <w:gridCol w:w="1867"/>
        <w:gridCol w:w="1945"/>
      </w:tblGrid>
      <w:tr w:rsidR="00C47EE9" w:rsidRPr="00C47EE9" w:rsidTr="00C47EE9">
        <w:trPr>
          <w:trHeight w:val="255"/>
          <w:jc w:val="center"/>
        </w:trPr>
        <w:tc>
          <w:tcPr>
            <w:tcW w:w="5080"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sidRPr="00C47EE9">
              <w:rPr>
                <w:rFonts w:ascii="Arial" w:hAnsi="Arial"/>
                <w:snapToGrid w:val="0"/>
                <w:spacing w:val="6"/>
                <w:sz w:val="18"/>
                <w:szCs w:val="24"/>
              </w:rPr>
              <w:t>Debe</w:t>
            </w:r>
          </w:p>
        </w:tc>
        <w:tc>
          <w:tcPr>
            <w:tcW w:w="1867"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snapToGrid w:val="0"/>
                <w:color w:val="000000"/>
                <w:spacing w:val="6"/>
                <w:sz w:val="18"/>
                <w:szCs w:val="24"/>
                <w:lang w:val="es-ES"/>
              </w:rPr>
            </w:pPr>
            <w:r w:rsidRPr="00C47EE9">
              <w:rPr>
                <w:rFonts w:ascii="Arial" w:hAnsi="Arial"/>
                <w:snapToGrid w:val="0"/>
                <w:color w:val="000000"/>
                <w:spacing w:val="6"/>
                <w:sz w:val="18"/>
                <w:szCs w:val="24"/>
                <w:lang w:val="es-ES"/>
              </w:rPr>
              <w:t>Ejercicio 2017</w:t>
            </w:r>
          </w:p>
        </w:tc>
        <w:tc>
          <w:tcPr>
            <w:tcW w:w="1945"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snapToGrid w:val="0"/>
                <w:color w:val="000000"/>
                <w:spacing w:val="6"/>
                <w:sz w:val="18"/>
                <w:szCs w:val="24"/>
                <w:lang w:val="es-ES"/>
              </w:rPr>
            </w:pPr>
            <w:r w:rsidRPr="00C47EE9">
              <w:rPr>
                <w:rFonts w:ascii="Arial" w:hAnsi="Arial"/>
                <w:snapToGrid w:val="0"/>
                <w:color w:val="000000"/>
                <w:spacing w:val="6"/>
                <w:sz w:val="18"/>
                <w:szCs w:val="24"/>
                <w:lang w:val="es-ES"/>
              </w:rPr>
              <w:t>Ejercicio 2016</w:t>
            </w:r>
          </w:p>
        </w:tc>
      </w:tr>
      <w:tr w:rsidR="00C47EE9" w:rsidRPr="00C47EE9" w:rsidTr="00C47EE9">
        <w:trPr>
          <w:trHeight w:val="255"/>
          <w:jc w:val="center"/>
        </w:trPr>
        <w:tc>
          <w:tcPr>
            <w:tcW w:w="5080" w:type="dxa"/>
            <w:tcBorders>
              <w:top w:val="single" w:sz="4" w:space="0" w:color="auto"/>
              <w:bottom w:val="single" w:sz="2" w:space="0" w:color="auto"/>
            </w:tcBorders>
            <w:vAlign w:val="center"/>
          </w:tcPr>
          <w:p w:rsidR="00C47EE9" w:rsidRPr="00C47EE9" w:rsidRDefault="00C47EE9" w:rsidP="00C47EE9">
            <w:pPr>
              <w:spacing w:before="60" w:after="60"/>
              <w:ind w:firstLine="0"/>
              <w:rPr>
                <w:rFonts w:ascii="Arial" w:hAnsi="Arial" w:cs="Arial"/>
                <w:snapToGrid w:val="0"/>
                <w:sz w:val="18"/>
                <w:szCs w:val="18"/>
                <w:lang w:eastAsia="es-ES"/>
              </w:rPr>
            </w:pPr>
            <w:r w:rsidRPr="00C47EE9">
              <w:rPr>
                <w:rFonts w:ascii="Arial" w:hAnsi="Arial" w:cs="Arial"/>
                <w:snapToGrid w:val="0"/>
                <w:sz w:val="18"/>
                <w:szCs w:val="18"/>
                <w:lang w:eastAsia="es-ES"/>
              </w:rPr>
              <w:t>A) Gastos</w:t>
            </w:r>
          </w:p>
        </w:tc>
        <w:tc>
          <w:tcPr>
            <w:tcW w:w="1867" w:type="dxa"/>
            <w:tcBorders>
              <w:top w:val="single" w:sz="4" w:space="0" w:color="auto"/>
              <w:bottom w:val="single" w:sz="2" w:space="0" w:color="auto"/>
            </w:tcBorders>
            <w:vAlign w:val="center"/>
          </w:tcPr>
          <w:p w:rsidR="00C47EE9" w:rsidRPr="00C47EE9" w:rsidRDefault="00C47EE9" w:rsidP="00C47EE9">
            <w:pPr>
              <w:spacing w:before="60" w:after="60" w:line="200" w:lineRule="atLeast"/>
              <w:ind w:firstLine="0"/>
              <w:jc w:val="right"/>
              <w:rPr>
                <w:rFonts w:ascii="Arial" w:hAnsi="Arial" w:cs="Arial"/>
                <w:snapToGrid w:val="0"/>
                <w:color w:val="000000"/>
                <w:sz w:val="18"/>
                <w:szCs w:val="18"/>
                <w:lang w:val="es-ES"/>
              </w:rPr>
            </w:pPr>
          </w:p>
        </w:tc>
        <w:tc>
          <w:tcPr>
            <w:tcW w:w="1945" w:type="dxa"/>
            <w:tcBorders>
              <w:top w:val="single" w:sz="4" w:space="0" w:color="auto"/>
              <w:bottom w:val="single" w:sz="2" w:space="0" w:color="auto"/>
            </w:tcBorders>
            <w:vAlign w:val="center"/>
          </w:tcPr>
          <w:p w:rsidR="00C47EE9" w:rsidRPr="00C47EE9" w:rsidRDefault="00C47EE9" w:rsidP="00C47EE9">
            <w:pPr>
              <w:spacing w:before="60" w:after="60" w:line="200" w:lineRule="atLeast"/>
              <w:ind w:firstLine="0"/>
              <w:jc w:val="right"/>
              <w:rPr>
                <w:rFonts w:ascii="Arial" w:hAnsi="Arial" w:cs="Arial"/>
                <w:snapToGrid w:val="0"/>
                <w:color w:val="000000"/>
                <w:sz w:val="18"/>
                <w:szCs w:val="18"/>
                <w:lang w:val="es-ES"/>
              </w:rPr>
            </w:pPr>
          </w:p>
        </w:tc>
      </w:tr>
      <w:tr w:rsidR="00C47EE9" w:rsidRPr="00C47EE9" w:rsidTr="00C47EE9">
        <w:trPr>
          <w:trHeight w:val="255"/>
          <w:jc w:val="center"/>
        </w:trPr>
        <w:tc>
          <w:tcPr>
            <w:tcW w:w="5080" w:type="dxa"/>
            <w:tcBorders>
              <w:top w:val="single" w:sz="2" w:space="0" w:color="auto"/>
              <w:bottom w:val="single" w:sz="2" w:space="0" w:color="auto"/>
            </w:tcBorders>
            <w:vAlign w:val="center"/>
          </w:tcPr>
          <w:p w:rsidR="00C47EE9" w:rsidRPr="00C47EE9" w:rsidRDefault="00C47EE9" w:rsidP="00C47EE9">
            <w:pPr>
              <w:spacing w:before="60" w:after="60"/>
              <w:ind w:firstLine="0"/>
              <w:rPr>
                <w:rFonts w:ascii="Arial Narrow" w:hAnsi="Arial Narrow" w:cs="Arial"/>
                <w:b/>
                <w:snapToGrid w:val="0"/>
                <w:lang w:eastAsia="es-ES"/>
              </w:rPr>
            </w:pPr>
            <w:r w:rsidRPr="00C47EE9">
              <w:rPr>
                <w:rFonts w:ascii="Arial Narrow" w:hAnsi="Arial Narrow" w:cs="Arial"/>
                <w:b/>
                <w:snapToGrid w:val="0"/>
                <w:lang w:eastAsia="es-ES"/>
              </w:rPr>
              <w:t xml:space="preserve">2. Aprovisionamientos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261.778.494</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255.636.495</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 xml:space="preserve">b) Consumos del ejercicio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261.778.494</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255.636.495</w:t>
            </w:r>
          </w:p>
        </w:tc>
      </w:tr>
      <w:tr w:rsidR="00C47EE9" w:rsidRPr="00C47EE9" w:rsidTr="00C47EE9">
        <w:trPr>
          <w:trHeight w:val="255"/>
          <w:jc w:val="center"/>
        </w:trPr>
        <w:tc>
          <w:tcPr>
            <w:tcW w:w="5080" w:type="dxa"/>
            <w:tcBorders>
              <w:top w:val="single" w:sz="2" w:space="0" w:color="auto"/>
              <w:bottom w:val="single" w:sz="2" w:space="0" w:color="auto"/>
            </w:tcBorders>
            <w:vAlign w:val="center"/>
          </w:tcPr>
          <w:p w:rsidR="00C47EE9" w:rsidRPr="00C47EE9" w:rsidRDefault="00C47EE9" w:rsidP="00C47EE9">
            <w:pPr>
              <w:spacing w:before="60" w:after="60"/>
              <w:ind w:firstLine="0"/>
              <w:rPr>
                <w:rFonts w:ascii="Arial Narrow" w:hAnsi="Arial Narrow" w:cs="Arial"/>
                <w:b/>
                <w:snapToGrid w:val="0"/>
              </w:rPr>
            </w:pPr>
            <w:r w:rsidRPr="00C47EE9">
              <w:rPr>
                <w:rFonts w:ascii="Arial Narrow" w:hAnsi="Arial Narrow" w:cs="Arial"/>
                <w:b/>
                <w:snapToGrid w:val="0"/>
              </w:rPr>
              <w:t>3. Otros gastos de gestión ordinaria</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rPr>
            </w:pPr>
            <w:r w:rsidRPr="00C47EE9">
              <w:rPr>
                <w:rFonts w:ascii="Arial Narrow" w:hAnsi="Arial Narrow" w:cs="Arial"/>
                <w:b/>
                <w:snapToGrid w:val="0"/>
              </w:rPr>
              <w:t>1.754.736.004</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rPr>
            </w:pPr>
            <w:r w:rsidRPr="00C47EE9">
              <w:rPr>
                <w:rFonts w:ascii="Arial Narrow" w:hAnsi="Arial Narrow" w:cs="Arial"/>
                <w:b/>
                <w:snapToGrid w:val="0"/>
              </w:rPr>
              <w:t>1.580.969.573</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rPr>
            </w:pPr>
            <w:r w:rsidRPr="00C47EE9">
              <w:rPr>
                <w:rFonts w:ascii="Arial Narrow" w:hAnsi="Arial Narrow" w:cs="Arial"/>
                <w:b/>
                <w:snapToGrid w:val="0"/>
              </w:rPr>
              <w:t>a) Gastos de personal.</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1.148.365.174</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1.086.750.594</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sidRPr="00C47EE9">
              <w:rPr>
                <w:rFonts w:ascii="Arial Narrow" w:hAnsi="Arial Narrow" w:cs="Arial"/>
                <w:snapToGrid w:val="0"/>
              </w:rPr>
              <w:t xml:space="preserve">a.1) Sueldos y salarios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967.274.106</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918.698.062</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sidRPr="00C47EE9">
              <w:rPr>
                <w:rFonts w:ascii="Arial Narrow" w:hAnsi="Arial Narrow" w:cs="Arial"/>
                <w:snapToGrid w:val="0"/>
              </w:rPr>
              <w:t xml:space="preserve">a.2) Cargas sociales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181.091.068</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168.052.532</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rPr>
            </w:pPr>
            <w:r w:rsidRPr="00C47EE9">
              <w:rPr>
                <w:rFonts w:ascii="Arial Narrow" w:hAnsi="Arial Narrow" w:cs="Arial"/>
                <w:b/>
                <w:snapToGrid w:val="0"/>
              </w:rPr>
              <w:t>b) Prestaciones sociales</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89.920.091</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86.009.632</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rPr>
            </w:pPr>
            <w:r w:rsidRPr="00C47EE9">
              <w:rPr>
                <w:rFonts w:ascii="Arial Narrow" w:hAnsi="Arial Narrow" w:cs="Arial"/>
                <w:b/>
                <w:snapToGrid w:val="0"/>
              </w:rPr>
              <w:t>d) Variación de provisiones de tráfico</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26.863.753</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-13.652.380</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right="-526" w:firstLine="0"/>
              <w:rPr>
                <w:rFonts w:ascii="Arial Narrow" w:hAnsi="Arial Narrow" w:cs="Arial"/>
                <w:snapToGrid w:val="0"/>
              </w:rPr>
            </w:pPr>
            <w:r w:rsidRPr="00C47EE9">
              <w:rPr>
                <w:rFonts w:ascii="Arial Narrow" w:hAnsi="Arial Narrow" w:cs="Arial"/>
                <w:snapToGrid w:val="0"/>
              </w:rPr>
              <w:t xml:space="preserve">d.1) Variación de provisiones y pérdidas de créditos incobrables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26.863.753</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-13.652.380</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rPr>
            </w:pPr>
            <w:r w:rsidRPr="00C47EE9">
              <w:rPr>
                <w:rFonts w:ascii="Arial Narrow" w:hAnsi="Arial Narrow" w:cs="Arial"/>
                <w:b/>
                <w:snapToGrid w:val="0"/>
              </w:rPr>
              <w:t>e) Otros gastos de gestión</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325.307.855</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321.958.157</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sidRPr="00C47EE9">
              <w:rPr>
                <w:rFonts w:ascii="Arial Narrow" w:hAnsi="Arial Narrow" w:cs="Arial"/>
                <w:snapToGrid w:val="0"/>
              </w:rPr>
              <w:t>e.1) Servicios exteriores</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321.828.275</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320.084.098</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sidRPr="00C47EE9">
              <w:rPr>
                <w:rFonts w:ascii="Arial Narrow" w:hAnsi="Arial Narrow" w:cs="Arial"/>
                <w:snapToGrid w:val="0"/>
              </w:rPr>
              <w:t xml:space="preserve">e.2) Tributos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53.290</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58.705</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sidRPr="00C47EE9">
              <w:rPr>
                <w:rFonts w:ascii="Arial Narrow" w:hAnsi="Arial Narrow" w:cs="Arial"/>
                <w:snapToGrid w:val="0"/>
              </w:rPr>
              <w:t>e.3) Gastos diversos</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3.426.290</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1.815.354</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rPr>
            </w:pPr>
            <w:r w:rsidRPr="00C47EE9">
              <w:rPr>
                <w:rFonts w:ascii="Arial Narrow" w:hAnsi="Arial Narrow" w:cs="Arial"/>
                <w:b/>
                <w:snapToGrid w:val="0"/>
              </w:rPr>
              <w:t>f) Gastos financieros y asimilables</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87.416.289</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99.016.637</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sidRPr="00C47EE9">
              <w:rPr>
                <w:rFonts w:ascii="Arial Narrow" w:hAnsi="Arial Narrow" w:cs="Arial"/>
                <w:snapToGrid w:val="0"/>
              </w:rPr>
              <w:t xml:space="preserve">f.1) Por deudas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87.416.289</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99.016.637</w:t>
            </w:r>
          </w:p>
        </w:tc>
      </w:tr>
      <w:tr w:rsidR="00C47EE9" w:rsidRPr="00C47EE9" w:rsidTr="00C47EE9">
        <w:trPr>
          <w:trHeight w:val="198"/>
          <w:jc w:val="center"/>
        </w:trPr>
        <w:tc>
          <w:tcPr>
            <w:tcW w:w="5080" w:type="dxa"/>
            <w:tcBorders>
              <w:top w:val="nil"/>
              <w:bottom w:val="single" w:sz="2" w:space="0" w:color="auto"/>
            </w:tcBorders>
            <w:vAlign w:val="center"/>
          </w:tcPr>
          <w:p w:rsidR="00C47EE9" w:rsidRPr="00C47EE9" w:rsidRDefault="00C47EE9" w:rsidP="00C47EE9">
            <w:pPr>
              <w:spacing w:after="0"/>
              <w:ind w:firstLine="0"/>
              <w:rPr>
                <w:rFonts w:ascii="Arial Narrow" w:hAnsi="Arial Narrow" w:cs="Arial"/>
                <w:b/>
                <w:snapToGrid w:val="0"/>
              </w:rPr>
            </w:pPr>
            <w:r w:rsidRPr="00C47EE9">
              <w:rPr>
                <w:rFonts w:ascii="Arial Narrow" w:hAnsi="Arial Narrow" w:cs="Arial"/>
                <w:b/>
                <w:snapToGrid w:val="0"/>
              </w:rPr>
              <w:t xml:space="preserve">g) Variación de las provisiones de inversiones financieras </w:t>
            </w:r>
          </w:p>
        </w:tc>
        <w:tc>
          <w:tcPr>
            <w:tcW w:w="1867" w:type="dxa"/>
            <w:tcBorders>
              <w:top w:val="nil"/>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76.862.843</w:t>
            </w:r>
          </w:p>
        </w:tc>
        <w:tc>
          <w:tcPr>
            <w:tcW w:w="1945" w:type="dxa"/>
            <w:tcBorders>
              <w:top w:val="nil"/>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886.933</w:t>
            </w:r>
          </w:p>
        </w:tc>
      </w:tr>
      <w:tr w:rsidR="00C47EE9" w:rsidRPr="00C47EE9" w:rsidTr="00C47EE9">
        <w:trPr>
          <w:trHeight w:val="255"/>
          <w:jc w:val="center"/>
        </w:trPr>
        <w:tc>
          <w:tcPr>
            <w:tcW w:w="5080" w:type="dxa"/>
            <w:tcBorders>
              <w:top w:val="single" w:sz="2" w:space="0" w:color="auto"/>
              <w:bottom w:val="single" w:sz="2" w:space="0" w:color="auto"/>
            </w:tcBorders>
            <w:vAlign w:val="center"/>
          </w:tcPr>
          <w:p w:rsidR="00C47EE9" w:rsidRPr="00C47EE9" w:rsidRDefault="00C47EE9" w:rsidP="00C47EE9">
            <w:pPr>
              <w:spacing w:before="60" w:after="60"/>
              <w:ind w:firstLine="0"/>
              <w:rPr>
                <w:rFonts w:ascii="Arial Narrow" w:hAnsi="Arial Narrow" w:cs="Arial"/>
                <w:b/>
                <w:snapToGrid w:val="0"/>
              </w:rPr>
            </w:pPr>
            <w:r w:rsidRPr="00C47EE9">
              <w:rPr>
                <w:rFonts w:ascii="Arial Narrow" w:hAnsi="Arial Narrow" w:cs="Arial"/>
                <w:b/>
                <w:snapToGrid w:val="0"/>
              </w:rPr>
              <w:t xml:space="preserve">4. Transferencias y subvenciones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1.609.563.473</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1.521.120.789</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sidRPr="00C47EE9">
              <w:rPr>
                <w:rFonts w:ascii="Arial Narrow" w:hAnsi="Arial Narrow" w:cs="Arial"/>
                <w:snapToGrid w:val="0"/>
              </w:rPr>
              <w:t xml:space="preserve">a) Transferencias corrientes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1.493.151.981</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1.429.016.701</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sidRPr="00C47EE9">
              <w:rPr>
                <w:rFonts w:ascii="Arial Narrow" w:hAnsi="Arial Narrow" w:cs="Arial"/>
                <w:snapToGrid w:val="0"/>
              </w:rPr>
              <w:t xml:space="preserve">c) Transferencias de capital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116.411.492</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92.104.088</w:t>
            </w:r>
          </w:p>
        </w:tc>
      </w:tr>
      <w:tr w:rsidR="00C47EE9" w:rsidRPr="00C47EE9" w:rsidTr="00C47EE9">
        <w:trPr>
          <w:trHeight w:val="255"/>
          <w:jc w:val="center"/>
        </w:trPr>
        <w:tc>
          <w:tcPr>
            <w:tcW w:w="5080" w:type="dxa"/>
            <w:tcBorders>
              <w:top w:val="single" w:sz="2" w:space="0" w:color="auto"/>
              <w:bottom w:val="single" w:sz="2" w:space="0" w:color="auto"/>
            </w:tcBorders>
            <w:vAlign w:val="center"/>
          </w:tcPr>
          <w:p w:rsidR="00C47EE9" w:rsidRPr="00C47EE9" w:rsidRDefault="00C47EE9" w:rsidP="00C47EE9">
            <w:pPr>
              <w:spacing w:before="60" w:after="60"/>
              <w:ind w:firstLine="0"/>
              <w:rPr>
                <w:rFonts w:ascii="Arial Narrow" w:hAnsi="Arial Narrow" w:cs="Arial"/>
                <w:b/>
                <w:snapToGrid w:val="0"/>
              </w:rPr>
            </w:pPr>
            <w:r w:rsidRPr="00C47EE9">
              <w:rPr>
                <w:rFonts w:ascii="Arial Narrow" w:hAnsi="Arial Narrow" w:cs="Arial"/>
                <w:b/>
                <w:snapToGrid w:val="0"/>
              </w:rPr>
              <w:t xml:space="preserve">5. Pérdidas y gastos extraordinarios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rPr>
            </w:pPr>
            <w:r w:rsidRPr="00C47EE9">
              <w:rPr>
                <w:rFonts w:ascii="Arial Narrow" w:hAnsi="Arial Narrow" w:cs="Arial"/>
                <w:b/>
                <w:snapToGrid w:val="0"/>
              </w:rPr>
              <w:t>85.169.950</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rPr>
            </w:pPr>
            <w:r w:rsidRPr="00C47EE9">
              <w:rPr>
                <w:rFonts w:ascii="Arial Narrow" w:hAnsi="Arial Narrow" w:cs="Arial"/>
                <w:b/>
                <w:snapToGrid w:val="0"/>
              </w:rPr>
              <w:t>111.359.158</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sidRPr="00C47EE9">
              <w:rPr>
                <w:rFonts w:ascii="Arial Narrow" w:hAnsi="Arial Narrow" w:cs="Arial"/>
                <w:snapToGrid w:val="0"/>
              </w:rPr>
              <w:t>a) Pérdidas procedentes del inmovilizado</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rPr>
            </w:pPr>
            <w:r w:rsidRPr="00C47EE9">
              <w:rPr>
                <w:rFonts w:ascii="Arial Narrow" w:hAnsi="Arial Narrow" w:cs="Arial"/>
                <w:snapToGrid w:val="0"/>
              </w:rPr>
              <w:t>0</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rPr>
            </w:pPr>
            <w:r w:rsidRPr="00C47EE9">
              <w:rPr>
                <w:rFonts w:ascii="Arial Narrow" w:hAnsi="Arial Narrow" w:cs="Arial"/>
                <w:snapToGrid w:val="0"/>
              </w:rPr>
              <w:t>144.216</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sidRPr="00C47EE9">
              <w:rPr>
                <w:rFonts w:ascii="Arial Narrow" w:hAnsi="Arial Narrow" w:cs="Arial"/>
                <w:snapToGrid w:val="0"/>
              </w:rPr>
              <w:t xml:space="preserve">c) Gastos extraordinarios </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rPr>
            </w:pPr>
            <w:r w:rsidRPr="00C47EE9">
              <w:rPr>
                <w:rFonts w:ascii="Arial Narrow" w:hAnsi="Arial Narrow" w:cs="Arial"/>
                <w:snapToGrid w:val="0"/>
              </w:rPr>
              <w:t>64.917.079</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rPr>
            </w:pPr>
            <w:r w:rsidRPr="00C47EE9">
              <w:rPr>
                <w:rFonts w:ascii="Arial Narrow" w:hAnsi="Arial Narrow" w:cs="Arial"/>
                <w:snapToGrid w:val="0"/>
              </w:rPr>
              <w:t>51.871.860</w:t>
            </w:r>
          </w:p>
        </w:tc>
      </w:tr>
      <w:tr w:rsidR="00C47EE9" w:rsidRPr="00C47EE9" w:rsidTr="00C47EE9">
        <w:trPr>
          <w:trHeight w:val="198"/>
          <w:jc w:val="center"/>
        </w:trPr>
        <w:tc>
          <w:tcPr>
            <w:tcW w:w="5080"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rPr>
            </w:pPr>
            <w:r w:rsidRPr="00C47EE9">
              <w:rPr>
                <w:rFonts w:ascii="Arial Narrow" w:hAnsi="Arial Narrow" w:cs="Arial"/>
                <w:snapToGrid w:val="0"/>
              </w:rPr>
              <w:t>d) Gastos y pérdidas de otros ejercicios</w:t>
            </w:r>
          </w:p>
        </w:tc>
        <w:tc>
          <w:tcPr>
            <w:tcW w:w="186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rPr>
            </w:pPr>
            <w:r w:rsidRPr="00C47EE9">
              <w:rPr>
                <w:rFonts w:ascii="Arial Narrow" w:hAnsi="Arial Narrow" w:cs="Arial"/>
                <w:snapToGrid w:val="0"/>
              </w:rPr>
              <w:t>20.252.871</w:t>
            </w:r>
          </w:p>
        </w:tc>
        <w:tc>
          <w:tcPr>
            <w:tcW w:w="1945"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rPr>
            </w:pPr>
            <w:r w:rsidRPr="00C47EE9">
              <w:rPr>
                <w:rFonts w:ascii="Arial Narrow" w:hAnsi="Arial Narrow" w:cs="Arial"/>
                <w:snapToGrid w:val="0"/>
              </w:rPr>
              <w:t>59.343.082</w:t>
            </w:r>
          </w:p>
        </w:tc>
      </w:tr>
      <w:tr w:rsidR="00C47EE9" w:rsidRPr="00C47EE9" w:rsidTr="00C47EE9">
        <w:trPr>
          <w:trHeight w:val="198"/>
          <w:jc w:val="center"/>
        </w:trPr>
        <w:tc>
          <w:tcPr>
            <w:tcW w:w="5080" w:type="dxa"/>
            <w:tcBorders>
              <w:top w:val="single" w:sz="2" w:space="0" w:color="auto"/>
              <w:bottom w:val="single" w:sz="4" w:space="0" w:color="auto"/>
            </w:tcBorders>
            <w:vAlign w:val="center"/>
          </w:tcPr>
          <w:p w:rsidR="00C47EE9" w:rsidRPr="00C47EE9" w:rsidRDefault="00C47EE9" w:rsidP="00C47EE9">
            <w:pPr>
              <w:spacing w:before="60" w:after="60"/>
              <w:ind w:firstLine="0"/>
              <w:rPr>
                <w:rFonts w:ascii="Arial" w:hAnsi="Arial" w:cs="Arial"/>
                <w:b/>
                <w:snapToGrid w:val="0"/>
                <w:sz w:val="18"/>
                <w:szCs w:val="18"/>
                <w:lang w:eastAsia="es-ES"/>
              </w:rPr>
            </w:pPr>
            <w:r w:rsidRPr="00C47EE9">
              <w:rPr>
                <w:rFonts w:ascii="Arial" w:hAnsi="Arial" w:cs="Arial"/>
                <w:b/>
                <w:snapToGrid w:val="0"/>
                <w:sz w:val="18"/>
                <w:szCs w:val="18"/>
                <w:lang w:eastAsia="es-ES"/>
              </w:rPr>
              <w:t>Saldo Acreedor (Ahorro)</w:t>
            </w:r>
          </w:p>
        </w:tc>
        <w:tc>
          <w:tcPr>
            <w:tcW w:w="1867" w:type="dxa"/>
            <w:tcBorders>
              <w:top w:val="single" w:sz="2" w:space="0" w:color="auto"/>
              <w:bottom w:val="single" w:sz="4" w:space="0" w:color="auto"/>
            </w:tcBorders>
            <w:vAlign w:val="center"/>
          </w:tcPr>
          <w:p w:rsidR="00C47EE9" w:rsidRPr="00C47EE9" w:rsidRDefault="00C47EE9" w:rsidP="00C47EE9">
            <w:pPr>
              <w:spacing w:before="60" w:after="60"/>
              <w:ind w:firstLine="0"/>
              <w:jc w:val="right"/>
              <w:rPr>
                <w:rFonts w:ascii="Arial" w:hAnsi="Arial" w:cs="Arial"/>
                <w:b/>
                <w:snapToGrid w:val="0"/>
                <w:sz w:val="18"/>
                <w:szCs w:val="18"/>
                <w:lang w:eastAsia="es-ES"/>
              </w:rPr>
            </w:pPr>
            <w:r w:rsidRPr="00C47EE9">
              <w:rPr>
                <w:rFonts w:ascii="Arial" w:hAnsi="Arial" w:cs="Arial"/>
                <w:b/>
                <w:snapToGrid w:val="0"/>
                <w:sz w:val="18"/>
                <w:szCs w:val="18"/>
                <w:lang w:eastAsia="es-ES"/>
              </w:rPr>
              <w:t>281.870.383</w:t>
            </w:r>
          </w:p>
        </w:tc>
        <w:tc>
          <w:tcPr>
            <w:tcW w:w="1945" w:type="dxa"/>
            <w:tcBorders>
              <w:top w:val="single" w:sz="2" w:space="0" w:color="auto"/>
              <w:bottom w:val="single" w:sz="4" w:space="0" w:color="auto"/>
            </w:tcBorders>
            <w:vAlign w:val="center"/>
          </w:tcPr>
          <w:p w:rsidR="00C47EE9" w:rsidRPr="00C47EE9" w:rsidRDefault="00C47EE9" w:rsidP="00C47EE9">
            <w:pPr>
              <w:spacing w:before="60" w:after="60"/>
              <w:ind w:firstLine="0"/>
              <w:rPr>
                <w:rFonts w:ascii="Arial" w:hAnsi="Arial" w:cs="Arial"/>
                <w:b/>
                <w:snapToGrid w:val="0"/>
                <w:sz w:val="18"/>
                <w:szCs w:val="18"/>
                <w:lang w:eastAsia="es-ES"/>
              </w:rPr>
            </w:pPr>
          </w:p>
        </w:tc>
      </w:tr>
      <w:tr w:rsidR="00C47EE9" w:rsidRPr="00C47EE9" w:rsidTr="00C47EE9">
        <w:trPr>
          <w:trHeight w:val="255"/>
          <w:jc w:val="center"/>
        </w:trPr>
        <w:tc>
          <w:tcPr>
            <w:tcW w:w="5080"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cs="Arial"/>
                <w:snapToGrid w:val="0"/>
                <w:spacing w:val="6"/>
                <w:sz w:val="18"/>
                <w:szCs w:val="18"/>
              </w:rPr>
            </w:pPr>
            <w:r w:rsidRPr="00C47EE9">
              <w:rPr>
                <w:rFonts w:ascii="Arial" w:hAnsi="Arial" w:cs="Arial"/>
                <w:snapToGrid w:val="0"/>
                <w:spacing w:val="6"/>
                <w:sz w:val="18"/>
                <w:szCs w:val="18"/>
              </w:rPr>
              <w:t>Total Debe</w:t>
            </w:r>
          </w:p>
        </w:tc>
        <w:tc>
          <w:tcPr>
            <w:tcW w:w="1867"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lang w:val="es-ES"/>
              </w:rPr>
            </w:pPr>
            <w:r w:rsidRPr="00C47EE9">
              <w:rPr>
                <w:rFonts w:ascii="Arial" w:hAnsi="Arial" w:cs="Arial"/>
                <w:snapToGrid w:val="0"/>
                <w:spacing w:val="6"/>
                <w:sz w:val="18"/>
                <w:szCs w:val="18"/>
                <w:lang w:val="es-ES"/>
              </w:rPr>
              <w:t>3.993.118.304</w:t>
            </w:r>
          </w:p>
        </w:tc>
        <w:tc>
          <w:tcPr>
            <w:tcW w:w="1945" w:type="dxa"/>
            <w:tcBorders>
              <w:top w:val="single" w:sz="4"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cs="Arial"/>
                <w:snapToGrid w:val="0"/>
                <w:spacing w:val="6"/>
                <w:sz w:val="18"/>
                <w:szCs w:val="18"/>
                <w:lang w:val="es-ES"/>
              </w:rPr>
            </w:pPr>
            <w:r w:rsidRPr="00C47EE9">
              <w:rPr>
                <w:rFonts w:ascii="Arial" w:hAnsi="Arial" w:cs="Arial"/>
                <w:snapToGrid w:val="0"/>
                <w:spacing w:val="6"/>
                <w:sz w:val="18"/>
                <w:szCs w:val="18"/>
                <w:lang w:val="es-ES"/>
              </w:rPr>
              <w:t>3.469.086.015</w:t>
            </w:r>
          </w:p>
        </w:tc>
      </w:tr>
    </w:tbl>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p>
    <w:p w:rsidR="00C47EE9" w:rsidRPr="00C47EE9" w:rsidRDefault="00C47EE9" w:rsidP="00C47EE9">
      <w:pPr>
        <w:tabs>
          <w:tab w:val="center" w:pos="2835"/>
          <w:tab w:val="center" w:pos="3969"/>
          <w:tab w:val="center" w:pos="5103"/>
          <w:tab w:val="center" w:pos="6237"/>
          <w:tab w:val="center" w:pos="7371"/>
        </w:tabs>
        <w:spacing w:before="120" w:after="0"/>
        <w:ind w:firstLine="284"/>
        <w:rPr>
          <w:rFonts w:ascii="Arial Narrow" w:hAnsi="Arial Narrow"/>
          <w:spacing w:val="6"/>
          <w:sz w:val="18"/>
          <w:szCs w:val="18"/>
        </w:rPr>
      </w:pPr>
      <w:r w:rsidRPr="00C47EE9">
        <w:rPr>
          <w:rFonts w:ascii="Arial Narrow" w:hAnsi="Arial Narrow"/>
          <w:spacing w:val="6"/>
          <w:sz w:val="18"/>
          <w:szCs w:val="18"/>
        </w:rPr>
        <w:br w:type="page"/>
      </w:r>
    </w:p>
    <w:tbl>
      <w:tblPr>
        <w:tblW w:w="8852"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818"/>
        <w:gridCol w:w="1957"/>
        <w:gridCol w:w="2077"/>
      </w:tblGrid>
      <w:tr w:rsidR="00C47EE9" w:rsidRPr="00C47EE9" w:rsidTr="00C47EE9">
        <w:trPr>
          <w:trHeight w:val="255"/>
          <w:jc w:val="center"/>
        </w:trPr>
        <w:tc>
          <w:tcPr>
            <w:tcW w:w="8852" w:type="dxa"/>
            <w:gridSpan w:val="3"/>
            <w:tcBorders>
              <w:top w:val="nil"/>
              <w:bottom w:val="single" w:sz="2" w:space="0" w:color="auto"/>
            </w:tcBorders>
            <w:shd w:val="clear" w:color="auto" w:fill="auto"/>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snapToGrid w:val="0"/>
                <w:spacing w:val="6"/>
                <w:sz w:val="17"/>
                <w:szCs w:val="17"/>
              </w:rPr>
            </w:pPr>
            <w:r w:rsidRPr="00C47EE9">
              <w:rPr>
                <w:rFonts w:ascii="Arial" w:hAnsi="Arial"/>
                <w:snapToGrid w:val="0"/>
                <w:spacing w:val="6"/>
                <w:sz w:val="17"/>
                <w:szCs w:val="17"/>
              </w:rPr>
              <w:lastRenderedPageBreak/>
              <w:t>(en euros)</w:t>
            </w:r>
          </w:p>
        </w:tc>
      </w:tr>
      <w:tr w:rsidR="00C47EE9" w:rsidRPr="00C47EE9" w:rsidTr="00C47EE9">
        <w:trPr>
          <w:trHeight w:val="255"/>
          <w:jc w:val="center"/>
        </w:trPr>
        <w:tc>
          <w:tcPr>
            <w:tcW w:w="4818" w:type="dxa"/>
            <w:tcBorders>
              <w:top w:val="single" w:sz="4" w:space="0" w:color="auto"/>
              <w:bottom w:val="single" w:sz="2"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sidRPr="00C47EE9">
              <w:rPr>
                <w:rFonts w:ascii="Arial" w:hAnsi="Arial"/>
                <w:spacing w:val="6"/>
                <w:sz w:val="18"/>
                <w:szCs w:val="24"/>
              </w:rPr>
              <w:br w:type="page"/>
            </w:r>
            <w:r w:rsidRPr="00C47EE9">
              <w:rPr>
                <w:rFonts w:ascii="Arial" w:hAnsi="Arial"/>
                <w:snapToGrid w:val="0"/>
                <w:spacing w:val="6"/>
                <w:sz w:val="18"/>
                <w:szCs w:val="24"/>
              </w:rPr>
              <w:t>Haber</w:t>
            </w:r>
          </w:p>
        </w:tc>
        <w:tc>
          <w:tcPr>
            <w:tcW w:w="1957" w:type="dxa"/>
            <w:tcBorders>
              <w:top w:val="single" w:sz="4" w:space="0" w:color="auto"/>
              <w:bottom w:val="single" w:sz="2"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snapToGrid w:val="0"/>
                <w:spacing w:val="6"/>
                <w:sz w:val="18"/>
                <w:szCs w:val="24"/>
              </w:rPr>
            </w:pPr>
            <w:r w:rsidRPr="00C47EE9">
              <w:rPr>
                <w:rFonts w:ascii="Arial" w:hAnsi="Arial"/>
                <w:snapToGrid w:val="0"/>
                <w:spacing w:val="6"/>
                <w:sz w:val="18"/>
                <w:szCs w:val="24"/>
              </w:rPr>
              <w:t>Ejercicio 2017</w:t>
            </w:r>
          </w:p>
        </w:tc>
        <w:tc>
          <w:tcPr>
            <w:tcW w:w="2077" w:type="dxa"/>
            <w:tcBorders>
              <w:top w:val="single" w:sz="4" w:space="0" w:color="auto"/>
              <w:bottom w:val="single" w:sz="2"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jc w:val="right"/>
              <w:rPr>
                <w:rFonts w:ascii="Arial" w:hAnsi="Arial"/>
                <w:snapToGrid w:val="0"/>
                <w:spacing w:val="6"/>
                <w:sz w:val="18"/>
                <w:szCs w:val="24"/>
              </w:rPr>
            </w:pPr>
            <w:r w:rsidRPr="00C47EE9">
              <w:rPr>
                <w:rFonts w:ascii="Arial" w:hAnsi="Arial"/>
                <w:snapToGrid w:val="0"/>
                <w:spacing w:val="6"/>
                <w:sz w:val="18"/>
                <w:szCs w:val="24"/>
              </w:rPr>
              <w:t>Ejercicio 2016</w:t>
            </w:r>
          </w:p>
        </w:tc>
      </w:tr>
      <w:tr w:rsidR="00C47EE9" w:rsidRPr="00C47EE9" w:rsidTr="00C47EE9">
        <w:trPr>
          <w:trHeight w:val="255"/>
          <w:jc w:val="center"/>
        </w:trPr>
        <w:tc>
          <w:tcPr>
            <w:tcW w:w="4818" w:type="dxa"/>
            <w:tcBorders>
              <w:top w:val="single" w:sz="2" w:space="0" w:color="auto"/>
              <w:bottom w:val="single" w:sz="2" w:space="0" w:color="auto"/>
            </w:tcBorders>
            <w:vAlign w:val="center"/>
          </w:tcPr>
          <w:p w:rsidR="00C47EE9" w:rsidRPr="00C47EE9" w:rsidRDefault="00C47EE9" w:rsidP="00C47EE9">
            <w:pPr>
              <w:spacing w:before="60" w:after="60"/>
              <w:ind w:firstLine="0"/>
              <w:rPr>
                <w:rFonts w:ascii="Arial Narrow" w:hAnsi="Arial Narrow" w:cs="Arial"/>
                <w:snapToGrid w:val="0"/>
                <w:lang w:eastAsia="es-ES"/>
              </w:rPr>
            </w:pPr>
            <w:r w:rsidRPr="00C47EE9">
              <w:rPr>
                <w:rFonts w:ascii="Arial Narrow" w:hAnsi="Arial Narrow" w:cs="Arial"/>
                <w:snapToGrid w:val="0"/>
                <w:lang w:eastAsia="es-ES"/>
              </w:rPr>
              <w:t>B) Ingresos</w:t>
            </w:r>
          </w:p>
        </w:tc>
        <w:tc>
          <w:tcPr>
            <w:tcW w:w="1957" w:type="dxa"/>
            <w:tcBorders>
              <w:top w:val="single" w:sz="2" w:space="0" w:color="auto"/>
              <w:bottom w:val="single" w:sz="2" w:space="0" w:color="auto"/>
            </w:tcBorders>
          </w:tcPr>
          <w:p w:rsidR="00C47EE9" w:rsidRPr="00C47EE9" w:rsidRDefault="00C47EE9" w:rsidP="00C47EE9">
            <w:pPr>
              <w:spacing w:before="60" w:after="60"/>
              <w:ind w:firstLine="0"/>
              <w:jc w:val="right"/>
              <w:rPr>
                <w:rFonts w:ascii="Arial Narrow" w:hAnsi="Arial Narrow" w:cs="Arial"/>
                <w:snapToGrid w:val="0"/>
                <w:lang w:eastAsia="es-ES"/>
              </w:rPr>
            </w:pPr>
          </w:p>
        </w:tc>
        <w:tc>
          <w:tcPr>
            <w:tcW w:w="2077" w:type="dxa"/>
            <w:tcBorders>
              <w:top w:val="single" w:sz="2" w:space="0" w:color="auto"/>
              <w:bottom w:val="single" w:sz="2" w:space="0" w:color="auto"/>
            </w:tcBorders>
          </w:tcPr>
          <w:p w:rsidR="00C47EE9" w:rsidRPr="00C47EE9" w:rsidRDefault="00C47EE9" w:rsidP="00C47EE9">
            <w:pPr>
              <w:spacing w:before="60" w:after="60"/>
              <w:ind w:firstLine="0"/>
              <w:jc w:val="right"/>
              <w:rPr>
                <w:rFonts w:ascii="Arial Narrow" w:hAnsi="Arial Narrow" w:cs="Arial"/>
                <w:snapToGrid w:val="0"/>
                <w:lang w:eastAsia="es-ES"/>
              </w:rPr>
            </w:pPr>
          </w:p>
        </w:tc>
      </w:tr>
      <w:tr w:rsidR="00C47EE9" w:rsidRPr="00C47EE9" w:rsidTr="00C47EE9">
        <w:trPr>
          <w:trHeight w:val="255"/>
          <w:jc w:val="center"/>
        </w:trPr>
        <w:tc>
          <w:tcPr>
            <w:tcW w:w="4818" w:type="dxa"/>
            <w:tcBorders>
              <w:top w:val="single" w:sz="2" w:space="0" w:color="auto"/>
              <w:bottom w:val="single" w:sz="2" w:space="0" w:color="auto"/>
            </w:tcBorders>
            <w:vAlign w:val="center"/>
          </w:tcPr>
          <w:p w:rsidR="00C47EE9" w:rsidRPr="00C47EE9" w:rsidRDefault="00C47EE9" w:rsidP="00C47EE9">
            <w:pPr>
              <w:spacing w:before="60" w:after="60"/>
              <w:ind w:firstLine="0"/>
              <w:rPr>
                <w:rFonts w:ascii="Arial Narrow" w:hAnsi="Arial Narrow" w:cs="Arial"/>
                <w:b/>
                <w:snapToGrid w:val="0"/>
                <w:lang w:eastAsia="es-ES"/>
              </w:rPr>
            </w:pPr>
            <w:r w:rsidRPr="00C47EE9">
              <w:rPr>
                <w:rFonts w:ascii="Arial Narrow" w:hAnsi="Arial Narrow" w:cs="Arial"/>
                <w:b/>
                <w:snapToGrid w:val="0"/>
                <w:lang w:eastAsia="es-ES"/>
              </w:rPr>
              <w:t>1. Ingresos de gestión ordinaria</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3.685.624.451</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3.235.275.297</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lang w:eastAsia="es-ES"/>
              </w:rPr>
            </w:pPr>
            <w:r w:rsidRPr="00C47EE9">
              <w:rPr>
                <w:rFonts w:ascii="Arial Narrow" w:hAnsi="Arial Narrow" w:cs="Arial"/>
                <w:b/>
                <w:snapToGrid w:val="0"/>
                <w:lang w:eastAsia="es-ES"/>
              </w:rPr>
              <w:t xml:space="preserve">a) Ingresos tributarios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rPr>
            </w:pPr>
            <w:r w:rsidRPr="00C47EE9">
              <w:rPr>
                <w:rFonts w:ascii="Arial Narrow" w:hAnsi="Arial Narrow" w:cs="Arial"/>
                <w:b/>
                <w:snapToGrid w:val="0"/>
              </w:rPr>
              <w:t>3.671.213.295</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rPr>
            </w:pPr>
            <w:r w:rsidRPr="00C47EE9">
              <w:rPr>
                <w:rFonts w:ascii="Arial Narrow" w:hAnsi="Arial Narrow" w:cs="Arial"/>
                <w:b/>
                <w:snapToGrid w:val="0"/>
              </w:rPr>
              <w:t>3.219.184.072</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a.1) Impuesto sobre la renta de las personas físicas</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1.288.708.418</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1.186.540.933</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a.2) Impuesto sobre sociedades</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303.958.016</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205.097.291</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a.3) Impuesto sobre sucesiones y donaciones</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45.771.673</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43.051.133</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 xml:space="preserve">a.4) Impuesto sobre el patrimonio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39.037.444</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31.844.693</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a.8) Otros impuestos directos</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48.549.460</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33.478.970</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 xml:space="preserve">a.9) Impuesto sobre transmisiones patrimoniales y AJD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54.504.939</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48.797.872</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 xml:space="preserve">a.10) Impuesto sobre el valor añadido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1.306.835.866</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1.221.861.729</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a.11) Impuestos especiales</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571.050.823</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436.207.944</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a.15) Tasas por prestación de servicios</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12.796.656</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12.303.508</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lang w:eastAsia="es-ES"/>
              </w:rPr>
            </w:pPr>
            <w:r w:rsidRPr="00C47EE9">
              <w:rPr>
                <w:rFonts w:ascii="Arial Narrow" w:hAnsi="Arial Narrow" w:cs="Arial"/>
                <w:b/>
                <w:snapToGrid w:val="0"/>
                <w:lang w:eastAsia="es-ES"/>
              </w:rPr>
              <w:t xml:space="preserve">b) Cotizaciones sociales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1.882.556</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2.207.667</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lang w:eastAsia="es-ES"/>
              </w:rPr>
            </w:pPr>
            <w:r w:rsidRPr="00C47EE9">
              <w:rPr>
                <w:rFonts w:ascii="Arial Narrow" w:hAnsi="Arial Narrow" w:cs="Arial"/>
                <w:b/>
                <w:snapToGrid w:val="0"/>
                <w:lang w:eastAsia="es-ES"/>
              </w:rPr>
              <w:t>c) Prestaciones de servicios.</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12.528.600</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13.883.558</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c.1)Precios públicos por prestación de servicios</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12.528.600</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13.883.558</w:t>
            </w:r>
          </w:p>
        </w:tc>
      </w:tr>
      <w:tr w:rsidR="00C47EE9" w:rsidRPr="00C47EE9" w:rsidTr="00C47EE9">
        <w:trPr>
          <w:trHeight w:val="255"/>
          <w:jc w:val="center"/>
        </w:trPr>
        <w:tc>
          <w:tcPr>
            <w:tcW w:w="4818" w:type="dxa"/>
            <w:tcBorders>
              <w:top w:val="single" w:sz="2" w:space="0" w:color="auto"/>
              <w:bottom w:val="single" w:sz="2" w:space="0" w:color="auto"/>
            </w:tcBorders>
            <w:vAlign w:val="center"/>
          </w:tcPr>
          <w:p w:rsidR="00C47EE9" w:rsidRPr="00C47EE9" w:rsidRDefault="00C47EE9" w:rsidP="00C47EE9">
            <w:pPr>
              <w:spacing w:before="60" w:after="60"/>
              <w:ind w:firstLine="0"/>
              <w:rPr>
                <w:rFonts w:ascii="Arial Narrow" w:hAnsi="Arial Narrow" w:cs="Arial"/>
                <w:b/>
                <w:snapToGrid w:val="0"/>
                <w:lang w:eastAsia="es-ES"/>
              </w:rPr>
            </w:pPr>
            <w:r w:rsidRPr="00C47EE9">
              <w:rPr>
                <w:rFonts w:ascii="Arial Narrow" w:hAnsi="Arial Narrow" w:cs="Arial"/>
                <w:b/>
                <w:snapToGrid w:val="0"/>
                <w:lang w:eastAsia="es-ES"/>
              </w:rPr>
              <w:t>2. Otros ingresos de gestión ordinaria</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108.718.363</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99.596.996</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lang w:eastAsia="es-ES"/>
              </w:rPr>
            </w:pPr>
            <w:r w:rsidRPr="00C47EE9">
              <w:rPr>
                <w:rFonts w:ascii="Arial Narrow" w:hAnsi="Arial Narrow" w:cs="Arial"/>
                <w:b/>
                <w:snapToGrid w:val="0"/>
                <w:lang w:eastAsia="es-ES"/>
              </w:rPr>
              <w:t>a) Reintegros</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11.377.652</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9.139.211</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lang w:eastAsia="es-ES"/>
              </w:rPr>
            </w:pPr>
            <w:r w:rsidRPr="00C47EE9">
              <w:rPr>
                <w:rFonts w:ascii="Arial Narrow" w:hAnsi="Arial Narrow" w:cs="Arial"/>
                <w:b/>
                <w:snapToGrid w:val="0"/>
                <w:lang w:eastAsia="es-ES"/>
              </w:rPr>
              <w:t xml:space="preserve">b) Ventas y prestaciones de servicios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40.520.721</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40.805.213</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lang w:eastAsia="es-ES"/>
              </w:rPr>
            </w:pPr>
            <w:r w:rsidRPr="00C47EE9">
              <w:rPr>
                <w:rFonts w:ascii="Arial Narrow" w:hAnsi="Arial Narrow" w:cs="Arial"/>
                <w:b/>
                <w:snapToGrid w:val="0"/>
                <w:lang w:eastAsia="es-ES"/>
              </w:rPr>
              <w:t xml:space="preserve">c) Otros ingresos de gestión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40.525.163</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38.532.023</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c.1) Ingresos accesorios y otros de gestión corriente</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40.525.163</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38.532.023</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b/>
                <w:snapToGrid w:val="0"/>
                <w:lang w:eastAsia="es-ES"/>
              </w:rPr>
            </w:pPr>
            <w:r w:rsidRPr="00C47EE9">
              <w:rPr>
                <w:rFonts w:ascii="Arial Narrow" w:hAnsi="Arial Narrow" w:cs="Arial"/>
                <w:b/>
                <w:snapToGrid w:val="0"/>
                <w:lang w:eastAsia="es-ES"/>
              </w:rPr>
              <w:t>f) Otros ingresos financieros</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16.294.827</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11.120.549</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 xml:space="preserve">f.1) Otros intereses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16.294.827</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11.120.549</w:t>
            </w:r>
          </w:p>
        </w:tc>
      </w:tr>
      <w:tr w:rsidR="00C47EE9" w:rsidRPr="00C47EE9" w:rsidTr="00C47EE9">
        <w:trPr>
          <w:trHeight w:val="255"/>
          <w:jc w:val="center"/>
        </w:trPr>
        <w:tc>
          <w:tcPr>
            <w:tcW w:w="4818" w:type="dxa"/>
            <w:tcBorders>
              <w:top w:val="single" w:sz="2" w:space="0" w:color="auto"/>
              <w:bottom w:val="single" w:sz="2" w:space="0" w:color="auto"/>
            </w:tcBorders>
            <w:vAlign w:val="center"/>
          </w:tcPr>
          <w:p w:rsidR="00C47EE9" w:rsidRPr="00C47EE9" w:rsidRDefault="00C47EE9" w:rsidP="00C47EE9">
            <w:pPr>
              <w:spacing w:before="60" w:after="60"/>
              <w:ind w:firstLine="0"/>
              <w:rPr>
                <w:rFonts w:ascii="Arial Narrow" w:hAnsi="Arial Narrow" w:cs="Arial"/>
                <w:b/>
                <w:snapToGrid w:val="0"/>
                <w:lang w:eastAsia="es-ES"/>
              </w:rPr>
            </w:pPr>
            <w:r w:rsidRPr="00C47EE9">
              <w:rPr>
                <w:rFonts w:ascii="Arial Narrow" w:hAnsi="Arial Narrow" w:cs="Arial"/>
                <w:b/>
                <w:snapToGrid w:val="0"/>
                <w:lang w:eastAsia="es-ES"/>
              </w:rPr>
              <w:t xml:space="preserve">3. Transferencias y subvenciones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188.727.239</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55.047.253</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 xml:space="preserve">a) Transferencias corrientes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178.368.109</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47.664.041</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 xml:space="preserve">b) Transferencias de capital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10.359.130</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7.383.212</w:t>
            </w:r>
          </w:p>
        </w:tc>
      </w:tr>
      <w:tr w:rsidR="00C47EE9" w:rsidRPr="00C47EE9" w:rsidTr="00C47EE9">
        <w:trPr>
          <w:trHeight w:val="255"/>
          <w:jc w:val="center"/>
        </w:trPr>
        <w:tc>
          <w:tcPr>
            <w:tcW w:w="4818" w:type="dxa"/>
            <w:tcBorders>
              <w:top w:val="single" w:sz="2" w:space="0" w:color="auto"/>
              <w:bottom w:val="single" w:sz="2" w:space="0" w:color="auto"/>
            </w:tcBorders>
            <w:vAlign w:val="center"/>
          </w:tcPr>
          <w:p w:rsidR="00C47EE9" w:rsidRPr="00C47EE9" w:rsidRDefault="00C47EE9" w:rsidP="00C47EE9">
            <w:pPr>
              <w:spacing w:before="60" w:after="60"/>
              <w:ind w:firstLine="0"/>
              <w:rPr>
                <w:rFonts w:ascii="Arial Narrow" w:hAnsi="Arial Narrow" w:cs="Arial"/>
                <w:b/>
                <w:snapToGrid w:val="0"/>
                <w:lang w:eastAsia="es-ES"/>
              </w:rPr>
            </w:pPr>
            <w:r w:rsidRPr="00C47EE9">
              <w:rPr>
                <w:rFonts w:ascii="Arial Narrow" w:hAnsi="Arial Narrow" w:cs="Arial"/>
                <w:b/>
                <w:snapToGrid w:val="0"/>
                <w:lang w:eastAsia="es-ES"/>
              </w:rPr>
              <w:t xml:space="preserve">5. Ganancias e ingresos extraordinarios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rPr>
            </w:pPr>
            <w:r w:rsidRPr="00C47EE9">
              <w:rPr>
                <w:rFonts w:ascii="Arial Narrow" w:hAnsi="Arial Narrow" w:cs="Arial"/>
                <w:b/>
                <w:snapToGrid w:val="0"/>
              </w:rPr>
              <w:t>10.048.251</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rPr>
            </w:pPr>
            <w:r w:rsidRPr="00C47EE9">
              <w:rPr>
                <w:rFonts w:ascii="Arial Narrow" w:hAnsi="Arial Narrow" w:cs="Arial"/>
                <w:b/>
                <w:snapToGrid w:val="0"/>
              </w:rPr>
              <w:t>25.301.020</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 xml:space="preserve">a) Beneficios procedentes del inmovilizado </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rPr>
            </w:pPr>
            <w:r w:rsidRPr="00C47EE9">
              <w:rPr>
                <w:rFonts w:ascii="Arial Narrow" w:hAnsi="Arial Narrow" w:cs="Arial"/>
                <w:snapToGrid w:val="0"/>
              </w:rPr>
              <w:t>54.990</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snapToGrid w:val="0"/>
              </w:rPr>
            </w:pPr>
            <w:r w:rsidRPr="00C47EE9">
              <w:rPr>
                <w:rFonts w:ascii="Arial Narrow" w:hAnsi="Arial Narrow" w:cs="Arial"/>
                <w:snapToGrid w:val="0"/>
              </w:rPr>
              <w:t>1.597.853</w:t>
            </w:r>
          </w:p>
        </w:tc>
      </w:tr>
      <w:tr w:rsidR="00C47EE9" w:rsidRPr="00C47EE9" w:rsidTr="00C47EE9">
        <w:trPr>
          <w:trHeight w:val="198"/>
          <w:jc w:val="center"/>
        </w:trPr>
        <w:tc>
          <w:tcPr>
            <w:tcW w:w="4818" w:type="dxa"/>
            <w:tcBorders>
              <w:top w:val="single" w:sz="2" w:space="0" w:color="auto"/>
              <w:bottom w:val="single" w:sz="2" w:space="0" w:color="auto"/>
            </w:tcBorders>
            <w:vAlign w:val="center"/>
          </w:tcPr>
          <w:p w:rsidR="00C47EE9" w:rsidRPr="00C47EE9" w:rsidRDefault="00C47EE9" w:rsidP="00C47EE9">
            <w:pPr>
              <w:spacing w:after="0"/>
              <w:ind w:firstLine="0"/>
              <w:rPr>
                <w:rFonts w:ascii="Arial Narrow" w:hAnsi="Arial Narrow" w:cs="Arial"/>
                <w:snapToGrid w:val="0"/>
                <w:lang w:eastAsia="es-ES"/>
              </w:rPr>
            </w:pPr>
            <w:r w:rsidRPr="00C47EE9">
              <w:rPr>
                <w:rFonts w:ascii="Arial Narrow" w:hAnsi="Arial Narrow" w:cs="Arial"/>
                <w:snapToGrid w:val="0"/>
                <w:lang w:eastAsia="es-ES"/>
              </w:rPr>
              <w:t>d) Ingresos y beneficios de otros ejercicios</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rPr>
            </w:pPr>
            <w:r w:rsidRPr="00C47EE9">
              <w:rPr>
                <w:rFonts w:ascii="Arial Narrow" w:hAnsi="Arial Narrow" w:cs="Arial"/>
              </w:rPr>
              <w:t>9.993.261</w:t>
            </w: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rPr>
            </w:pPr>
            <w:r w:rsidRPr="00C47EE9">
              <w:rPr>
                <w:rFonts w:ascii="Arial Narrow" w:hAnsi="Arial Narrow" w:cs="Arial"/>
              </w:rPr>
              <w:t>23.703.167</w:t>
            </w:r>
          </w:p>
        </w:tc>
      </w:tr>
      <w:tr w:rsidR="00C47EE9" w:rsidRPr="00C47EE9" w:rsidTr="00C47EE9">
        <w:trPr>
          <w:trHeight w:val="255"/>
          <w:jc w:val="center"/>
        </w:trPr>
        <w:tc>
          <w:tcPr>
            <w:tcW w:w="4818" w:type="dxa"/>
            <w:tcBorders>
              <w:top w:val="single" w:sz="2" w:space="0" w:color="auto"/>
              <w:bottom w:val="single" w:sz="2" w:space="0" w:color="auto"/>
            </w:tcBorders>
            <w:vAlign w:val="center"/>
          </w:tcPr>
          <w:p w:rsidR="00C47EE9" w:rsidRPr="00C47EE9" w:rsidRDefault="00C47EE9" w:rsidP="00C47EE9">
            <w:pPr>
              <w:spacing w:before="60" w:after="60"/>
              <w:ind w:firstLine="0"/>
              <w:rPr>
                <w:rFonts w:ascii="Arial Narrow" w:hAnsi="Arial Narrow" w:cs="Arial"/>
                <w:b/>
                <w:snapToGrid w:val="0"/>
              </w:rPr>
            </w:pPr>
            <w:r w:rsidRPr="00C47EE9">
              <w:rPr>
                <w:rFonts w:ascii="Arial Narrow" w:hAnsi="Arial Narrow" w:cs="Arial"/>
                <w:b/>
                <w:snapToGrid w:val="0"/>
              </w:rPr>
              <w:t>Saldo Deudor (Desahorro)</w:t>
            </w:r>
          </w:p>
        </w:tc>
        <w:tc>
          <w:tcPr>
            <w:tcW w:w="195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p>
        </w:tc>
        <w:tc>
          <w:tcPr>
            <w:tcW w:w="2077" w:type="dxa"/>
            <w:tcBorders>
              <w:top w:val="single" w:sz="2" w:space="0" w:color="auto"/>
              <w:bottom w:val="single" w:sz="2" w:space="0" w:color="auto"/>
            </w:tcBorders>
            <w:vAlign w:val="center"/>
          </w:tcPr>
          <w:p w:rsidR="00C47EE9" w:rsidRPr="00C47EE9" w:rsidRDefault="00C47EE9" w:rsidP="00C47EE9">
            <w:pPr>
              <w:spacing w:after="0"/>
              <w:jc w:val="right"/>
              <w:rPr>
                <w:rFonts w:ascii="Arial Narrow" w:hAnsi="Arial Narrow" w:cs="Arial"/>
                <w:b/>
                <w:snapToGrid w:val="0"/>
                <w:color w:val="000000"/>
              </w:rPr>
            </w:pPr>
            <w:r w:rsidRPr="00C47EE9">
              <w:rPr>
                <w:rFonts w:ascii="Arial Narrow" w:hAnsi="Arial Narrow" w:cs="Arial"/>
                <w:b/>
                <w:snapToGrid w:val="0"/>
                <w:color w:val="000000"/>
              </w:rPr>
              <w:t>53.865.449</w:t>
            </w:r>
          </w:p>
        </w:tc>
      </w:tr>
      <w:tr w:rsidR="00C47EE9" w:rsidRPr="00C47EE9" w:rsidTr="00C47EE9">
        <w:trPr>
          <w:trHeight w:val="255"/>
          <w:jc w:val="center"/>
        </w:trPr>
        <w:tc>
          <w:tcPr>
            <w:tcW w:w="4818" w:type="dxa"/>
            <w:tcBorders>
              <w:top w:val="single" w:sz="2" w:space="0" w:color="auto"/>
              <w:bottom w:val="single" w:sz="4" w:space="0" w:color="auto"/>
            </w:tcBorders>
            <w:shd w:val="clear" w:color="auto" w:fill="8DB3E2" w:themeFill="text2" w:themeFillTint="66"/>
            <w:vAlign w:val="center"/>
          </w:tcPr>
          <w:p w:rsidR="00C47EE9" w:rsidRPr="00C47EE9" w:rsidRDefault="00C47EE9" w:rsidP="00C47EE9">
            <w:pPr>
              <w:keepLines/>
              <w:tabs>
                <w:tab w:val="right" w:pos="2835"/>
                <w:tab w:val="right" w:pos="3969"/>
                <w:tab w:val="right" w:pos="5103"/>
                <w:tab w:val="right" w:pos="6237"/>
                <w:tab w:val="right" w:pos="7371"/>
              </w:tabs>
              <w:spacing w:after="0"/>
              <w:ind w:firstLine="0"/>
              <w:rPr>
                <w:rFonts w:ascii="Arial" w:hAnsi="Arial"/>
                <w:snapToGrid w:val="0"/>
                <w:spacing w:val="6"/>
                <w:sz w:val="18"/>
                <w:szCs w:val="24"/>
              </w:rPr>
            </w:pPr>
            <w:r w:rsidRPr="00C47EE9">
              <w:rPr>
                <w:rFonts w:ascii="Arial" w:hAnsi="Arial"/>
                <w:snapToGrid w:val="0"/>
                <w:spacing w:val="6"/>
                <w:sz w:val="18"/>
                <w:szCs w:val="24"/>
              </w:rPr>
              <w:t>Total Haber</w:t>
            </w:r>
          </w:p>
        </w:tc>
        <w:tc>
          <w:tcPr>
            <w:tcW w:w="1957" w:type="dxa"/>
            <w:tcBorders>
              <w:top w:val="single" w:sz="2" w:space="0" w:color="auto"/>
              <w:bottom w:val="single" w:sz="4" w:space="0" w:color="auto"/>
            </w:tcBorders>
            <w:shd w:val="clear" w:color="auto" w:fill="8DB3E2" w:themeFill="text2" w:themeFillTint="66"/>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3.993.118.304</w:t>
            </w:r>
          </w:p>
        </w:tc>
        <w:tc>
          <w:tcPr>
            <w:tcW w:w="2077" w:type="dxa"/>
            <w:tcBorders>
              <w:top w:val="single" w:sz="2" w:space="0" w:color="auto"/>
              <w:bottom w:val="single" w:sz="4" w:space="0" w:color="auto"/>
            </w:tcBorders>
            <w:shd w:val="clear" w:color="auto" w:fill="8DB3E2" w:themeFill="text2" w:themeFillTint="66"/>
            <w:vAlign w:val="center"/>
          </w:tcPr>
          <w:p w:rsidR="00C47EE9" w:rsidRPr="00C47EE9" w:rsidRDefault="00C47EE9" w:rsidP="00C47EE9">
            <w:pPr>
              <w:spacing w:after="0"/>
              <w:jc w:val="right"/>
              <w:rPr>
                <w:rFonts w:ascii="Arial Narrow" w:hAnsi="Arial Narrow" w:cs="Arial"/>
                <w:snapToGrid w:val="0"/>
                <w:color w:val="000000"/>
              </w:rPr>
            </w:pPr>
            <w:r w:rsidRPr="00C47EE9">
              <w:rPr>
                <w:rFonts w:ascii="Arial Narrow" w:hAnsi="Arial Narrow" w:cs="Arial"/>
                <w:snapToGrid w:val="0"/>
                <w:color w:val="000000"/>
              </w:rPr>
              <w:t>3.469.086.015</w:t>
            </w:r>
          </w:p>
        </w:tc>
      </w:tr>
    </w:tbl>
    <w:p w:rsidR="00C47EE9" w:rsidRPr="00C47EE9" w:rsidRDefault="00C47EE9" w:rsidP="00C47EE9">
      <w:pPr>
        <w:tabs>
          <w:tab w:val="center" w:pos="2835"/>
          <w:tab w:val="center" w:pos="3969"/>
          <w:tab w:val="center" w:pos="5103"/>
          <w:tab w:val="center" w:pos="6237"/>
          <w:tab w:val="center" w:pos="7371"/>
        </w:tabs>
        <w:spacing w:before="120" w:after="0"/>
        <w:ind w:left="360" w:firstLine="0"/>
        <w:rPr>
          <w:rFonts w:ascii="Arial Narrow" w:hAnsi="Arial Narrow"/>
          <w:spacing w:val="6"/>
          <w:sz w:val="18"/>
          <w:szCs w:val="18"/>
        </w:rPr>
      </w:pPr>
    </w:p>
    <w:p w:rsidR="00C47EE9" w:rsidRPr="00C47EE9" w:rsidRDefault="00C47EE9" w:rsidP="00C47EE9">
      <w:pPr>
        <w:spacing w:before="240" w:after="0"/>
        <w:ind w:firstLine="0"/>
        <w:jc w:val="center"/>
        <w:rPr>
          <w:sz w:val="24"/>
          <w:szCs w:val="24"/>
          <w:lang w:val="es-ES" w:eastAsia="es-ES"/>
        </w:rPr>
      </w:pPr>
    </w:p>
    <w:p w:rsidR="00C47EE9" w:rsidRPr="00C47EE9" w:rsidRDefault="00C47EE9" w:rsidP="00C47EE9">
      <w:pPr>
        <w:keepNext/>
        <w:spacing w:after="240"/>
        <w:ind w:firstLine="0"/>
        <w:rPr>
          <w:rFonts w:ascii="Arial (W1)" w:hAnsi="Arial (W1)"/>
          <w:color w:val="000000"/>
          <w:spacing w:val="-4"/>
          <w:kern w:val="28"/>
          <w:sz w:val="25"/>
          <w:szCs w:val="26"/>
        </w:rPr>
      </w:pPr>
      <w:r w:rsidRPr="00C47EE9">
        <w:rPr>
          <w:rFonts w:ascii="Arial" w:hAnsi="Arial"/>
          <w:b/>
          <w:color w:val="000000"/>
          <w:kern w:val="28"/>
          <w:sz w:val="25"/>
          <w:szCs w:val="26"/>
        </w:rPr>
        <w:t xml:space="preserve"> </w:t>
      </w:r>
      <w:r w:rsidRPr="00C47EE9">
        <w:rPr>
          <w:rFonts w:ascii="Arial (W1)" w:hAnsi="Arial (W1)"/>
          <w:b/>
          <w:color w:val="000000"/>
          <w:spacing w:val="-4"/>
          <w:kern w:val="28"/>
          <w:sz w:val="25"/>
          <w:szCs w:val="26"/>
        </w:rPr>
        <w:br w:type="page"/>
      </w:r>
    </w:p>
    <w:p w:rsidR="00B01865" w:rsidRPr="00B01865" w:rsidRDefault="00B01865" w:rsidP="00B01865">
      <w:pPr>
        <w:pStyle w:val="atitulo1"/>
      </w:pPr>
      <w:bookmarkStart w:id="56" w:name="_Toc463350246"/>
      <w:bookmarkStart w:id="57" w:name="_Toc494270380"/>
      <w:bookmarkStart w:id="58" w:name="_Toc525907437"/>
      <w:bookmarkStart w:id="59" w:name="_Toc530034665"/>
      <w:r w:rsidRPr="00B01865">
        <w:lastRenderedPageBreak/>
        <w:t>V. Conclusiones y recomendaciones</w:t>
      </w:r>
      <w:bookmarkEnd w:id="56"/>
      <w:bookmarkEnd w:id="57"/>
      <w:bookmarkEnd w:id="58"/>
      <w:bookmarkEnd w:id="59"/>
      <w:r w:rsidRPr="00B01865">
        <w:t xml:space="preserve"> </w:t>
      </w:r>
    </w:p>
    <w:p w:rsidR="00B01865" w:rsidRPr="00B01865" w:rsidRDefault="00B01865" w:rsidP="00B01865">
      <w:pPr>
        <w:tabs>
          <w:tab w:val="center" w:pos="2835"/>
          <w:tab w:val="center" w:pos="3969"/>
          <w:tab w:val="center" w:pos="5103"/>
          <w:tab w:val="center" w:pos="6237"/>
          <w:tab w:val="center" w:pos="7371"/>
        </w:tabs>
        <w:ind w:firstLine="284"/>
        <w:rPr>
          <w:spacing w:val="6"/>
          <w:sz w:val="26"/>
          <w:szCs w:val="24"/>
        </w:rPr>
      </w:pPr>
      <w:r w:rsidRPr="00B01865">
        <w:rPr>
          <w:spacing w:val="6"/>
          <w:sz w:val="26"/>
          <w:szCs w:val="24"/>
        </w:rPr>
        <w:t>A continuación describimos aquellas observaciones y conclusiones obtenidas del trabajo realizado, así como las recomendaciones que esta Cámara entiende que pueden ayudar a mejorar la gestión.</w:t>
      </w:r>
    </w:p>
    <w:p w:rsidR="00B01865" w:rsidRPr="00B01865" w:rsidRDefault="00B01865" w:rsidP="00B01865">
      <w:pPr>
        <w:pStyle w:val="atitulo2"/>
        <w:spacing w:before="240"/>
        <w:rPr>
          <w:bCs w:val="0"/>
          <w:iCs w:val="0"/>
        </w:rPr>
      </w:pPr>
      <w:bookmarkStart w:id="60" w:name="_Toc463350248"/>
      <w:bookmarkStart w:id="61" w:name="_Toc494270382"/>
      <w:bookmarkStart w:id="62" w:name="_Toc525907438"/>
      <w:bookmarkStart w:id="63" w:name="_Toc530034666"/>
      <w:r w:rsidRPr="00B01865">
        <w:rPr>
          <w:bCs w:val="0"/>
          <w:iCs w:val="0"/>
        </w:rPr>
        <w:t>V.1. Presupuestos generales de Navarra 201</w:t>
      </w:r>
      <w:bookmarkEnd w:id="60"/>
      <w:bookmarkEnd w:id="61"/>
      <w:r w:rsidRPr="00B01865">
        <w:rPr>
          <w:bCs w:val="0"/>
          <w:iCs w:val="0"/>
        </w:rPr>
        <w:t>7</w:t>
      </w:r>
      <w:bookmarkEnd w:id="62"/>
      <w:bookmarkEnd w:id="63"/>
    </w:p>
    <w:p w:rsidR="00B01865" w:rsidRPr="00B01865" w:rsidRDefault="00B01865" w:rsidP="00B01865">
      <w:pPr>
        <w:pStyle w:val="texto"/>
      </w:pPr>
      <w:r w:rsidRPr="00B01865">
        <w:t>El 28 de diciembre de 2016 se aprobó la Ley Foral de Presupuestos Gener</w:t>
      </w:r>
      <w:r w:rsidRPr="00B01865">
        <w:t>a</w:t>
      </w:r>
      <w:r w:rsidRPr="00B01865">
        <w:t xml:space="preserve">les de Navarra para el año 2017 con un importe de </w:t>
      </w:r>
      <w:r w:rsidR="00D3747C">
        <w:t>4.061,88</w:t>
      </w:r>
      <w:r w:rsidRPr="00B01865">
        <w:t xml:space="preserve"> millones de euros, si bien esta cantidad se reduce hasta los 3.524</w:t>
      </w:r>
      <w:r w:rsidR="00D3747C">
        <w:t>,29</w:t>
      </w:r>
      <w:r w:rsidRPr="00B01865">
        <w:t xml:space="preserve"> millones a efectos de cu</w:t>
      </w:r>
      <w:r w:rsidRPr="00B01865">
        <w:t>m</w:t>
      </w:r>
      <w:r w:rsidRPr="00B01865">
        <w:t xml:space="preserve">plimiento de la </w:t>
      </w:r>
      <w:proofErr w:type="spellStart"/>
      <w:r w:rsidRPr="00B01865">
        <w:rPr>
          <w:rFonts w:cs="Arial"/>
        </w:rPr>
        <w:t>LOEPySF</w:t>
      </w:r>
      <w:proofErr w:type="spellEnd"/>
      <w:r w:rsidR="00D3747C">
        <w:rPr>
          <w:rFonts w:cs="Arial"/>
        </w:rPr>
        <w:t xml:space="preserve"> (techo de gasto)</w:t>
      </w:r>
      <w:r w:rsidRPr="00B01865">
        <w:t>.</w:t>
      </w:r>
    </w:p>
    <w:p w:rsidR="00B01865" w:rsidRPr="00B01865" w:rsidRDefault="00B01865" w:rsidP="00B01865">
      <w:pPr>
        <w:pStyle w:val="texto"/>
        <w:rPr>
          <w:lang w:val="es-ES"/>
        </w:rPr>
      </w:pPr>
      <w:r w:rsidRPr="00B01865">
        <w:t>E</w:t>
      </w:r>
      <w:r w:rsidRPr="00B01865">
        <w:rPr>
          <w:lang w:val="es-ES"/>
        </w:rPr>
        <w:t xml:space="preserve">l presupuesto de 2017 incluye, entre sus partidas de gastos, un Fondo de Contingencia, de acuerdo con las exigencias de la </w:t>
      </w:r>
      <w:proofErr w:type="spellStart"/>
      <w:r w:rsidRPr="00B01865">
        <w:rPr>
          <w:lang w:val="es-ES"/>
        </w:rPr>
        <w:t>LOEPySF</w:t>
      </w:r>
      <w:proofErr w:type="spellEnd"/>
      <w:r w:rsidRPr="00B01865">
        <w:rPr>
          <w:lang w:val="es-ES"/>
        </w:rPr>
        <w:t>, dotado inicia</w:t>
      </w:r>
      <w:r w:rsidRPr="00B01865">
        <w:rPr>
          <w:lang w:val="es-ES"/>
        </w:rPr>
        <w:t>l</w:t>
      </w:r>
      <w:r w:rsidRPr="00B01865">
        <w:rPr>
          <w:lang w:val="es-ES"/>
        </w:rPr>
        <w:t>mente con 11,77 millones de euros para hacer frente a necesidades inaplazables de carácter no discrecional que no hubieran podido preverse en los presupue</w:t>
      </w:r>
      <w:r w:rsidRPr="00B01865">
        <w:rPr>
          <w:lang w:val="es-ES"/>
        </w:rPr>
        <w:t>s</w:t>
      </w:r>
      <w:r w:rsidRPr="00B01865">
        <w:rPr>
          <w:lang w:val="es-ES"/>
        </w:rPr>
        <w:t>tos. La regulación de este fondo está recogida en el artículo 42 de la Ley Foral de Hacienda Pública de Navarra.</w:t>
      </w:r>
    </w:p>
    <w:p w:rsidR="00B01865" w:rsidRPr="00B01865" w:rsidRDefault="00B01865" w:rsidP="00B01865">
      <w:pPr>
        <w:spacing w:before="240" w:after="12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Modificaciones presupuestarias</w:t>
      </w:r>
    </w:p>
    <w:p w:rsidR="00E1691A" w:rsidRPr="00B01865" w:rsidRDefault="00E1691A" w:rsidP="00E1691A">
      <w:pPr>
        <w:pStyle w:val="texto"/>
        <w:rPr>
          <w:lang w:val="es-ES"/>
        </w:rPr>
      </w:pPr>
      <w:r w:rsidRPr="00B01865">
        <w:rPr>
          <w:lang w:val="es-ES"/>
        </w:rPr>
        <w:t>Los créditos iniciales para gastos experimentan vía modificaciones un i</w:t>
      </w:r>
      <w:r w:rsidRPr="00B01865">
        <w:rPr>
          <w:lang w:val="es-ES"/>
        </w:rPr>
        <w:t>n</w:t>
      </w:r>
      <w:r w:rsidRPr="00B01865">
        <w:rPr>
          <w:lang w:val="es-ES"/>
        </w:rPr>
        <w:t>cremento neto del dos por ciento (88,85 millones), alcanzando los créditos co</w:t>
      </w:r>
      <w:r w:rsidRPr="00B01865">
        <w:rPr>
          <w:lang w:val="es-ES"/>
        </w:rPr>
        <w:t>n</w:t>
      </w:r>
      <w:r w:rsidRPr="00B01865">
        <w:rPr>
          <w:lang w:val="es-ES"/>
        </w:rPr>
        <w:t xml:space="preserve">solidados un importe de 4.150,73 millones. </w:t>
      </w:r>
    </w:p>
    <w:p w:rsidR="00B01865" w:rsidRPr="00B01865" w:rsidRDefault="00E1691A" w:rsidP="00B01865">
      <w:pPr>
        <w:pStyle w:val="texto"/>
        <w:rPr>
          <w:lang w:val="es-ES"/>
        </w:rPr>
      </w:pPr>
      <w:r>
        <w:rPr>
          <w:lang w:val="es-ES"/>
        </w:rPr>
        <w:t>Estas</w:t>
      </w:r>
      <w:r w:rsidR="00B01865" w:rsidRPr="00B01865">
        <w:rPr>
          <w:lang w:val="es-ES"/>
        </w:rPr>
        <w:t xml:space="preserve"> modificaciones aprobadas durante el año 2017, fueron las siguientes:</w:t>
      </w:r>
    </w:p>
    <w:tbl>
      <w:tblPr>
        <w:tblW w:w="8887" w:type="dxa"/>
        <w:jc w:val="center"/>
        <w:tblInd w:w="645"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751"/>
        <w:gridCol w:w="3639"/>
        <w:gridCol w:w="2448"/>
        <w:gridCol w:w="49"/>
      </w:tblGrid>
      <w:tr w:rsidR="00B01865" w:rsidRPr="00B01865" w:rsidTr="00B01865">
        <w:trPr>
          <w:trHeight w:val="255"/>
          <w:jc w:val="center"/>
        </w:trPr>
        <w:tc>
          <w:tcPr>
            <w:tcW w:w="8887" w:type="dxa"/>
            <w:gridSpan w:val="4"/>
            <w:tcBorders>
              <w:top w:val="nil"/>
              <w:bottom w:val="single" w:sz="4" w:space="0" w:color="auto"/>
            </w:tcBorders>
            <w:shd w:val="clear" w:color="auto" w:fill="auto"/>
            <w:vAlign w:val="center"/>
          </w:tcPr>
          <w:p w:rsidR="00B01865" w:rsidRPr="00B01865" w:rsidRDefault="00B01865" w:rsidP="00B01865">
            <w:pPr>
              <w:spacing w:after="0"/>
              <w:ind w:left="50" w:firstLine="0"/>
              <w:jc w:val="right"/>
              <w:rPr>
                <w:rFonts w:ascii="Arial" w:hAnsi="Arial" w:cs="Arial"/>
                <w:bCs/>
                <w:color w:val="000000"/>
                <w:sz w:val="17"/>
                <w:szCs w:val="17"/>
                <w:lang w:val="es-ES" w:eastAsia="es-ES"/>
              </w:rPr>
            </w:pPr>
            <w:r w:rsidRPr="00B01865">
              <w:rPr>
                <w:rFonts w:ascii="Arial" w:hAnsi="Arial" w:cs="Arial"/>
                <w:bCs/>
                <w:color w:val="000000"/>
                <w:sz w:val="17"/>
                <w:szCs w:val="17"/>
                <w:lang w:val="es-ES" w:eastAsia="es-ES"/>
              </w:rPr>
              <w:t>(en miles de euros)</w:t>
            </w:r>
          </w:p>
        </w:tc>
      </w:tr>
      <w:tr w:rsidR="00B01865" w:rsidRPr="00B01865" w:rsidTr="00B01865">
        <w:trPr>
          <w:gridAfter w:val="1"/>
          <w:wAfter w:w="49" w:type="dxa"/>
          <w:trHeight w:val="255"/>
          <w:jc w:val="center"/>
        </w:trPr>
        <w:tc>
          <w:tcPr>
            <w:tcW w:w="2751" w:type="dxa"/>
            <w:tcBorders>
              <w:bottom w:val="single" w:sz="4" w:space="0" w:color="auto"/>
            </w:tcBorders>
            <w:shd w:val="clear" w:color="auto" w:fill="8DB3E2" w:themeFill="text2" w:themeFillTint="66"/>
            <w:vAlign w:val="center"/>
            <w:hideMark/>
          </w:tcPr>
          <w:p w:rsidR="00B01865" w:rsidRPr="00B01865" w:rsidRDefault="00B01865" w:rsidP="00B01865">
            <w:pPr>
              <w:spacing w:after="0"/>
              <w:ind w:left="50" w:firstLine="0"/>
              <w:jc w:val="left"/>
              <w:rPr>
                <w:rFonts w:ascii="Arial" w:hAnsi="Arial" w:cs="Arial"/>
                <w:bCs/>
                <w:color w:val="000000"/>
                <w:sz w:val="18"/>
                <w:szCs w:val="18"/>
                <w:lang w:val="es-ES" w:eastAsia="es-ES"/>
              </w:rPr>
            </w:pPr>
            <w:r w:rsidRPr="00B01865">
              <w:rPr>
                <w:rFonts w:ascii="Arial" w:hAnsi="Arial" w:cs="Arial"/>
                <w:bCs/>
                <w:color w:val="000000"/>
                <w:sz w:val="18"/>
                <w:szCs w:val="18"/>
                <w:lang w:val="es-ES" w:eastAsia="es-ES"/>
              </w:rPr>
              <w:t>Modificaciones presupuestarias</w:t>
            </w:r>
          </w:p>
        </w:tc>
        <w:tc>
          <w:tcPr>
            <w:tcW w:w="3639" w:type="dxa"/>
            <w:tcBorders>
              <w:bottom w:val="single" w:sz="4" w:space="0" w:color="auto"/>
            </w:tcBorders>
            <w:shd w:val="clear" w:color="auto" w:fill="8DB3E2" w:themeFill="text2" w:themeFillTint="66"/>
            <w:vAlign w:val="center"/>
            <w:hideMark/>
          </w:tcPr>
          <w:p w:rsidR="00B01865" w:rsidRDefault="00B01865" w:rsidP="00B01865">
            <w:pPr>
              <w:spacing w:after="0"/>
              <w:ind w:firstLine="0"/>
              <w:jc w:val="right"/>
              <w:rPr>
                <w:rFonts w:ascii="Arial" w:hAnsi="Arial" w:cs="Arial"/>
                <w:bCs/>
                <w:color w:val="000000"/>
                <w:sz w:val="18"/>
                <w:szCs w:val="18"/>
                <w:lang w:val="es-ES" w:eastAsia="es-ES"/>
              </w:rPr>
            </w:pPr>
            <w:r w:rsidRPr="00B01865">
              <w:rPr>
                <w:rFonts w:ascii="Arial" w:hAnsi="Arial" w:cs="Arial"/>
                <w:bCs/>
                <w:color w:val="000000"/>
                <w:sz w:val="18"/>
                <w:szCs w:val="18"/>
                <w:lang w:val="es-ES" w:eastAsia="es-ES"/>
              </w:rPr>
              <w:t xml:space="preserve">Financiadas </w:t>
            </w:r>
          </w:p>
          <w:p w:rsidR="00B01865" w:rsidRPr="00B01865" w:rsidRDefault="00B01865" w:rsidP="00B01865">
            <w:pPr>
              <w:spacing w:after="0"/>
              <w:ind w:firstLine="0"/>
              <w:jc w:val="right"/>
              <w:rPr>
                <w:rFonts w:ascii="Arial" w:hAnsi="Arial" w:cs="Arial"/>
                <w:bCs/>
                <w:color w:val="000000"/>
                <w:sz w:val="18"/>
                <w:szCs w:val="18"/>
                <w:lang w:val="es-ES" w:eastAsia="es-ES"/>
              </w:rPr>
            </w:pPr>
            <w:r w:rsidRPr="00B01865">
              <w:rPr>
                <w:rFonts w:ascii="Arial" w:hAnsi="Arial" w:cs="Arial"/>
                <w:bCs/>
                <w:color w:val="000000"/>
                <w:sz w:val="18"/>
                <w:szCs w:val="18"/>
                <w:lang w:val="es-ES" w:eastAsia="es-ES"/>
              </w:rPr>
              <w:t>con mayores ingresos</w:t>
            </w:r>
          </w:p>
        </w:tc>
        <w:tc>
          <w:tcPr>
            <w:tcW w:w="2448" w:type="dxa"/>
            <w:tcBorders>
              <w:bottom w:val="single" w:sz="4" w:space="0" w:color="auto"/>
            </w:tcBorders>
            <w:shd w:val="clear" w:color="auto" w:fill="8DB3E2" w:themeFill="text2" w:themeFillTint="66"/>
            <w:vAlign w:val="center"/>
            <w:hideMark/>
          </w:tcPr>
          <w:p w:rsidR="00B01865" w:rsidRDefault="00B01865" w:rsidP="00B01865">
            <w:pPr>
              <w:spacing w:after="0"/>
              <w:ind w:firstLine="0"/>
              <w:jc w:val="right"/>
              <w:rPr>
                <w:rFonts w:ascii="Arial" w:hAnsi="Arial" w:cs="Arial"/>
                <w:bCs/>
                <w:color w:val="000000"/>
                <w:sz w:val="18"/>
                <w:szCs w:val="18"/>
                <w:lang w:val="es-ES" w:eastAsia="es-ES"/>
              </w:rPr>
            </w:pPr>
            <w:r w:rsidRPr="00B01865">
              <w:rPr>
                <w:rFonts w:ascii="Arial" w:hAnsi="Arial" w:cs="Arial"/>
                <w:bCs/>
                <w:color w:val="000000"/>
                <w:sz w:val="18"/>
                <w:szCs w:val="18"/>
                <w:lang w:val="es-ES" w:eastAsia="es-ES"/>
              </w:rPr>
              <w:t xml:space="preserve">Financiadas </w:t>
            </w:r>
          </w:p>
          <w:p w:rsidR="00B01865" w:rsidRPr="00B01865" w:rsidRDefault="00B01865" w:rsidP="00B01865">
            <w:pPr>
              <w:spacing w:after="0"/>
              <w:ind w:firstLine="0"/>
              <w:jc w:val="right"/>
              <w:rPr>
                <w:rFonts w:ascii="Arial" w:hAnsi="Arial" w:cs="Arial"/>
                <w:bCs/>
                <w:color w:val="000000"/>
                <w:sz w:val="18"/>
                <w:szCs w:val="18"/>
                <w:lang w:val="es-ES" w:eastAsia="es-ES"/>
              </w:rPr>
            </w:pPr>
            <w:r w:rsidRPr="00B01865">
              <w:rPr>
                <w:rFonts w:ascii="Arial" w:hAnsi="Arial" w:cs="Arial"/>
                <w:bCs/>
                <w:color w:val="000000"/>
                <w:sz w:val="18"/>
                <w:szCs w:val="18"/>
                <w:lang w:val="es-ES" w:eastAsia="es-ES"/>
              </w:rPr>
              <w:t xml:space="preserve">con </w:t>
            </w:r>
            <w:proofErr w:type="spellStart"/>
            <w:r w:rsidRPr="00B01865">
              <w:rPr>
                <w:rFonts w:ascii="Arial" w:hAnsi="Arial" w:cs="Arial"/>
                <w:bCs/>
                <w:color w:val="000000"/>
                <w:sz w:val="18"/>
                <w:szCs w:val="18"/>
                <w:lang w:val="es-ES" w:eastAsia="es-ES"/>
              </w:rPr>
              <w:t>minor</w:t>
            </w:r>
            <w:proofErr w:type="spellEnd"/>
            <w:r w:rsidRPr="00B01865">
              <w:rPr>
                <w:rFonts w:ascii="Arial" w:hAnsi="Arial" w:cs="Arial"/>
                <w:bCs/>
                <w:color w:val="000000"/>
                <w:sz w:val="18"/>
                <w:szCs w:val="18"/>
                <w:lang w:val="es-ES" w:eastAsia="es-ES"/>
              </w:rPr>
              <w:t>. otros gastos</w:t>
            </w:r>
          </w:p>
        </w:tc>
      </w:tr>
      <w:tr w:rsidR="00B01865" w:rsidRPr="00B01865" w:rsidTr="00B01865">
        <w:trPr>
          <w:gridAfter w:val="1"/>
          <w:wAfter w:w="49" w:type="dxa"/>
          <w:trHeight w:val="198"/>
          <w:jc w:val="center"/>
        </w:trPr>
        <w:tc>
          <w:tcPr>
            <w:tcW w:w="2751" w:type="dxa"/>
            <w:tcBorders>
              <w:bottom w:val="single" w:sz="2" w:space="0" w:color="auto"/>
            </w:tcBorders>
            <w:vAlign w:val="center"/>
            <w:hideMark/>
          </w:tcPr>
          <w:p w:rsidR="00B01865" w:rsidRPr="00B01865" w:rsidRDefault="00B01865"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Ampliaciones de crédito</w:t>
            </w:r>
          </w:p>
        </w:tc>
        <w:tc>
          <w:tcPr>
            <w:tcW w:w="3639" w:type="dxa"/>
            <w:tcBorders>
              <w:bottom w:val="single" w:sz="2" w:space="0" w:color="auto"/>
            </w:tcBorders>
            <w:vAlign w:val="center"/>
            <w:hideMark/>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35.029</w:t>
            </w:r>
          </w:p>
        </w:tc>
        <w:tc>
          <w:tcPr>
            <w:tcW w:w="2448" w:type="dxa"/>
            <w:tcBorders>
              <w:bottom w:val="single" w:sz="2" w:space="0" w:color="auto"/>
            </w:tcBorders>
            <w:vAlign w:val="center"/>
            <w:hideMark/>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64.243</w:t>
            </w:r>
          </w:p>
        </w:tc>
      </w:tr>
      <w:tr w:rsidR="00B01865" w:rsidRPr="00B01865" w:rsidTr="00B01865">
        <w:trPr>
          <w:gridAfter w:val="1"/>
          <w:wAfter w:w="49" w:type="dxa"/>
          <w:trHeight w:val="198"/>
          <w:jc w:val="center"/>
        </w:trPr>
        <w:tc>
          <w:tcPr>
            <w:tcW w:w="2751" w:type="dxa"/>
            <w:tcBorders>
              <w:top w:val="single" w:sz="2" w:space="0" w:color="auto"/>
              <w:bottom w:val="single" w:sz="2" w:space="0" w:color="auto"/>
            </w:tcBorders>
            <w:vAlign w:val="center"/>
            <w:hideMark/>
          </w:tcPr>
          <w:p w:rsidR="00B01865" w:rsidRPr="00B01865" w:rsidRDefault="00B01865"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Generaciones de crédito</w:t>
            </w:r>
          </w:p>
        </w:tc>
        <w:tc>
          <w:tcPr>
            <w:tcW w:w="3639" w:type="dxa"/>
            <w:tcBorders>
              <w:top w:val="single" w:sz="2" w:space="0" w:color="auto"/>
              <w:bottom w:val="single" w:sz="2" w:space="0" w:color="auto"/>
            </w:tcBorders>
            <w:vAlign w:val="center"/>
            <w:hideMark/>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28.824</w:t>
            </w:r>
          </w:p>
        </w:tc>
        <w:tc>
          <w:tcPr>
            <w:tcW w:w="2448" w:type="dxa"/>
            <w:tcBorders>
              <w:top w:val="single" w:sz="2" w:space="0" w:color="auto"/>
              <w:bottom w:val="single" w:sz="2" w:space="0" w:color="auto"/>
            </w:tcBorders>
            <w:vAlign w:val="center"/>
            <w:hideMark/>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0</w:t>
            </w:r>
          </w:p>
        </w:tc>
      </w:tr>
      <w:tr w:rsidR="00B01865" w:rsidRPr="00B01865" w:rsidTr="00B01865">
        <w:trPr>
          <w:gridAfter w:val="1"/>
          <w:wAfter w:w="49" w:type="dxa"/>
          <w:trHeight w:val="198"/>
          <w:jc w:val="center"/>
        </w:trPr>
        <w:tc>
          <w:tcPr>
            <w:tcW w:w="2751" w:type="dxa"/>
            <w:tcBorders>
              <w:top w:val="single" w:sz="2" w:space="0" w:color="auto"/>
            </w:tcBorders>
            <w:vAlign w:val="center"/>
            <w:hideMark/>
          </w:tcPr>
          <w:p w:rsidR="00B01865" w:rsidRPr="00B01865" w:rsidRDefault="00B01865"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Incorporaciones de crédito</w:t>
            </w:r>
          </w:p>
        </w:tc>
        <w:tc>
          <w:tcPr>
            <w:tcW w:w="3639" w:type="dxa"/>
            <w:tcBorders>
              <w:top w:val="single" w:sz="2" w:space="0" w:color="auto"/>
            </w:tcBorders>
            <w:noWrap/>
            <w:vAlign w:val="center"/>
            <w:hideMark/>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0</w:t>
            </w:r>
          </w:p>
        </w:tc>
        <w:tc>
          <w:tcPr>
            <w:tcW w:w="2448" w:type="dxa"/>
            <w:tcBorders>
              <w:top w:val="single" w:sz="2" w:space="0" w:color="auto"/>
            </w:tcBorders>
            <w:noWrap/>
            <w:vAlign w:val="center"/>
            <w:hideMark/>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146</w:t>
            </w:r>
          </w:p>
        </w:tc>
      </w:tr>
      <w:tr w:rsidR="00B01865" w:rsidRPr="00B01865" w:rsidTr="00B01865">
        <w:trPr>
          <w:gridAfter w:val="1"/>
          <w:wAfter w:w="49" w:type="dxa"/>
          <w:trHeight w:val="198"/>
          <w:jc w:val="center"/>
        </w:trPr>
        <w:tc>
          <w:tcPr>
            <w:tcW w:w="2751" w:type="dxa"/>
            <w:tcBorders>
              <w:top w:val="single" w:sz="2" w:space="0" w:color="auto"/>
            </w:tcBorders>
            <w:vAlign w:val="center"/>
          </w:tcPr>
          <w:p w:rsidR="00B01865" w:rsidRPr="00B01865" w:rsidRDefault="00B01865"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Suplementos de crédito</w:t>
            </w:r>
          </w:p>
        </w:tc>
        <w:tc>
          <w:tcPr>
            <w:tcW w:w="3639" w:type="dxa"/>
            <w:tcBorders>
              <w:top w:val="single" w:sz="2" w:space="0" w:color="auto"/>
            </w:tcBorders>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0</w:t>
            </w:r>
          </w:p>
        </w:tc>
        <w:tc>
          <w:tcPr>
            <w:tcW w:w="2448" w:type="dxa"/>
            <w:tcBorders>
              <w:top w:val="single" w:sz="2" w:space="0" w:color="auto"/>
            </w:tcBorders>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16</w:t>
            </w:r>
          </w:p>
        </w:tc>
      </w:tr>
      <w:tr w:rsidR="00B01865" w:rsidRPr="00B01865" w:rsidTr="00B01865">
        <w:trPr>
          <w:gridAfter w:val="1"/>
          <w:wAfter w:w="49" w:type="dxa"/>
          <w:trHeight w:val="198"/>
          <w:jc w:val="center"/>
        </w:trPr>
        <w:tc>
          <w:tcPr>
            <w:tcW w:w="2751" w:type="dxa"/>
            <w:tcBorders>
              <w:top w:val="single" w:sz="2" w:space="0" w:color="auto"/>
            </w:tcBorders>
            <w:vAlign w:val="center"/>
          </w:tcPr>
          <w:p w:rsidR="00B01865" w:rsidRPr="00B01865" w:rsidRDefault="00B01865"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Créditos extraordinarios</w:t>
            </w:r>
          </w:p>
        </w:tc>
        <w:tc>
          <w:tcPr>
            <w:tcW w:w="3639" w:type="dxa"/>
            <w:tcBorders>
              <w:top w:val="single" w:sz="2" w:space="0" w:color="auto"/>
            </w:tcBorders>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25.000</w:t>
            </w:r>
          </w:p>
        </w:tc>
        <w:tc>
          <w:tcPr>
            <w:tcW w:w="2448" w:type="dxa"/>
            <w:tcBorders>
              <w:top w:val="single" w:sz="2" w:space="0" w:color="auto"/>
            </w:tcBorders>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544</w:t>
            </w:r>
          </w:p>
        </w:tc>
      </w:tr>
      <w:tr w:rsidR="00B01865" w:rsidRPr="00B01865" w:rsidTr="00B01865">
        <w:trPr>
          <w:gridAfter w:val="1"/>
          <w:wAfter w:w="49" w:type="dxa"/>
          <w:trHeight w:val="255"/>
          <w:jc w:val="center"/>
        </w:trPr>
        <w:tc>
          <w:tcPr>
            <w:tcW w:w="2751" w:type="dxa"/>
            <w:tcBorders>
              <w:top w:val="single" w:sz="2" w:space="0" w:color="auto"/>
            </w:tcBorders>
            <w:shd w:val="clear" w:color="auto" w:fill="8DB3E2" w:themeFill="text2" w:themeFillTint="66"/>
            <w:vAlign w:val="center"/>
          </w:tcPr>
          <w:p w:rsidR="00B01865" w:rsidRPr="00B01865" w:rsidRDefault="00B01865" w:rsidP="00B01865">
            <w:pPr>
              <w:spacing w:after="0"/>
              <w:ind w:firstLine="0"/>
              <w:jc w:val="left"/>
              <w:rPr>
                <w:rFonts w:ascii="Arial" w:hAnsi="Arial" w:cs="Arial"/>
                <w:sz w:val="18"/>
                <w:szCs w:val="18"/>
                <w:lang w:val="es-ES" w:eastAsia="es-ES"/>
              </w:rPr>
            </w:pPr>
            <w:r w:rsidRPr="00B01865">
              <w:rPr>
                <w:rFonts w:ascii="Arial" w:hAnsi="Arial" w:cs="Arial"/>
                <w:sz w:val="18"/>
                <w:szCs w:val="18"/>
                <w:lang w:val="es-ES" w:eastAsia="es-ES"/>
              </w:rPr>
              <w:t>Total 2017</w:t>
            </w:r>
          </w:p>
        </w:tc>
        <w:tc>
          <w:tcPr>
            <w:tcW w:w="3639" w:type="dxa"/>
            <w:tcBorders>
              <w:top w:val="single" w:sz="2" w:space="0" w:color="auto"/>
            </w:tcBorders>
            <w:shd w:val="clear" w:color="auto" w:fill="8DB3E2" w:themeFill="text2" w:themeFillTint="66"/>
            <w:noWrap/>
            <w:vAlign w:val="center"/>
          </w:tcPr>
          <w:p w:rsidR="00B01865" w:rsidRPr="00B01865" w:rsidRDefault="00B01865" w:rsidP="00B01865">
            <w:pPr>
              <w:spacing w:after="0"/>
              <w:ind w:firstLine="0"/>
              <w:jc w:val="right"/>
              <w:rPr>
                <w:rFonts w:ascii="Arial" w:hAnsi="Arial" w:cs="Arial"/>
                <w:sz w:val="18"/>
                <w:szCs w:val="18"/>
                <w:lang w:val="es-ES" w:eastAsia="es-ES"/>
              </w:rPr>
            </w:pPr>
            <w:r w:rsidRPr="00B01865">
              <w:rPr>
                <w:rFonts w:ascii="Arial" w:hAnsi="Arial" w:cs="Arial"/>
                <w:sz w:val="18"/>
                <w:szCs w:val="18"/>
                <w:lang w:val="es-ES" w:eastAsia="es-ES"/>
              </w:rPr>
              <w:t>88.853</w:t>
            </w:r>
          </w:p>
        </w:tc>
        <w:tc>
          <w:tcPr>
            <w:tcW w:w="2448" w:type="dxa"/>
            <w:tcBorders>
              <w:top w:val="single" w:sz="2" w:space="0" w:color="auto"/>
            </w:tcBorders>
            <w:shd w:val="clear" w:color="auto" w:fill="8DB3E2" w:themeFill="text2" w:themeFillTint="66"/>
            <w:noWrap/>
            <w:vAlign w:val="center"/>
          </w:tcPr>
          <w:p w:rsidR="00B01865" w:rsidRPr="00B01865" w:rsidRDefault="00B01865" w:rsidP="00B01865">
            <w:pPr>
              <w:spacing w:after="0"/>
              <w:ind w:firstLine="0"/>
              <w:jc w:val="right"/>
              <w:rPr>
                <w:rFonts w:ascii="Arial" w:hAnsi="Arial" w:cs="Arial"/>
                <w:sz w:val="18"/>
                <w:szCs w:val="18"/>
                <w:lang w:val="es-ES" w:eastAsia="es-ES"/>
              </w:rPr>
            </w:pPr>
            <w:r w:rsidRPr="00B01865">
              <w:rPr>
                <w:rFonts w:ascii="Arial" w:hAnsi="Arial" w:cs="Arial"/>
                <w:sz w:val="18"/>
                <w:szCs w:val="18"/>
                <w:lang w:val="es-ES" w:eastAsia="es-ES"/>
              </w:rPr>
              <w:t>64.949</w:t>
            </w:r>
          </w:p>
        </w:tc>
      </w:tr>
    </w:tbl>
    <w:p w:rsidR="00B01865" w:rsidRPr="00B01865" w:rsidRDefault="00B01865" w:rsidP="00B01865">
      <w:pPr>
        <w:pStyle w:val="texto"/>
        <w:spacing w:before="240"/>
        <w:rPr>
          <w:lang w:val="es-ES"/>
        </w:rPr>
      </w:pPr>
      <w:r w:rsidRPr="00B01865">
        <w:rPr>
          <w:lang w:val="es-ES"/>
        </w:rPr>
        <w:t>A efectos presupuestarios, solo las modificaciones financiadas con mayores ingresos implican una modificación del total de créditos del presupuesto. Ad</w:t>
      </w:r>
      <w:r w:rsidRPr="00B01865">
        <w:rPr>
          <w:lang w:val="es-ES"/>
        </w:rPr>
        <w:t>e</w:t>
      </w:r>
      <w:r w:rsidRPr="00B01865">
        <w:rPr>
          <w:lang w:val="es-ES"/>
        </w:rPr>
        <w:t>más, en el cuadro anterior no se incluyen las transferencias de créditos, ya que estas operaciones tampoco tienen efecto presupuestario sobre el importe total de créditos.</w:t>
      </w:r>
    </w:p>
    <w:p w:rsidR="00B01865" w:rsidRPr="00B01865" w:rsidRDefault="00B01865" w:rsidP="00B01865">
      <w:pPr>
        <w:pStyle w:val="texto"/>
        <w:rPr>
          <w:lang w:val="es-ES"/>
        </w:rPr>
      </w:pPr>
      <w:r w:rsidRPr="00B01865">
        <w:rPr>
          <w:lang w:val="es-ES"/>
        </w:rPr>
        <w:t>Por su parte, el Fondo de Contingencia previsto se utilizó en un 81 por ciento (9,58 millones de euros), por acuerdo del Gobierno de Navarra, para financiar dos indemnizaciones derivadas de las siguientes sentencias: expropiación y e</w:t>
      </w:r>
      <w:r w:rsidRPr="00B01865">
        <w:rPr>
          <w:lang w:val="es-ES"/>
        </w:rPr>
        <w:t>s</w:t>
      </w:r>
      <w:r w:rsidRPr="00B01865">
        <w:rPr>
          <w:lang w:val="es-ES"/>
        </w:rPr>
        <w:t xml:space="preserve">tablecimiento del justiprecio en la Ciudad del Transporte (nueve millones de euros que se sumaron a la contratación de un préstamo), y otra relacionada con </w:t>
      </w:r>
      <w:r w:rsidRPr="00B01865">
        <w:rPr>
          <w:lang w:val="es-ES"/>
        </w:rPr>
        <w:lastRenderedPageBreak/>
        <w:t xml:space="preserve">la ejecución de la fase 2 del Pabellón </w:t>
      </w:r>
      <w:proofErr w:type="spellStart"/>
      <w:r w:rsidRPr="00B01865">
        <w:rPr>
          <w:lang w:val="es-ES"/>
        </w:rPr>
        <w:t>Reyno</w:t>
      </w:r>
      <w:proofErr w:type="spellEnd"/>
      <w:r w:rsidRPr="00B01865">
        <w:rPr>
          <w:lang w:val="es-ES"/>
        </w:rPr>
        <w:t xml:space="preserve"> de Navarra (financiación íntegra por un total de 0,58 millones).</w:t>
      </w:r>
    </w:p>
    <w:p w:rsidR="00B01865" w:rsidRPr="00B01865" w:rsidRDefault="00B01865" w:rsidP="00B01865">
      <w:pPr>
        <w:pStyle w:val="texto"/>
        <w:rPr>
          <w:lang w:val="es-ES"/>
        </w:rPr>
      </w:pPr>
      <w:r w:rsidRPr="00B01865">
        <w:rPr>
          <w:lang w:val="es-ES"/>
        </w:rPr>
        <w:t>La Cámara de Comptos emitió, a solicitud del Parlamento y de acuerdo con la normativa vigente, informes de legalidad sobre las modificaciones pres</w:t>
      </w:r>
      <w:r w:rsidRPr="00B01865">
        <w:rPr>
          <w:lang w:val="es-ES"/>
        </w:rPr>
        <w:t>u</w:t>
      </w:r>
      <w:r w:rsidRPr="00B01865">
        <w:rPr>
          <w:lang w:val="es-ES"/>
        </w:rPr>
        <w:t>puestarias del ejercicio cuya competencia corresponde al consejero de Hacie</w:t>
      </w:r>
      <w:r w:rsidRPr="00B01865">
        <w:rPr>
          <w:lang w:val="es-ES"/>
        </w:rPr>
        <w:t>n</w:t>
      </w:r>
      <w:r w:rsidRPr="00B01865">
        <w:rPr>
          <w:lang w:val="es-ES"/>
        </w:rPr>
        <w:t>da, concluyendo que fueron aprobadas por el órgano competente y se respet</w:t>
      </w:r>
      <w:r w:rsidRPr="00B01865">
        <w:rPr>
          <w:lang w:val="es-ES"/>
        </w:rPr>
        <w:t>a</w:t>
      </w:r>
      <w:r w:rsidRPr="00B01865">
        <w:rPr>
          <w:lang w:val="es-ES"/>
        </w:rPr>
        <w:t>ron las limitaciones legales establecidas en la normativa presupuestaria aprob</w:t>
      </w:r>
      <w:r w:rsidRPr="00B01865">
        <w:rPr>
          <w:lang w:val="es-ES"/>
        </w:rPr>
        <w:t>a</w:t>
      </w:r>
      <w:r w:rsidRPr="00B01865">
        <w:rPr>
          <w:lang w:val="es-ES"/>
        </w:rPr>
        <w:t>da, entre ellas la pertinencia de las fuentes de financiación. El importe total de modificaciones informadas por esta Cámara ascendió a 169,12 millones.</w:t>
      </w:r>
    </w:p>
    <w:p w:rsidR="00B01865" w:rsidRPr="00B01865" w:rsidRDefault="00B01865" w:rsidP="00B01865">
      <w:pPr>
        <w:pStyle w:val="texto"/>
        <w:rPr>
          <w:lang w:val="es-ES"/>
        </w:rPr>
      </w:pPr>
      <w:r w:rsidRPr="00B01865">
        <w:rPr>
          <w:lang w:val="es-ES"/>
        </w:rPr>
        <w:t>Los créditos no disponibles a 31 de diciembre de 2017 ascienden a 1,92 m</w:t>
      </w:r>
      <w:r w:rsidRPr="00B01865">
        <w:rPr>
          <w:lang w:val="es-ES"/>
        </w:rPr>
        <w:t>i</w:t>
      </w:r>
      <w:r w:rsidRPr="00B01865">
        <w:rPr>
          <w:lang w:val="es-ES"/>
        </w:rPr>
        <w:t>llones de euros correspondientes al Departamento de Desarrollo Rural, Medio Ambiente</w:t>
      </w:r>
      <w:r w:rsidRPr="00B01865">
        <w:t xml:space="preserve"> y Administración Local.</w:t>
      </w:r>
      <w:r w:rsidRPr="00B01865">
        <w:rPr>
          <w:lang w:val="es-ES"/>
        </w:rPr>
        <w:t xml:space="preserve"> </w:t>
      </w:r>
    </w:p>
    <w:p w:rsidR="00E1691A" w:rsidRPr="00B01865" w:rsidRDefault="00E1691A" w:rsidP="00E1691A">
      <w:pPr>
        <w:spacing w:before="240" w:after="160"/>
        <w:ind w:firstLine="284"/>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t>Liquidación presupuestaria</w:t>
      </w:r>
    </w:p>
    <w:p w:rsidR="00D3747C" w:rsidRPr="00B01865" w:rsidRDefault="00D3747C" w:rsidP="00D3747C">
      <w:pPr>
        <w:pStyle w:val="texto"/>
        <w:rPr>
          <w:lang w:val="es-ES"/>
        </w:rPr>
      </w:pPr>
      <w:r>
        <w:rPr>
          <w:lang w:val="es-ES"/>
        </w:rPr>
        <w:t>Los créditos consolidados de gastos ascienden a 4.150,73 millones tras las modificaciones citadas en los párrafos anteriores.</w:t>
      </w:r>
      <w:r w:rsidRPr="00B01865">
        <w:rPr>
          <w:lang w:val="es-ES"/>
        </w:rPr>
        <w:t xml:space="preserve"> </w:t>
      </w:r>
    </w:p>
    <w:p w:rsidR="00E1691A" w:rsidRPr="00B01865" w:rsidRDefault="00E1691A" w:rsidP="00E1691A">
      <w:pPr>
        <w:pStyle w:val="texto"/>
        <w:rPr>
          <w:lang w:val="es-ES"/>
        </w:rPr>
      </w:pPr>
      <w:r w:rsidRPr="00B01865">
        <w:rPr>
          <w:lang w:val="es-ES"/>
        </w:rPr>
        <w:t>Las obligaciones reconocidas en 2017 suponen un importe de 3.983,75 m</w:t>
      </w:r>
      <w:r w:rsidRPr="00B01865">
        <w:rPr>
          <w:lang w:val="es-ES"/>
        </w:rPr>
        <w:t>i</w:t>
      </w:r>
      <w:r w:rsidRPr="00B01865">
        <w:rPr>
          <w:lang w:val="es-ES"/>
        </w:rPr>
        <w:t>llones, con un porcentaje de ejecución y pago del 96 por ciento</w:t>
      </w:r>
      <w:r>
        <w:rPr>
          <w:lang w:val="es-ES"/>
        </w:rPr>
        <w:t xml:space="preserve"> en ambos casos</w:t>
      </w:r>
      <w:r w:rsidRPr="00B01865">
        <w:rPr>
          <w:lang w:val="es-ES"/>
        </w:rPr>
        <w:t xml:space="preserve">. </w:t>
      </w:r>
    </w:p>
    <w:p w:rsidR="00E1691A" w:rsidRDefault="00E1691A" w:rsidP="00E1691A">
      <w:pPr>
        <w:pStyle w:val="texto"/>
        <w:rPr>
          <w:lang w:val="es-ES"/>
        </w:rPr>
      </w:pPr>
      <w:r w:rsidRPr="00B01865">
        <w:rPr>
          <w:lang w:val="es-ES"/>
        </w:rPr>
        <w:t>Los derechos reconocidos netos ascienden a 4.528,23 millones, con un grado de cumplimiento y de cobro del 109 y 93 por ciento respectivamente.</w:t>
      </w:r>
    </w:p>
    <w:p w:rsidR="00E1691A" w:rsidRPr="00B01865" w:rsidRDefault="00E1691A" w:rsidP="00E1691A">
      <w:pPr>
        <w:pStyle w:val="texto"/>
        <w:rPr>
          <w:lang w:val="es-ES"/>
        </w:rPr>
      </w:pPr>
      <w:r w:rsidRPr="00B01865">
        <w:rPr>
          <w:lang w:val="es-ES"/>
        </w:rPr>
        <w:t>Destacamos los siguientes aspectos:</w:t>
      </w:r>
    </w:p>
    <w:p w:rsidR="00E1691A" w:rsidRPr="00B01865" w:rsidRDefault="00E1691A" w:rsidP="00E1691A">
      <w:pPr>
        <w:numPr>
          <w:ilvl w:val="0"/>
          <w:numId w:val="2"/>
        </w:numPr>
        <w:tabs>
          <w:tab w:val="clear" w:pos="1948"/>
          <w:tab w:val="num" w:pos="300"/>
          <w:tab w:val="num" w:pos="360"/>
          <w:tab w:val="left" w:pos="480"/>
          <w:tab w:val="num" w:pos="600"/>
          <w:tab w:val="num" w:pos="720"/>
          <w:tab w:val="num" w:pos="1320"/>
        </w:tabs>
        <w:spacing w:after="240"/>
        <w:ind w:left="0" w:firstLine="289"/>
        <w:rPr>
          <w:rFonts w:cs="Arial"/>
          <w:spacing w:val="6"/>
          <w:sz w:val="26"/>
          <w:szCs w:val="24"/>
        </w:rPr>
      </w:pPr>
      <w:r w:rsidRPr="00B01865">
        <w:rPr>
          <w:rFonts w:cs="Arial"/>
          <w:spacing w:val="6"/>
          <w:sz w:val="26"/>
          <w:szCs w:val="24"/>
        </w:rPr>
        <w:t>Cada 100 euros gastados en 2017 se han destinado y financiado de la s</w:t>
      </w:r>
      <w:r w:rsidRPr="00B01865">
        <w:rPr>
          <w:rFonts w:cs="Arial"/>
          <w:spacing w:val="6"/>
          <w:sz w:val="26"/>
          <w:szCs w:val="24"/>
        </w:rPr>
        <w:t>i</w:t>
      </w:r>
      <w:r w:rsidRPr="00B01865">
        <w:rPr>
          <w:rFonts w:cs="Arial"/>
          <w:spacing w:val="6"/>
          <w:sz w:val="26"/>
          <w:szCs w:val="24"/>
        </w:rPr>
        <w:t>guiente manera:</w:t>
      </w:r>
    </w:p>
    <w:tbl>
      <w:tblPr>
        <w:tblW w:w="8846"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356"/>
        <w:gridCol w:w="1076"/>
        <w:gridCol w:w="1077"/>
        <w:gridCol w:w="2453"/>
        <w:gridCol w:w="869"/>
        <w:gridCol w:w="1015"/>
      </w:tblGrid>
      <w:tr w:rsidR="00E1691A" w:rsidRPr="00B01865" w:rsidTr="008C4202">
        <w:trPr>
          <w:trHeight w:val="255"/>
          <w:jc w:val="center"/>
        </w:trPr>
        <w:tc>
          <w:tcPr>
            <w:tcW w:w="2356" w:type="dxa"/>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firstLine="0"/>
              <w:contextualSpacing/>
              <w:rPr>
                <w:rFonts w:ascii="Arial" w:hAnsi="Arial" w:cs="Arial"/>
                <w:spacing w:val="6"/>
                <w:sz w:val="18"/>
                <w:szCs w:val="24"/>
              </w:rPr>
            </w:pPr>
            <w:r w:rsidRPr="00B01865">
              <w:rPr>
                <w:rFonts w:ascii="Arial" w:hAnsi="Arial" w:cs="Arial"/>
                <w:spacing w:val="6"/>
                <w:sz w:val="18"/>
                <w:szCs w:val="24"/>
              </w:rPr>
              <w:t>Naturaleza del gasto</w:t>
            </w:r>
          </w:p>
        </w:tc>
        <w:tc>
          <w:tcPr>
            <w:tcW w:w="1076" w:type="dxa"/>
            <w:tcBorders>
              <w:right w:val="nil"/>
            </w:tcBorders>
            <w:shd w:val="clear" w:color="auto" w:fill="8DB3E2" w:themeFill="text2" w:themeFillTint="66"/>
            <w:vAlign w:val="center"/>
          </w:tcPr>
          <w:p w:rsidR="00E1691A" w:rsidRDefault="00E1691A" w:rsidP="00E1691A">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cs="Arial"/>
                <w:spacing w:val="6"/>
                <w:sz w:val="18"/>
                <w:szCs w:val="24"/>
              </w:rPr>
              <w:t>Importe</w:t>
            </w:r>
          </w:p>
          <w:p w:rsidR="00E1691A" w:rsidRPr="00B01865" w:rsidRDefault="00E1691A" w:rsidP="00E1691A">
            <w:pPr>
              <w:keepLines/>
              <w:tabs>
                <w:tab w:val="left" w:pos="1212"/>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sidRPr="00B01865">
              <w:rPr>
                <w:rFonts w:ascii="Arial" w:hAnsi="Arial" w:cs="Arial"/>
                <w:spacing w:val="6"/>
                <w:sz w:val="18"/>
                <w:szCs w:val="24"/>
              </w:rPr>
              <w:t xml:space="preserve">2016 </w:t>
            </w:r>
          </w:p>
        </w:tc>
        <w:tc>
          <w:tcPr>
            <w:tcW w:w="1077" w:type="dxa"/>
            <w:tcBorders>
              <w:left w:val="nil"/>
              <w:right w:val="single" w:sz="2" w:space="0" w:color="auto"/>
            </w:tcBorders>
            <w:shd w:val="clear" w:color="auto" w:fill="8DB3E2" w:themeFill="text2" w:themeFillTint="66"/>
            <w:vAlign w:val="center"/>
          </w:tcPr>
          <w:p w:rsidR="00E1691A" w:rsidRDefault="00E1691A" w:rsidP="00E1691A">
            <w:pPr>
              <w:keepLines/>
              <w:tabs>
                <w:tab w:val="right" w:pos="2835"/>
                <w:tab w:val="right" w:pos="3969"/>
                <w:tab w:val="right" w:pos="5103"/>
                <w:tab w:val="right" w:pos="6237"/>
                <w:tab w:val="right" w:pos="7371"/>
              </w:tabs>
              <w:spacing w:after="0"/>
              <w:ind w:right="132" w:firstLine="0"/>
              <w:contextualSpacing/>
              <w:jc w:val="right"/>
              <w:rPr>
                <w:rFonts w:ascii="Arial" w:hAnsi="Arial" w:cs="Arial"/>
                <w:spacing w:val="6"/>
                <w:sz w:val="18"/>
                <w:szCs w:val="24"/>
              </w:rPr>
            </w:pPr>
            <w:r>
              <w:rPr>
                <w:rFonts w:ascii="Arial" w:hAnsi="Arial" w:cs="Arial"/>
                <w:spacing w:val="6"/>
                <w:sz w:val="18"/>
                <w:szCs w:val="24"/>
              </w:rPr>
              <w:t>Importe</w:t>
            </w:r>
          </w:p>
          <w:p w:rsidR="00E1691A" w:rsidRPr="00B01865" w:rsidRDefault="00E1691A" w:rsidP="00E1691A">
            <w:pPr>
              <w:keepLines/>
              <w:tabs>
                <w:tab w:val="right" w:pos="2835"/>
                <w:tab w:val="right" w:pos="3969"/>
                <w:tab w:val="right" w:pos="5103"/>
                <w:tab w:val="right" w:pos="6237"/>
                <w:tab w:val="right" w:pos="7371"/>
              </w:tabs>
              <w:spacing w:after="0"/>
              <w:ind w:right="132" w:firstLine="0"/>
              <w:contextualSpacing/>
              <w:jc w:val="right"/>
              <w:rPr>
                <w:rFonts w:ascii="Arial" w:hAnsi="Arial" w:cs="Arial"/>
                <w:spacing w:val="6"/>
                <w:sz w:val="18"/>
                <w:szCs w:val="24"/>
              </w:rPr>
            </w:pPr>
            <w:r w:rsidRPr="00B01865">
              <w:rPr>
                <w:rFonts w:ascii="Arial" w:hAnsi="Arial" w:cs="Arial"/>
                <w:spacing w:val="6"/>
                <w:sz w:val="18"/>
                <w:szCs w:val="24"/>
              </w:rPr>
              <w:t>2017</w:t>
            </w:r>
          </w:p>
        </w:tc>
        <w:tc>
          <w:tcPr>
            <w:tcW w:w="2453" w:type="dxa"/>
            <w:tcBorders>
              <w:left w:val="single" w:sz="2" w:space="0" w:color="auto"/>
            </w:tcBorders>
            <w:shd w:val="clear" w:color="auto" w:fill="8DB3E2" w:themeFill="text2" w:themeFillTint="66"/>
            <w:vAlign w:val="center"/>
          </w:tcPr>
          <w:p w:rsidR="00E1691A" w:rsidRPr="00B01865" w:rsidRDefault="00E1691A" w:rsidP="008C4202">
            <w:pPr>
              <w:keepLines/>
              <w:tabs>
                <w:tab w:val="right" w:pos="2835"/>
                <w:tab w:val="right" w:pos="3969"/>
                <w:tab w:val="right" w:pos="5103"/>
                <w:tab w:val="right" w:pos="6237"/>
                <w:tab w:val="right" w:pos="7371"/>
              </w:tabs>
              <w:spacing w:after="0"/>
              <w:ind w:left="32" w:firstLine="0"/>
              <w:contextualSpacing/>
              <w:jc w:val="left"/>
              <w:rPr>
                <w:rFonts w:ascii="Arial" w:hAnsi="Arial" w:cs="Arial"/>
                <w:spacing w:val="6"/>
                <w:sz w:val="18"/>
                <w:szCs w:val="24"/>
              </w:rPr>
            </w:pPr>
            <w:r w:rsidRPr="00B01865">
              <w:rPr>
                <w:rFonts w:ascii="Arial" w:hAnsi="Arial" w:cs="Arial"/>
                <w:spacing w:val="6"/>
                <w:sz w:val="18"/>
                <w:szCs w:val="24"/>
              </w:rPr>
              <w:t>Fuente de financiación</w:t>
            </w:r>
          </w:p>
        </w:tc>
        <w:tc>
          <w:tcPr>
            <w:tcW w:w="869" w:type="dxa"/>
            <w:shd w:val="clear" w:color="auto" w:fill="8DB3E2" w:themeFill="text2" w:themeFillTint="66"/>
            <w:vAlign w:val="center"/>
          </w:tcPr>
          <w:p w:rsidR="00E1691A" w:rsidRDefault="00E1691A" w:rsidP="00E1691A">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cs="Arial"/>
                <w:spacing w:val="6"/>
                <w:sz w:val="18"/>
                <w:szCs w:val="24"/>
              </w:rPr>
              <w:t>Importe</w:t>
            </w:r>
          </w:p>
          <w:p w:rsidR="00E1691A" w:rsidRPr="00B01865" w:rsidRDefault="00E1691A" w:rsidP="00E1691A">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sidRPr="00B01865">
              <w:rPr>
                <w:rFonts w:ascii="Arial" w:hAnsi="Arial" w:cs="Arial"/>
                <w:spacing w:val="6"/>
                <w:sz w:val="18"/>
                <w:szCs w:val="24"/>
              </w:rPr>
              <w:t>2016</w:t>
            </w:r>
          </w:p>
        </w:tc>
        <w:tc>
          <w:tcPr>
            <w:tcW w:w="1015" w:type="dxa"/>
            <w:shd w:val="clear" w:color="auto" w:fill="8DB3E2" w:themeFill="text2" w:themeFillTint="66"/>
            <w:vAlign w:val="center"/>
          </w:tcPr>
          <w:p w:rsidR="00E1691A" w:rsidRDefault="00E1691A" w:rsidP="00E1691A">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Pr>
                <w:rFonts w:ascii="Arial" w:hAnsi="Arial" w:cs="Arial"/>
                <w:spacing w:val="6"/>
                <w:sz w:val="18"/>
                <w:szCs w:val="24"/>
              </w:rPr>
              <w:t>Importe</w:t>
            </w:r>
          </w:p>
          <w:p w:rsidR="00E1691A" w:rsidRPr="00B01865" w:rsidRDefault="00E1691A" w:rsidP="00E1691A">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24"/>
              </w:rPr>
            </w:pPr>
            <w:r w:rsidRPr="00B01865">
              <w:rPr>
                <w:rFonts w:ascii="Arial" w:hAnsi="Arial" w:cs="Arial"/>
                <w:spacing w:val="6"/>
                <w:sz w:val="18"/>
                <w:szCs w:val="24"/>
              </w:rPr>
              <w:t>2017</w:t>
            </w:r>
          </w:p>
        </w:tc>
      </w:tr>
      <w:tr w:rsidR="00E1691A" w:rsidRPr="00B01865" w:rsidTr="008C4202">
        <w:trPr>
          <w:trHeight w:val="198"/>
          <w:jc w:val="center"/>
        </w:trPr>
        <w:tc>
          <w:tcPr>
            <w:tcW w:w="2356" w:type="dxa"/>
            <w:tcBorders>
              <w:bottom w:val="single" w:sz="2" w:space="0" w:color="auto"/>
            </w:tcBorders>
            <w:shd w:val="clear" w:color="auto" w:fill="auto"/>
            <w:vAlign w:val="center"/>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Personal</w:t>
            </w:r>
          </w:p>
        </w:tc>
        <w:tc>
          <w:tcPr>
            <w:tcW w:w="1076" w:type="dxa"/>
            <w:tcBorders>
              <w:bottom w:val="single" w:sz="2" w:space="0" w:color="auto"/>
              <w:right w:val="nil"/>
            </w:tcBorders>
            <w:shd w:val="clear" w:color="auto" w:fill="auto"/>
            <w:vAlign w:val="center"/>
          </w:tcPr>
          <w:p w:rsidR="00E1691A" w:rsidRPr="00B01865" w:rsidRDefault="00E1691A" w:rsidP="00E1691A">
            <w:pPr>
              <w:tabs>
                <w:tab w:val="left" w:pos="653"/>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30</w:t>
            </w:r>
          </w:p>
        </w:tc>
        <w:tc>
          <w:tcPr>
            <w:tcW w:w="1077" w:type="dxa"/>
            <w:tcBorders>
              <w:left w:val="nil"/>
              <w:bottom w:val="single" w:sz="2" w:space="0" w:color="auto"/>
              <w:right w:val="single" w:sz="2" w:space="0" w:color="auto"/>
            </w:tcBorders>
            <w:shd w:val="clear" w:color="auto" w:fill="auto"/>
            <w:vAlign w:val="center"/>
          </w:tcPr>
          <w:p w:rsidR="00E1691A" w:rsidRPr="00B01865" w:rsidRDefault="00E1691A" w:rsidP="00E1691A">
            <w:pPr>
              <w:tabs>
                <w:tab w:val="left" w:pos="1212"/>
                <w:tab w:val="left" w:pos="1296"/>
              </w:tabs>
              <w:spacing w:after="0"/>
              <w:ind w:right="132" w:firstLine="0"/>
              <w:jc w:val="right"/>
              <w:rPr>
                <w:rFonts w:ascii="Arial Narrow" w:hAnsi="Arial Narrow" w:cs="Arial"/>
                <w:lang w:val="es-ES" w:eastAsia="es-ES"/>
              </w:rPr>
            </w:pPr>
            <w:r w:rsidRPr="00B01865">
              <w:rPr>
                <w:rFonts w:ascii="Arial Narrow" w:hAnsi="Arial Narrow" w:cs="Arial"/>
                <w:lang w:val="es-ES" w:eastAsia="es-ES"/>
              </w:rPr>
              <w:t>31</w:t>
            </w:r>
          </w:p>
        </w:tc>
        <w:tc>
          <w:tcPr>
            <w:tcW w:w="2453" w:type="dxa"/>
            <w:tcBorders>
              <w:left w:val="single" w:sz="2" w:space="0" w:color="auto"/>
              <w:bottom w:val="single" w:sz="2" w:space="0" w:color="auto"/>
            </w:tcBorders>
            <w:shd w:val="clear" w:color="auto" w:fill="auto"/>
            <w:vAlign w:val="center"/>
          </w:tcPr>
          <w:p w:rsidR="00E1691A" w:rsidRPr="00B01865" w:rsidRDefault="00E1691A" w:rsidP="008C4202">
            <w:pPr>
              <w:spacing w:after="0"/>
              <w:ind w:left="32" w:firstLine="0"/>
              <w:jc w:val="left"/>
              <w:rPr>
                <w:rFonts w:ascii="Arial Narrow" w:hAnsi="Arial Narrow" w:cs="Arial"/>
                <w:lang w:val="es-ES" w:eastAsia="es-ES"/>
              </w:rPr>
            </w:pPr>
            <w:r w:rsidRPr="00B01865">
              <w:rPr>
                <w:rFonts w:ascii="Arial Narrow" w:hAnsi="Arial Narrow" w:cs="Arial"/>
                <w:lang w:val="es-ES" w:eastAsia="es-ES"/>
              </w:rPr>
              <w:t>Ingresos tributarios</w:t>
            </w:r>
          </w:p>
        </w:tc>
        <w:tc>
          <w:tcPr>
            <w:tcW w:w="869" w:type="dxa"/>
            <w:tcBorders>
              <w:bottom w:val="single" w:sz="2"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79</w:t>
            </w:r>
          </w:p>
        </w:tc>
        <w:tc>
          <w:tcPr>
            <w:tcW w:w="1015" w:type="dxa"/>
            <w:tcBorders>
              <w:bottom w:val="single" w:sz="2"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81</w:t>
            </w:r>
          </w:p>
        </w:tc>
      </w:tr>
      <w:tr w:rsidR="00E1691A" w:rsidRPr="00B01865" w:rsidTr="008C4202">
        <w:trPr>
          <w:trHeight w:val="198"/>
          <w:jc w:val="center"/>
        </w:trPr>
        <w:tc>
          <w:tcPr>
            <w:tcW w:w="2356" w:type="dxa"/>
            <w:tcBorders>
              <w:top w:val="single" w:sz="2" w:space="0" w:color="auto"/>
              <w:bottom w:val="single" w:sz="2" w:space="0" w:color="auto"/>
            </w:tcBorders>
            <w:shd w:val="clear" w:color="auto" w:fill="auto"/>
            <w:vAlign w:val="center"/>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Bienes corrientes y servicios</w:t>
            </w:r>
          </w:p>
        </w:tc>
        <w:tc>
          <w:tcPr>
            <w:tcW w:w="1076" w:type="dxa"/>
            <w:tcBorders>
              <w:top w:val="single" w:sz="2" w:space="0" w:color="auto"/>
              <w:bottom w:val="single" w:sz="2" w:space="0" w:color="auto"/>
              <w:right w:val="nil"/>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15</w:t>
            </w:r>
          </w:p>
        </w:tc>
        <w:tc>
          <w:tcPr>
            <w:tcW w:w="1077" w:type="dxa"/>
            <w:tcBorders>
              <w:top w:val="single" w:sz="2" w:space="0" w:color="auto"/>
              <w:left w:val="nil"/>
              <w:bottom w:val="single" w:sz="2" w:space="0" w:color="auto"/>
              <w:right w:val="single" w:sz="2" w:space="0" w:color="auto"/>
            </w:tcBorders>
            <w:shd w:val="clear" w:color="auto" w:fill="auto"/>
            <w:vAlign w:val="center"/>
          </w:tcPr>
          <w:p w:rsidR="00E1691A" w:rsidRPr="00B01865" w:rsidRDefault="00E1691A" w:rsidP="00E1691A">
            <w:pPr>
              <w:tabs>
                <w:tab w:val="left" w:pos="1212"/>
                <w:tab w:val="left" w:pos="1296"/>
              </w:tabs>
              <w:spacing w:after="0"/>
              <w:ind w:right="132" w:firstLine="0"/>
              <w:jc w:val="right"/>
              <w:rPr>
                <w:rFonts w:ascii="Arial Narrow" w:hAnsi="Arial Narrow" w:cs="Arial"/>
                <w:lang w:val="es-ES" w:eastAsia="es-ES"/>
              </w:rPr>
            </w:pPr>
            <w:r w:rsidRPr="00B01865">
              <w:rPr>
                <w:rFonts w:ascii="Arial Narrow" w:hAnsi="Arial Narrow" w:cs="Arial"/>
                <w:lang w:val="es-ES" w:eastAsia="es-ES"/>
              </w:rPr>
              <w:t>15</w:t>
            </w:r>
          </w:p>
        </w:tc>
        <w:tc>
          <w:tcPr>
            <w:tcW w:w="2453" w:type="dxa"/>
            <w:tcBorders>
              <w:top w:val="single" w:sz="2" w:space="0" w:color="auto"/>
              <w:left w:val="single" w:sz="2" w:space="0" w:color="auto"/>
              <w:bottom w:val="single" w:sz="2" w:space="0" w:color="auto"/>
            </w:tcBorders>
            <w:shd w:val="clear" w:color="auto" w:fill="auto"/>
            <w:vAlign w:val="center"/>
          </w:tcPr>
          <w:p w:rsidR="00E1691A" w:rsidRPr="00B01865" w:rsidRDefault="00E1691A" w:rsidP="008C4202">
            <w:pPr>
              <w:spacing w:after="0"/>
              <w:ind w:left="32" w:firstLine="0"/>
              <w:jc w:val="left"/>
              <w:rPr>
                <w:rFonts w:ascii="Arial Narrow" w:hAnsi="Arial Narrow" w:cs="Arial"/>
                <w:lang w:val="es-ES" w:eastAsia="es-ES"/>
              </w:rPr>
            </w:pPr>
            <w:r w:rsidRPr="00B01865">
              <w:rPr>
                <w:rFonts w:ascii="Arial Narrow" w:hAnsi="Arial Narrow" w:cs="Arial"/>
                <w:lang w:val="es-ES" w:eastAsia="es-ES"/>
              </w:rPr>
              <w:t>Ingresos por transferencias</w:t>
            </w:r>
          </w:p>
        </w:tc>
        <w:tc>
          <w:tcPr>
            <w:tcW w:w="869" w:type="dxa"/>
            <w:tcBorders>
              <w:top w:val="single" w:sz="2" w:space="0" w:color="auto"/>
              <w:bottom w:val="single" w:sz="2"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2</w:t>
            </w:r>
          </w:p>
        </w:tc>
        <w:tc>
          <w:tcPr>
            <w:tcW w:w="1015" w:type="dxa"/>
            <w:tcBorders>
              <w:top w:val="single" w:sz="2" w:space="0" w:color="auto"/>
              <w:bottom w:val="single" w:sz="2"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4</w:t>
            </w:r>
          </w:p>
        </w:tc>
      </w:tr>
      <w:tr w:rsidR="00E1691A" w:rsidRPr="00B01865" w:rsidTr="008C4202">
        <w:trPr>
          <w:trHeight w:val="198"/>
          <w:jc w:val="center"/>
        </w:trPr>
        <w:tc>
          <w:tcPr>
            <w:tcW w:w="2356" w:type="dxa"/>
            <w:tcBorders>
              <w:top w:val="single" w:sz="2" w:space="0" w:color="auto"/>
              <w:bottom w:val="single" w:sz="2" w:space="0" w:color="auto"/>
            </w:tcBorders>
            <w:shd w:val="clear" w:color="auto" w:fill="auto"/>
            <w:vAlign w:val="center"/>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Gastos transferencias</w:t>
            </w:r>
          </w:p>
        </w:tc>
        <w:tc>
          <w:tcPr>
            <w:tcW w:w="1076" w:type="dxa"/>
            <w:tcBorders>
              <w:top w:val="single" w:sz="2" w:space="0" w:color="auto"/>
              <w:bottom w:val="single" w:sz="2" w:space="0" w:color="auto"/>
              <w:right w:val="nil"/>
            </w:tcBorders>
            <w:shd w:val="clear" w:color="auto" w:fill="auto"/>
            <w:vAlign w:val="center"/>
          </w:tcPr>
          <w:p w:rsidR="00E1691A" w:rsidRPr="00B01865" w:rsidRDefault="00E1691A" w:rsidP="00E1691A">
            <w:pPr>
              <w:tabs>
                <w:tab w:val="left" w:pos="653"/>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38</w:t>
            </w:r>
          </w:p>
        </w:tc>
        <w:tc>
          <w:tcPr>
            <w:tcW w:w="1077" w:type="dxa"/>
            <w:tcBorders>
              <w:top w:val="single" w:sz="2" w:space="0" w:color="auto"/>
              <w:left w:val="nil"/>
              <w:bottom w:val="single" w:sz="2" w:space="0" w:color="auto"/>
              <w:right w:val="single" w:sz="2" w:space="0" w:color="auto"/>
            </w:tcBorders>
            <w:shd w:val="clear" w:color="auto" w:fill="auto"/>
            <w:vAlign w:val="center"/>
          </w:tcPr>
          <w:p w:rsidR="00E1691A" w:rsidRPr="00B01865" w:rsidRDefault="00E1691A" w:rsidP="00E1691A">
            <w:pPr>
              <w:tabs>
                <w:tab w:val="left" w:pos="1212"/>
                <w:tab w:val="left" w:pos="1296"/>
              </w:tabs>
              <w:spacing w:after="0"/>
              <w:ind w:right="132" w:firstLine="0"/>
              <w:jc w:val="right"/>
              <w:rPr>
                <w:rFonts w:ascii="Arial Narrow" w:hAnsi="Arial Narrow" w:cs="Arial"/>
                <w:lang w:val="es-ES" w:eastAsia="es-ES"/>
              </w:rPr>
            </w:pPr>
            <w:r w:rsidRPr="00B01865">
              <w:rPr>
                <w:rFonts w:ascii="Arial Narrow" w:hAnsi="Arial Narrow" w:cs="Arial"/>
                <w:lang w:val="es-ES" w:eastAsia="es-ES"/>
              </w:rPr>
              <w:t>40</w:t>
            </w:r>
          </w:p>
        </w:tc>
        <w:tc>
          <w:tcPr>
            <w:tcW w:w="2453" w:type="dxa"/>
            <w:tcBorders>
              <w:top w:val="single" w:sz="2" w:space="0" w:color="auto"/>
              <w:left w:val="single" w:sz="2" w:space="0" w:color="auto"/>
              <w:bottom w:val="single" w:sz="2" w:space="0" w:color="auto"/>
            </w:tcBorders>
            <w:shd w:val="clear" w:color="auto" w:fill="auto"/>
            <w:vAlign w:val="center"/>
          </w:tcPr>
          <w:p w:rsidR="00E1691A" w:rsidRPr="00B01865" w:rsidRDefault="00E1691A" w:rsidP="008C4202">
            <w:pPr>
              <w:spacing w:after="0"/>
              <w:ind w:left="32" w:firstLine="0"/>
              <w:jc w:val="left"/>
              <w:rPr>
                <w:rFonts w:ascii="Arial Narrow" w:hAnsi="Arial Narrow" w:cs="Arial"/>
                <w:lang w:val="es-ES" w:eastAsia="es-ES"/>
              </w:rPr>
            </w:pPr>
            <w:r w:rsidRPr="00B01865">
              <w:rPr>
                <w:rFonts w:ascii="Arial Narrow" w:hAnsi="Arial Narrow" w:cs="Arial"/>
                <w:lang w:val="es-ES" w:eastAsia="es-ES"/>
              </w:rPr>
              <w:t>Ingresos patrimoniales y otros</w:t>
            </w:r>
          </w:p>
        </w:tc>
        <w:tc>
          <w:tcPr>
            <w:tcW w:w="869" w:type="dxa"/>
            <w:tcBorders>
              <w:top w:val="single" w:sz="2" w:space="0" w:color="auto"/>
              <w:bottom w:val="single" w:sz="2"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5</w:t>
            </w:r>
          </w:p>
        </w:tc>
        <w:tc>
          <w:tcPr>
            <w:tcW w:w="1015" w:type="dxa"/>
            <w:tcBorders>
              <w:top w:val="single" w:sz="2" w:space="0" w:color="auto"/>
              <w:bottom w:val="single" w:sz="2"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4</w:t>
            </w:r>
          </w:p>
        </w:tc>
      </w:tr>
      <w:tr w:rsidR="00E1691A" w:rsidRPr="00B01865" w:rsidTr="008C4202">
        <w:trPr>
          <w:trHeight w:val="198"/>
          <w:jc w:val="center"/>
        </w:trPr>
        <w:tc>
          <w:tcPr>
            <w:tcW w:w="2356" w:type="dxa"/>
            <w:tcBorders>
              <w:top w:val="single" w:sz="2" w:space="0" w:color="auto"/>
              <w:bottom w:val="single" w:sz="2" w:space="0" w:color="auto"/>
            </w:tcBorders>
            <w:shd w:val="clear" w:color="auto" w:fill="auto"/>
            <w:vAlign w:val="center"/>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Inversiones reales</w:t>
            </w:r>
          </w:p>
        </w:tc>
        <w:tc>
          <w:tcPr>
            <w:tcW w:w="1076" w:type="dxa"/>
            <w:tcBorders>
              <w:top w:val="single" w:sz="2" w:space="0" w:color="auto"/>
              <w:bottom w:val="single" w:sz="2" w:space="0" w:color="auto"/>
              <w:right w:val="nil"/>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2</w:t>
            </w:r>
          </w:p>
        </w:tc>
        <w:tc>
          <w:tcPr>
            <w:tcW w:w="1077" w:type="dxa"/>
            <w:tcBorders>
              <w:top w:val="single" w:sz="2" w:space="0" w:color="auto"/>
              <w:left w:val="nil"/>
              <w:bottom w:val="single" w:sz="2" w:space="0" w:color="auto"/>
              <w:right w:val="single" w:sz="2" w:space="0" w:color="auto"/>
            </w:tcBorders>
            <w:shd w:val="clear" w:color="auto" w:fill="auto"/>
            <w:vAlign w:val="center"/>
          </w:tcPr>
          <w:p w:rsidR="00E1691A" w:rsidRPr="00B01865" w:rsidRDefault="00E1691A" w:rsidP="00E1691A">
            <w:pPr>
              <w:tabs>
                <w:tab w:val="left" w:pos="1212"/>
                <w:tab w:val="left" w:pos="1296"/>
              </w:tabs>
              <w:spacing w:after="0"/>
              <w:ind w:right="132" w:firstLine="0"/>
              <w:jc w:val="right"/>
              <w:rPr>
                <w:rFonts w:ascii="Arial Narrow" w:hAnsi="Arial Narrow" w:cs="Arial"/>
                <w:lang w:val="es-ES" w:eastAsia="es-ES"/>
              </w:rPr>
            </w:pPr>
            <w:r w:rsidRPr="00B01865">
              <w:rPr>
                <w:rFonts w:ascii="Arial Narrow" w:hAnsi="Arial Narrow" w:cs="Arial"/>
                <w:lang w:val="es-ES" w:eastAsia="es-ES"/>
              </w:rPr>
              <w:t>3</w:t>
            </w:r>
          </w:p>
        </w:tc>
        <w:tc>
          <w:tcPr>
            <w:tcW w:w="2453" w:type="dxa"/>
            <w:tcBorders>
              <w:top w:val="single" w:sz="2" w:space="0" w:color="auto"/>
              <w:left w:val="single" w:sz="2" w:space="0" w:color="auto"/>
              <w:bottom w:val="single" w:sz="2" w:space="0" w:color="auto"/>
            </w:tcBorders>
            <w:shd w:val="clear" w:color="auto" w:fill="auto"/>
            <w:vAlign w:val="center"/>
          </w:tcPr>
          <w:p w:rsidR="00E1691A" w:rsidRPr="00B01865" w:rsidRDefault="00E1691A" w:rsidP="008C4202">
            <w:pPr>
              <w:spacing w:after="0"/>
              <w:ind w:left="32" w:firstLine="0"/>
              <w:jc w:val="left"/>
              <w:rPr>
                <w:rFonts w:ascii="Arial Narrow" w:hAnsi="Arial Narrow" w:cs="Arial"/>
                <w:lang w:val="es-ES" w:eastAsia="es-ES"/>
              </w:rPr>
            </w:pPr>
            <w:r w:rsidRPr="00B01865">
              <w:rPr>
                <w:rFonts w:ascii="Arial Narrow" w:hAnsi="Arial Narrow" w:cs="Arial"/>
                <w:lang w:val="es-ES" w:eastAsia="es-ES"/>
              </w:rPr>
              <w:t>Endeudamiento</w:t>
            </w:r>
          </w:p>
        </w:tc>
        <w:tc>
          <w:tcPr>
            <w:tcW w:w="869" w:type="dxa"/>
            <w:tcBorders>
              <w:top w:val="single" w:sz="2" w:space="0" w:color="auto"/>
              <w:bottom w:val="single" w:sz="2"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14</w:t>
            </w:r>
          </w:p>
        </w:tc>
        <w:tc>
          <w:tcPr>
            <w:tcW w:w="1015" w:type="dxa"/>
            <w:tcBorders>
              <w:top w:val="single" w:sz="2" w:space="0" w:color="auto"/>
              <w:bottom w:val="single" w:sz="2"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11</w:t>
            </w:r>
          </w:p>
        </w:tc>
      </w:tr>
      <w:tr w:rsidR="00E1691A" w:rsidRPr="00B01865" w:rsidTr="008C4202">
        <w:trPr>
          <w:trHeight w:val="198"/>
          <w:jc w:val="center"/>
        </w:trPr>
        <w:tc>
          <w:tcPr>
            <w:tcW w:w="2356" w:type="dxa"/>
            <w:tcBorders>
              <w:top w:val="single" w:sz="2" w:space="0" w:color="auto"/>
              <w:bottom w:val="single" w:sz="2" w:space="0" w:color="auto"/>
            </w:tcBorders>
            <w:shd w:val="clear" w:color="auto" w:fill="auto"/>
            <w:vAlign w:val="center"/>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Carga financiera</w:t>
            </w:r>
          </w:p>
        </w:tc>
        <w:tc>
          <w:tcPr>
            <w:tcW w:w="1076" w:type="dxa"/>
            <w:tcBorders>
              <w:top w:val="single" w:sz="2" w:space="0" w:color="auto"/>
              <w:bottom w:val="single" w:sz="2" w:space="0" w:color="auto"/>
              <w:right w:val="nil"/>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13</w:t>
            </w:r>
          </w:p>
        </w:tc>
        <w:tc>
          <w:tcPr>
            <w:tcW w:w="1077" w:type="dxa"/>
            <w:tcBorders>
              <w:top w:val="single" w:sz="2" w:space="0" w:color="auto"/>
              <w:left w:val="nil"/>
              <w:bottom w:val="single" w:sz="2" w:space="0" w:color="auto"/>
              <w:right w:val="single" w:sz="2" w:space="0" w:color="auto"/>
            </w:tcBorders>
            <w:shd w:val="clear" w:color="auto" w:fill="auto"/>
            <w:vAlign w:val="center"/>
          </w:tcPr>
          <w:p w:rsidR="00E1691A" w:rsidRPr="00B01865" w:rsidRDefault="00E1691A" w:rsidP="00E1691A">
            <w:pPr>
              <w:tabs>
                <w:tab w:val="left" w:pos="1212"/>
                <w:tab w:val="left" w:pos="1296"/>
              </w:tabs>
              <w:spacing w:after="0"/>
              <w:ind w:right="132" w:firstLine="0"/>
              <w:jc w:val="right"/>
              <w:rPr>
                <w:rFonts w:ascii="Arial Narrow" w:hAnsi="Arial Narrow" w:cs="Arial"/>
                <w:lang w:val="es-ES" w:eastAsia="es-ES"/>
              </w:rPr>
            </w:pPr>
            <w:r w:rsidRPr="00B01865">
              <w:rPr>
                <w:rFonts w:ascii="Arial Narrow" w:hAnsi="Arial Narrow" w:cs="Arial"/>
                <w:lang w:val="es-ES" w:eastAsia="es-ES"/>
              </w:rPr>
              <w:t>9</w:t>
            </w:r>
          </w:p>
        </w:tc>
        <w:tc>
          <w:tcPr>
            <w:tcW w:w="2453" w:type="dxa"/>
            <w:tcBorders>
              <w:top w:val="single" w:sz="2" w:space="0" w:color="auto"/>
              <w:left w:val="single" w:sz="2" w:space="0" w:color="auto"/>
              <w:bottom w:val="single" w:sz="2" w:space="0" w:color="auto"/>
            </w:tcBorders>
            <w:shd w:val="clear" w:color="auto" w:fill="auto"/>
            <w:vAlign w:val="center"/>
          </w:tcPr>
          <w:p w:rsidR="00E1691A" w:rsidRPr="00B01865" w:rsidRDefault="00E1691A" w:rsidP="008C4202">
            <w:pPr>
              <w:spacing w:after="0"/>
              <w:ind w:left="32" w:firstLine="0"/>
              <w:jc w:val="left"/>
              <w:rPr>
                <w:rFonts w:ascii="Arial Narrow" w:hAnsi="Arial Narrow" w:cs="Arial"/>
                <w:lang w:val="es-ES" w:eastAsia="es-ES"/>
              </w:rPr>
            </w:pPr>
          </w:p>
        </w:tc>
        <w:tc>
          <w:tcPr>
            <w:tcW w:w="869" w:type="dxa"/>
            <w:tcBorders>
              <w:top w:val="single" w:sz="2" w:space="0" w:color="auto"/>
              <w:bottom w:val="single" w:sz="2"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p>
        </w:tc>
        <w:tc>
          <w:tcPr>
            <w:tcW w:w="1015" w:type="dxa"/>
            <w:tcBorders>
              <w:top w:val="single" w:sz="2" w:space="0" w:color="auto"/>
              <w:bottom w:val="single" w:sz="2"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p>
        </w:tc>
      </w:tr>
      <w:tr w:rsidR="00E1691A" w:rsidRPr="00B01865" w:rsidTr="008C4202">
        <w:trPr>
          <w:trHeight w:val="198"/>
          <w:jc w:val="center"/>
        </w:trPr>
        <w:tc>
          <w:tcPr>
            <w:tcW w:w="2356" w:type="dxa"/>
            <w:tcBorders>
              <w:top w:val="single" w:sz="2" w:space="0" w:color="auto"/>
              <w:bottom w:val="single" w:sz="4" w:space="0" w:color="auto"/>
            </w:tcBorders>
            <w:shd w:val="clear" w:color="auto" w:fill="auto"/>
            <w:vAlign w:val="center"/>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Activos financieros</w:t>
            </w:r>
          </w:p>
        </w:tc>
        <w:tc>
          <w:tcPr>
            <w:tcW w:w="1076" w:type="dxa"/>
            <w:tcBorders>
              <w:top w:val="single" w:sz="2" w:space="0" w:color="auto"/>
              <w:bottom w:val="single" w:sz="4" w:space="0" w:color="auto"/>
              <w:right w:val="nil"/>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2</w:t>
            </w:r>
          </w:p>
        </w:tc>
        <w:tc>
          <w:tcPr>
            <w:tcW w:w="1077" w:type="dxa"/>
            <w:tcBorders>
              <w:top w:val="single" w:sz="2" w:space="0" w:color="auto"/>
              <w:left w:val="nil"/>
              <w:bottom w:val="single" w:sz="4" w:space="0" w:color="auto"/>
              <w:right w:val="single" w:sz="2" w:space="0" w:color="auto"/>
            </w:tcBorders>
            <w:shd w:val="clear" w:color="auto" w:fill="auto"/>
            <w:vAlign w:val="center"/>
          </w:tcPr>
          <w:p w:rsidR="00E1691A" w:rsidRPr="00B01865" w:rsidRDefault="00E1691A" w:rsidP="00E1691A">
            <w:pPr>
              <w:tabs>
                <w:tab w:val="left" w:pos="1212"/>
                <w:tab w:val="left" w:pos="1296"/>
              </w:tabs>
              <w:spacing w:after="0"/>
              <w:ind w:right="132" w:firstLine="0"/>
              <w:jc w:val="right"/>
              <w:rPr>
                <w:rFonts w:ascii="Arial Narrow" w:hAnsi="Arial Narrow" w:cs="Arial"/>
                <w:lang w:val="es-ES" w:eastAsia="es-ES"/>
              </w:rPr>
            </w:pPr>
            <w:r w:rsidRPr="00B01865">
              <w:rPr>
                <w:rFonts w:ascii="Arial Narrow" w:hAnsi="Arial Narrow" w:cs="Arial"/>
                <w:lang w:val="es-ES" w:eastAsia="es-ES"/>
              </w:rPr>
              <w:t>2</w:t>
            </w:r>
          </w:p>
        </w:tc>
        <w:tc>
          <w:tcPr>
            <w:tcW w:w="2453" w:type="dxa"/>
            <w:tcBorders>
              <w:top w:val="single" w:sz="2" w:space="0" w:color="auto"/>
              <w:left w:val="single" w:sz="2" w:space="0" w:color="auto"/>
              <w:bottom w:val="single" w:sz="4" w:space="0" w:color="auto"/>
            </w:tcBorders>
            <w:shd w:val="clear" w:color="auto" w:fill="auto"/>
            <w:vAlign w:val="center"/>
          </w:tcPr>
          <w:p w:rsidR="00E1691A" w:rsidRPr="00B01865" w:rsidRDefault="00E1691A" w:rsidP="008C4202">
            <w:pPr>
              <w:spacing w:after="0"/>
              <w:ind w:left="32" w:firstLine="0"/>
              <w:jc w:val="left"/>
              <w:rPr>
                <w:rFonts w:ascii="Arial Narrow" w:hAnsi="Arial Narrow" w:cs="Arial"/>
                <w:lang w:val="es-ES" w:eastAsia="es-ES"/>
              </w:rPr>
            </w:pPr>
          </w:p>
        </w:tc>
        <w:tc>
          <w:tcPr>
            <w:tcW w:w="869" w:type="dxa"/>
            <w:tcBorders>
              <w:top w:val="single" w:sz="2" w:space="0" w:color="auto"/>
              <w:bottom w:val="single" w:sz="4"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p>
        </w:tc>
        <w:tc>
          <w:tcPr>
            <w:tcW w:w="1015" w:type="dxa"/>
            <w:tcBorders>
              <w:top w:val="single" w:sz="2" w:space="0" w:color="auto"/>
              <w:bottom w:val="single" w:sz="4" w:space="0" w:color="auto"/>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p>
        </w:tc>
      </w:tr>
      <w:tr w:rsidR="00E1691A" w:rsidRPr="00B01865" w:rsidTr="008C4202">
        <w:trPr>
          <w:trHeight w:val="255"/>
          <w:jc w:val="center"/>
        </w:trPr>
        <w:tc>
          <w:tcPr>
            <w:tcW w:w="2356" w:type="dxa"/>
            <w:tcBorders>
              <w:top w:val="single" w:sz="4" w:space="0" w:color="auto"/>
            </w:tcBorders>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firstLine="0"/>
              <w:rPr>
                <w:rFonts w:ascii="Arial" w:hAnsi="Arial"/>
                <w:spacing w:val="6"/>
                <w:sz w:val="18"/>
                <w:szCs w:val="24"/>
                <w:lang w:val="es-ES" w:eastAsia="es-ES"/>
              </w:rPr>
            </w:pPr>
          </w:p>
        </w:tc>
        <w:tc>
          <w:tcPr>
            <w:tcW w:w="1076" w:type="dxa"/>
            <w:tcBorders>
              <w:top w:val="single" w:sz="4" w:space="0" w:color="auto"/>
              <w:right w:val="nil"/>
            </w:tcBorders>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right="1" w:firstLine="0"/>
              <w:jc w:val="right"/>
              <w:rPr>
                <w:rFonts w:ascii="Arial" w:hAnsi="Arial"/>
                <w:spacing w:val="6"/>
                <w:sz w:val="18"/>
                <w:szCs w:val="24"/>
                <w:lang w:val="es-ES" w:eastAsia="es-ES"/>
              </w:rPr>
            </w:pPr>
            <w:r w:rsidRPr="00B01865">
              <w:rPr>
                <w:rFonts w:ascii="Arial" w:hAnsi="Arial"/>
                <w:spacing w:val="6"/>
                <w:sz w:val="18"/>
                <w:szCs w:val="24"/>
                <w:lang w:val="es-ES" w:eastAsia="es-ES"/>
              </w:rPr>
              <w:t>100</w:t>
            </w:r>
          </w:p>
        </w:tc>
        <w:tc>
          <w:tcPr>
            <w:tcW w:w="1077" w:type="dxa"/>
            <w:tcBorders>
              <w:top w:val="single" w:sz="4" w:space="0" w:color="auto"/>
              <w:left w:val="nil"/>
              <w:right w:val="single" w:sz="2" w:space="0" w:color="auto"/>
            </w:tcBorders>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right="132" w:firstLine="0"/>
              <w:jc w:val="right"/>
              <w:rPr>
                <w:rFonts w:ascii="Arial" w:hAnsi="Arial"/>
                <w:spacing w:val="6"/>
                <w:sz w:val="18"/>
                <w:szCs w:val="24"/>
                <w:lang w:val="es-ES" w:eastAsia="es-ES"/>
              </w:rPr>
            </w:pPr>
            <w:r w:rsidRPr="00B01865">
              <w:rPr>
                <w:rFonts w:ascii="Arial" w:hAnsi="Arial"/>
                <w:spacing w:val="6"/>
                <w:sz w:val="18"/>
                <w:szCs w:val="24"/>
                <w:lang w:val="es-ES" w:eastAsia="es-ES"/>
              </w:rPr>
              <w:t>100</w:t>
            </w:r>
          </w:p>
        </w:tc>
        <w:tc>
          <w:tcPr>
            <w:tcW w:w="2453" w:type="dxa"/>
            <w:tcBorders>
              <w:top w:val="single" w:sz="4" w:space="0" w:color="auto"/>
              <w:left w:val="single" w:sz="2" w:space="0" w:color="auto"/>
            </w:tcBorders>
            <w:shd w:val="clear" w:color="auto" w:fill="8DB3E2" w:themeFill="text2" w:themeFillTint="66"/>
            <w:vAlign w:val="center"/>
          </w:tcPr>
          <w:p w:rsidR="00E1691A" w:rsidRPr="00B01865" w:rsidRDefault="00E1691A" w:rsidP="008C4202">
            <w:pPr>
              <w:keepLines/>
              <w:tabs>
                <w:tab w:val="right" w:pos="2835"/>
                <w:tab w:val="right" w:pos="3969"/>
                <w:tab w:val="right" w:pos="5103"/>
                <w:tab w:val="right" w:pos="6237"/>
                <w:tab w:val="right" w:pos="7371"/>
              </w:tabs>
              <w:spacing w:after="0"/>
              <w:ind w:left="32" w:firstLine="0"/>
              <w:rPr>
                <w:rFonts w:ascii="Arial" w:hAnsi="Arial"/>
                <w:spacing w:val="6"/>
                <w:sz w:val="18"/>
                <w:szCs w:val="24"/>
                <w:lang w:val="es-ES" w:eastAsia="es-ES"/>
              </w:rPr>
            </w:pPr>
          </w:p>
        </w:tc>
        <w:tc>
          <w:tcPr>
            <w:tcW w:w="869" w:type="dxa"/>
            <w:tcBorders>
              <w:top w:val="single" w:sz="4" w:space="0" w:color="auto"/>
            </w:tcBorders>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firstLine="0"/>
              <w:jc w:val="right"/>
              <w:rPr>
                <w:rFonts w:ascii="Arial" w:hAnsi="Arial"/>
                <w:spacing w:val="6"/>
                <w:sz w:val="18"/>
                <w:szCs w:val="24"/>
                <w:lang w:val="es-ES" w:eastAsia="es-ES"/>
              </w:rPr>
            </w:pPr>
            <w:r w:rsidRPr="00B01865">
              <w:rPr>
                <w:rFonts w:ascii="Arial" w:hAnsi="Arial"/>
                <w:spacing w:val="6"/>
                <w:sz w:val="18"/>
                <w:szCs w:val="24"/>
                <w:lang w:val="es-ES" w:eastAsia="es-ES"/>
              </w:rPr>
              <w:t>100</w:t>
            </w:r>
          </w:p>
        </w:tc>
        <w:tc>
          <w:tcPr>
            <w:tcW w:w="1015" w:type="dxa"/>
            <w:tcBorders>
              <w:top w:val="single" w:sz="4" w:space="0" w:color="auto"/>
            </w:tcBorders>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firstLine="0"/>
              <w:jc w:val="right"/>
              <w:rPr>
                <w:rFonts w:ascii="Arial" w:hAnsi="Arial"/>
                <w:spacing w:val="6"/>
                <w:sz w:val="18"/>
                <w:szCs w:val="24"/>
                <w:lang w:val="es-ES" w:eastAsia="es-ES"/>
              </w:rPr>
            </w:pPr>
            <w:r w:rsidRPr="00B01865">
              <w:rPr>
                <w:rFonts w:ascii="Arial" w:hAnsi="Arial"/>
                <w:spacing w:val="6"/>
                <w:sz w:val="18"/>
                <w:szCs w:val="24"/>
                <w:lang w:val="es-ES" w:eastAsia="es-ES"/>
              </w:rPr>
              <w:t>100</w:t>
            </w:r>
          </w:p>
        </w:tc>
      </w:tr>
    </w:tbl>
    <w:p w:rsidR="00844C81" w:rsidRPr="00844C81" w:rsidRDefault="00844C81" w:rsidP="00D043DA">
      <w:pPr>
        <w:pStyle w:val="texto"/>
        <w:spacing w:before="240"/>
        <w:rPr>
          <w:lang w:val="es-ES"/>
        </w:rPr>
      </w:pPr>
      <w:r w:rsidRPr="00844C81">
        <w:rPr>
          <w:lang w:val="es-ES"/>
        </w:rPr>
        <w:t>Como se observa, en 2017 la estructura de gasto no presenta variaciones si</w:t>
      </w:r>
      <w:r w:rsidRPr="00844C81">
        <w:rPr>
          <w:lang w:val="es-ES"/>
        </w:rPr>
        <w:t>g</w:t>
      </w:r>
      <w:r w:rsidRPr="00844C81">
        <w:rPr>
          <w:lang w:val="es-ES"/>
        </w:rPr>
        <w:t>nificativas, si bien los gastos en transferencias se incrementan en dos puntos porcentuales y la carga financiera disminuye en cuatro</w:t>
      </w:r>
      <w:r>
        <w:rPr>
          <w:lang w:val="es-ES"/>
        </w:rPr>
        <w:t>.</w:t>
      </w:r>
      <w:r w:rsidR="00D043DA">
        <w:rPr>
          <w:lang w:val="es-ES"/>
        </w:rPr>
        <w:t xml:space="preserve"> </w:t>
      </w:r>
      <w:r>
        <w:rPr>
          <w:lang w:val="es-ES"/>
        </w:rPr>
        <w:t>En cuanto a la financi</w:t>
      </w:r>
      <w:r>
        <w:rPr>
          <w:lang w:val="es-ES"/>
        </w:rPr>
        <w:t>a</w:t>
      </w:r>
      <w:r>
        <w:rPr>
          <w:lang w:val="es-ES"/>
        </w:rPr>
        <w:t>ción, los ingresos tributarios incrementan su aportación en dos puntos porce</w:t>
      </w:r>
      <w:r>
        <w:rPr>
          <w:lang w:val="es-ES"/>
        </w:rPr>
        <w:t>n</w:t>
      </w:r>
      <w:r>
        <w:rPr>
          <w:lang w:val="es-ES"/>
        </w:rPr>
        <w:t xml:space="preserve">tuales y el endeudamiento </w:t>
      </w:r>
      <w:r w:rsidR="00D043DA">
        <w:rPr>
          <w:lang w:val="es-ES"/>
        </w:rPr>
        <w:t xml:space="preserve">decrece en tres. </w:t>
      </w:r>
    </w:p>
    <w:p w:rsidR="00D3747C" w:rsidRDefault="00D3747C">
      <w:pPr>
        <w:spacing w:after="0"/>
        <w:ind w:firstLine="0"/>
        <w:jc w:val="left"/>
        <w:rPr>
          <w:rFonts w:cs="Arial"/>
          <w:spacing w:val="6"/>
          <w:sz w:val="26"/>
          <w:szCs w:val="24"/>
        </w:rPr>
      </w:pPr>
      <w:r>
        <w:rPr>
          <w:rFonts w:cs="Arial"/>
          <w:spacing w:val="6"/>
          <w:sz w:val="26"/>
          <w:szCs w:val="24"/>
        </w:rPr>
        <w:br w:type="page"/>
      </w:r>
    </w:p>
    <w:p w:rsidR="00E1691A" w:rsidRPr="00B01865" w:rsidRDefault="00E1691A" w:rsidP="00E1691A">
      <w:pPr>
        <w:numPr>
          <w:ilvl w:val="0"/>
          <w:numId w:val="2"/>
        </w:numPr>
        <w:tabs>
          <w:tab w:val="clear" w:pos="1948"/>
          <w:tab w:val="num" w:pos="300"/>
          <w:tab w:val="num" w:pos="360"/>
          <w:tab w:val="left" w:pos="480"/>
          <w:tab w:val="num" w:pos="600"/>
          <w:tab w:val="num" w:pos="720"/>
          <w:tab w:val="num" w:pos="1320"/>
        </w:tabs>
        <w:spacing w:before="240" w:after="120"/>
        <w:ind w:left="0" w:firstLine="289"/>
        <w:rPr>
          <w:rFonts w:cs="Arial"/>
          <w:spacing w:val="6"/>
          <w:sz w:val="26"/>
          <w:szCs w:val="24"/>
        </w:rPr>
      </w:pPr>
      <w:r w:rsidRPr="00B01865">
        <w:rPr>
          <w:rFonts w:cs="Arial"/>
          <w:spacing w:val="6"/>
          <w:sz w:val="26"/>
          <w:szCs w:val="24"/>
        </w:rPr>
        <w:lastRenderedPageBreak/>
        <w:t xml:space="preserve">El gasto presupuestario de 2017, atendiendo a su finalidad o función, fue el siguiente: </w:t>
      </w:r>
    </w:p>
    <w:tbl>
      <w:tblPr>
        <w:tblW w:w="8830" w:type="dxa"/>
        <w:jc w:val="center"/>
        <w:tblCellMar>
          <w:left w:w="70" w:type="dxa"/>
          <w:right w:w="70" w:type="dxa"/>
        </w:tblCellMar>
        <w:tblLook w:val="04A0" w:firstRow="1" w:lastRow="0" w:firstColumn="1" w:lastColumn="0" w:noHBand="0" w:noVBand="1"/>
      </w:tblPr>
      <w:tblGrid>
        <w:gridCol w:w="4709"/>
        <w:gridCol w:w="1417"/>
        <w:gridCol w:w="1418"/>
        <w:gridCol w:w="1286"/>
      </w:tblGrid>
      <w:tr w:rsidR="00E1691A" w:rsidRPr="00B01865" w:rsidTr="00E1691A">
        <w:trPr>
          <w:trHeight w:val="255"/>
          <w:jc w:val="center"/>
        </w:trPr>
        <w:tc>
          <w:tcPr>
            <w:tcW w:w="8830" w:type="dxa"/>
            <w:gridSpan w:val="4"/>
            <w:tcBorders>
              <w:left w:val="nil"/>
              <w:bottom w:val="single" w:sz="4" w:space="0" w:color="auto"/>
              <w:right w:val="nil"/>
            </w:tcBorders>
            <w:shd w:val="clear" w:color="auto" w:fill="auto"/>
            <w:noWrap/>
            <w:vAlign w:val="center"/>
          </w:tcPr>
          <w:p w:rsidR="00E1691A" w:rsidRPr="00B01865" w:rsidRDefault="00E1691A" w:rsidP="00E1691A">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B01865">
              <w:rPr>
                <w:rFonts w:ascii="Arial" w:hAnsi="Arial" w:cs="Arial"/>
                <w:spacing w:val="6"/>
                <w:sz w:val="17"/>
                <w:szCs w:val="17"/>
              </w:rPr>
              <w:t>(en miles de euros)</w:t>
            </w:r>
          </w:p>
        </w:tc>
      </w:tr>
      <w:tr w:rsidR="00E1691A" w:rsidRPr="00B01865" w:rsidTr="00E1691A">
        <w:trPr>
          <w:trHeight w:val="255"/>
          <w:jc w:val="center"/>
        </w:trPr>
        <w:tc>
          <w:tcPr>
            <w:tcW w:w="4709" w:type="dxa"/>
            <w:tcBorders>
              <w:top w:val="single" w:sz="4" w:space="0" w:color="auto"/>
              <w:left w:val="nil"/>
              <w:bottom w:val="single" w:sz="4" w:space="0" w:color="auto"/>
              <w:right w:val="nil"/>
            </w:tcBorders>
            <w:shd w:val="clear" w:color="auto" w:fill="8DB3E2" w:themeFill="text2" w:themeFillTint="66"/>
            <w:noWrap/>
            <w:vAlign w:val="center"/>
            <w:hideMark/>
          </w:tcPr>
          <w:p w:rsidR="00E1691A" w:rsidRPr="00B01865" w:rsidRDefault="00E1691A" w:rsidP="00E1691A">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sidRPr="00B01865">
              <w:rPr>
                <w:rFonts w:ascii="Arial" w:hAnsi="Arial" w:cs="Arial"/>
                <w:spacing w:val="6"/>
                <w:sz w:val="18"/>
                <w:szCs w:val="18"/>
              </w:rPr>
              <w:t>Política de gasto</w:t>
            </w:r>
          </w:p>
        </w:tc>
        <w:tc>
          <w:tcPr>
            <w:tcW w:w="1417" w:type="dxa"/>
            <w:tcBorders>
              <w:top w:val="single" w:sz="4" w:space="0" w:color="auto"/>
              <w:left w:val="nil"/>
              <w:bottom w:val="single" w:sz="4" w:space="0" w:color="auto"/>
              <w:right w:val="nil"/>
            </w:tcBorders>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Obligaciones 2016</w:t>
            </w:r>
          </w:p>
        </w:tc>
        <w:tc>
          <w:tcPr>
            <w:tcW w:w="1418" w:type="dxa"/>
            <w:tcBorders>
              <w:top w:val="single" w:sz="4" w:space="0" w:color="auto"/>
              <w:left w:val="nil"/>
              <w:bottom w:val="single" w:sz="4" w:space="0" w:color="auto"/>
              <w:right w:val="nil"/>
            </w:tcBorders>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Obligaciones 2017</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 variación 2017/2016</w:t>
            </w:r>
          </w:p>
        </w:tc>
      </w:tr>
      <w:tr w:rsidR="00E1691A" w:rsidRPr="00B01865" w:rsidTr="00E1691A">
        <w:trPr>
          <w:trHeight w:val="255"/>
          <w:jc w:val="center"/>
        </w:trPr>
        <w:tc>
          <w:tcPr>
            <w:tcW w:w="4709" w:type="dxa"/>
            <w:tcBorders>
              <w:top w:val="single" w:sz="4"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b/>
                <w:lang w:val="es-ES" w:eastAsia="es-ES"/>
              </w:rPr>
            </w:pPr>
            <w:r w:rsidRPr="00B01865">
              <w:rPr>
                <w:rFonts w:ascii="Arial Narrow" w:hAnsi="Arial Narrow" w:cs="Arial"/>
                <w:b/>
                <w:lang w:val="es-ES" w:eastAsia="es-ES"/>
              </w:rPr>
              <w:t>Servicios públicos básicos</w:t>
            </w:r>
          </w:p>
        </w:tc>
        <w:tc>
          <w:tcPr>
            <w:tcW w:w="1417" w:type="dxa"/>
            <w:tcBorders>
              <w:top w:val="single" w:sz="4"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lang w:val="es-ES" w:eastAsia="es-ES"/>
              </w:rPr>
            </w:pPr>
            <w:r w:rsidRPr="00B01865">
              <w:rPr>
                <w:rFonts w:ascii="Arial Narrow" w:hAnsi="Arial Narrow" w:cs="Arial"/>
                <w:b/>
                <w:lang w:val="es-ES" w:eastAsia="es-ES"/>
              </w:rPr>
              <w:t>118.271</w:t>
            </w:r>
          </w:p>
        </w:tc>
        <w:tc>
          <w:tcPr>
            <w:tcW w:w="1418" w:type="dxa"/>
            <w:tcBorders>
              <w:top w:val="single" w:sz="4"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lang w:val="es-ES" w:eastAsia="es-ES"/>
              </w:rPr>
            </w:pPr>
            <w:r w:rsidRPr="00B01865">
              <w:rPr>
                <w:rFonts w:ascii="Arial Narrow" w:hAnsi="Arial Narrow" w:cs="Arial"/>
                <w:b/>
                <w:lang w:val="es-ES" w:eastAsia="es-ES"/>
              </w:rPr>
              <w:t>124.482</w:t>
            </w:r>
          </w:p>
        </w:tc>
        <w:tc>
          <w:tcPr>
            <w:tcW w:w="1286" w:type="dxa"/>
            <w:tcBorders>
              <w:top w:val="single" w:sz="4"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lang w:val="es-ES" w:eastAsia="es-ES"/>
              </w:rPr>
            </w:pPr>
            <w:r w:rsidRPr="00B01865">
              <w:rPr>
                <w:rFonts w:ascii="Arial Narrow" w:hAnsi="Arial Narrow" w:cs="Arial"/>
                <w:b/>
                <w:lang w:val="es-ES" w:eastAsia="es-ES"/>
              </w:rPr>
              <w:t>5</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Justicia</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27.267</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28.254</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4</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Seguridad ciudadana e instituciones penitenciarias</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84.203</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87.501</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4</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Política exterior</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6.801</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8.727</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28</w:t>
            </w:r>
          </w:p>
        </w:tc>
      </w:tr>
      <w:tr w:rsidR="00E1691A" w:rsidRPr="00B01865" w:rsidTr="00E1691A">
        <w:trPr>
          <w:trHeight w:val="255"/>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b/>
                <w:lang w:val="es-ES" w:eastAsia="es-ES"/>
              </w:rPr>
            </w:pPr>
            <w:r w:rsidRPr="00B01865">
              <w:rPr>
                <w:rFonts w:ascii="Arial Narrow" w:hAnsi="Arial Narrow" w:cs="Arial"/>
                <w:b/>
                <w:lang w:val="es-ES" w:eastAsia="es-ES"/>
              </w:rPr>
              <w:t>Actuaciones de protección y promoción social</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lang w:val="es-ES" w:eastAsia="es-ES"/>
              </w:rPr>
            </w:pPr>
            <w:r w:rsidRPr="00B01865">
              <w:rPr>
                <w:rFonts w:ascii="Arial Narrow" w:hAnsi="Arial Narrow" w:cs="Arial"/>
                <w:b/>
                <w:lang w:val="es-ES" w:eastAsia="es-ES"/>
              </w:rPr>
              <w:t>467.972</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lang w:val="es-ES" w:eastAsia="es-ES"/>
              </w:rPr>
            </w:pPr>
            <w:r w:rsidRPr="00B01865">
              <w:rPr>
                <w:rFonts w:ascii="Arial Narrow" w:hAnsi="Arial Narrow" w:cs="Arial"/>
                <w:b/>
                <w:lang w:val="es-ES" w:eastAsia="es-ES"/>
              </w:rPr>
              <w:t>496.688</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lang w:val="es-ES" w:eastAsia="es-ES"/>
              </w:rPr>
            </w:pPr>
            <w:r w:rsidRPr="00B01865">
              <w:rPr>
                <w:rFonts w:ascii="Arial Narrow" w:hAnsi="Arial Narrow" w:cs="Arial"/>
                <w:b/>
                <w:lang w:val="es-ES" w:eastAsia="es-ES"/>
              </w:rPr>
              <w:t>6</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Pensiones</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100.217</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104.000</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4</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Otras prestaciones económicas</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2.202</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2.289</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4</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Servicios sociales y promoción social</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285.145</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302.283</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6</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Fomento del empleo</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41.681</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39.239</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-6</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Acceso a la vivienda y fomento de la edificación</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38.727</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48.877</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26</w:t>
            </w:r>
          </w:p>
        </w:tc>
      </w:tr>
      <w:tr w:rsidR="00E1691A" w:rsidRPr="00B01865" w:rsidTr="00E1691A">
        <w:trPr>
          <w:trHeight w:val="255"/>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b/>
                <w:lang w:val="es-ES" w:eastAsia="es-ES"/>
              </w:rPr>
            </w:pPr>
            <w:r w:rsidRPr="00B01865">
              <w:rPr>
                <w:rFonts w:ascii="Arial Narrow" w:hAnsi="Arial Narrow" w:cs="Arial"/>
                <w:b/>
                <w:lang w:val="es-ES" w:eastAsia="es-ES"/>
              </w:rPr>
              <w:t>Producción de bienes públicos de carácter preferente</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lang w:val="es-ES" w:eastAsia="es-ES"/>
              </w:rPr>
            </w:pPr>
            <w:r w:rsidRPr="00B01865">
              <w:rPr>
                <w:rFonts w:ascii="Arial Narrow" w:hAnsi="Arial Narrow" w:cs="Arial"/>
                <w:b/>
                <w:lang w:val="es-ES" w:eastAsia="es-ES"/>
              </w:rPr>
              <w:t>1.616.171</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lang w:val="es-ES" w:eastAsia="es-ES"/>
              </w:rPr>
            </w:pPr>
            <w:r w:rsidRPr="00B01865">
              <w:rPr>
                <w:rFonts w:ascii="Arial Narrow" w:hAnsi="Arial Narrow" w:cs="Arial"/>
                <w:b/>
                <w:lang w:val="es-ES" w:eastAsia="es-ES"/>
              </w:rPr>
              <w:t>1.700.637</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lang w:val="es-ES" w:eastAsia="es-ES"/>
              </w:rPr>
            </w:pPr>
            <w:r w:rsidRPr="00B01865">
              <w:rPr>
                <w:rFonts w:ascii="Arial Narrow" w:hAnsi="Arial Narrow" w:cs="Arial"/>
                <w:b/>
                <w:lang w:val="es-ES" w:eastAsia="es-ES"/>
              </w:rPr>
              <w:t>5</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Sanidad</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974.784</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1.017.696</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4</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Educación</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597.856</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634.791</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6</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Cultura</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43.531</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48.150</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11</w:t>
            </w:r>
          </w:p>
        </w:tc>
      </w:tr>
      <w:tr w:rsidR="00E1691A" w:rsidRPr="00B01865" w:rsidTr="00E1691A">
        <w:trPr>
          <w:trHeight w:val="255"/>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b/>
                <w:lang w:val="es-ES" w:eastAsia="es-ES"/>
              </w:rPr>
            </w:pPr>
            <w:r w:rsidRPr="00B01865">
              <w:rPr>
                <w:rFonts w:ascii="Arial Narrow" w:hAnsi="Arial Narrow" w:cs="Arial"/>
                <w:b/>
                <w:lang w:val="es-ES" w:eastAsia="es-ES"/>
              </w:rPr>
              <w:t>Actuaciones de carácter económico</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lang w:val="es-ES" w:eastAsia="es-ES"/>
              </w:rPr>
            </w:pPr>
            <w:r w:rsidRPr="00B01865">
              <w:rPr>
                <w:rFonts w:ascii="Arial Narrow" w:hAnsi="Arial Narrow" w:cs="Arial"/>
                <w:b/>
                <w:lang w:val="es-ES" w:eastAsia="es-ES"/>
              </w:rPr>
              <w:t>321.516</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lang w:val="es-ES" w:eastAsia="es-ES"/>
              </w:rPr>
            </w:pPr>
            <w:r w:rsidRPr="00B01865">
              <w:rPr>
                <w:rFonts w:ascii="Arial Narrow" w:hAnsi="Arial Narrow" w:cs="Arial"/>
                <w:b/>
                <w:lang w:val="es-ES" w:eastAsia="es-ES"/>
              </w:rPr>
              <w:t>351.277</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lang w:val="es-ES" w:eastAsia="es-ES"/>
              </w:rPr>
            </w:pPr>
            <w:r w:rsidRPr="00B01865">
              <w:rPr>
                <w:rFonts w:ascii="Arial Narrow" w:hAnsi="Arial Narrow" w:cs="Arial"/>
                <w:b/>
                <w:lang w:val="es-ES" w:eastAsia="es-ES"/>
              </w:rPr>
              <w:t>9</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Agricultura, ganadería y alimentación</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80.551</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77.560</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-4</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Industria y energía</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18.664</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14.275</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-24</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Comercio, Turismo y Pymes</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6.609</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7.161</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8</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Subvenciones al transporte</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24.172</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26.136</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8</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Infraestructuras</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121.713</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147.998</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22</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Investigación, desarrollo e innovación</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64.436</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71.957</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12</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Otras actuaciones de carácter económico</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5.371</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6.190</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15</w:t>
            </w:r>
          </w:p>
        </w:tc>
      </w:tr>
      <w:tr w:rsidR="00E1691A" w:rsidRPr="00B01865" w:rsidTr="00E1691A">
        <w:trPr>
          <w:trHeight w:val="255"/>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b/>
                <w:lang w:val="es-ES" w:eastAsia="es-ES"/>
              </w:rPr>
            </w:pPr>
            <w:r w:rsidRPr="00B01865">
              <w:rPr>
                <w:rFonts w:ascii="Arial Narrow" w:hAnsi="Arial Narrow" w:cs="Arial"/>
                <w:b/>
                <w:lang w:val="es-ES" w:eastAsia="es-ES"/>
              </w:rPr>
              <w:t>Actuaciones de carácter general</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lang w:val="es-ES" w:eastAsia="es-ES"/>
              </w:rPr>
            </w:pPr>
            <w:r w:rsidRPr="00B01865">
              <w:rPr>
                <w:rFonts w:ascii="Arial Narrow" w:hAnsi="Arial Narrow" w:cs="Arial"/>
                <w:b/>
                <w:lang w:val="es-ES" w:eastAsia="es-ES"/>
              </w:rPr>
              <w:t>1.442.669</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lang w:val="es-ES" w:eastAsia="es-ES"/>
              </w:rPr>
            </w:pPr>
            <w:r w:rsidRPr="00B01865">
              <w:rPr>
                <w:rFonts w:ascii="Arial Narrow" w:hAnsi="Arial Narrow" w:cs="Arial"/>
                <w:b/>
                <w:lang w:val="es-ES" w:eastAsia="es-ES"/>
              </w:rPr>
              <w:t>1.310.672</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b/>
                <w:lang w:val="es-ES" w:eastAsia="es-ES"/>
              </w:rPr>
            </w:pPr>
            <w:r w:rsidRPr="00B01865">
              <w:rPr>
                <w:rFonts w:ascii="Arial Narrow" w:hAnsi="Arial Narrow" w:cs="Arial"/>
                <w:b/>
                <w:lang w:val="es-ES" w:eastAsia="es-ES"/>
              </w:rPr>
              <w:t>-9</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Alta dirección</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17.746</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18.455</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4</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Servicios de carácter general</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100.977</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130.651</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29</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Administración financiera y tributaria</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18.708</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17.688</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-5</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Convenio Económico con el Estado</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541.107</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511.393</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-5</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Otros Convenios con el Estado</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8.500</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9.350</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10</w:t>
            </w:r>
          </w:p>
        </w:tc>
      </w:tr>
      <w:tr w:rsidR="00E1691A" w:rsidRPr="00B01865" w:rsidTr="00E1691A">
        <w:trPr>
          <w:trHeight w:val="198"/>
          <w:jc w:val="center"/>
        </w:trPr>
        <w:tc>
          <w:tcPr>
            <w:tcW w:w="4709"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Transferencias a administraciones locales</w:t>
            </w:r>
          </w:p>
        </w:tc>
        <w:tc>
          <w:tcPr>
            <w:tcW w:w="1417"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240.381</w:t>
            </w:r>
          </w:p>
        </w:tc>
        <w:tc>
          <w:tcPr>
            <w:tcW w:w="1418"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241.932</w:t>
            </w:r>
          </w:p>
        </w:tc>
        <w:tc>
          <w:tcPr>
            <w:tcW w:w="1286" w:type="dxa"/>
            <w:tcBorders>
              <w:top w:val="single" w:sz="2" w:space="0" w:color="auto"/>
              <w:left w:val="nil"/>
              <w:bottom w:val="single" w:sz="2"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1</w:t>
            </w:r>
          </w:p>
        </w:tc>
      </w:tr>
      <w:tr w:rsidR="00E1691A" w:rsidRPr="00B01865" w:rsidTr="00E1691A">
        <w:trPr>
          <w:trHeight w:val="198"/>
          <w:jc w:val="center"/>
        </w:trPr>
        <w:tc>
          <w:tcPr>
            <w:tcW w:w="4709" w:type="dxa"/>
            <w:tcBorders>
              <w:top w:val="single" w:sz="2" w:space="0" w:color="auto"/>
              <w:left w:val="nil"/>
              <w:bottom w:val="single" w:sz="4"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s="Arial"/>
                <w:lang w:val="es-ES" w:eastAsia="es-ES"/>
              </w:rPr>
            </w:pPr>
            <w:r w:rsidRPr="00B01865">
              <w:rPr>
                <w:rFonts w:ascii="Arial Narrow" w:hAnsi="Arial Narrow" w:cs="Arial"/>
                <w:lang w:val="es-ES" w:eastAsia="es-ES"/>
              </w:rPr>
              <w:t>Deuda pública</w:t>
            </w:r>
          </w:p>
        </w:tc>
        <w:tc>
          <w:tcPr>
            <w:tcW w:w="1417" w:type="dxa"/>
            <w:tcBorders>
              <w:top w:val="single" w:sz="2" w:space="0" w:color="auto"/>
              <w:left w:val="nil"/>
              <w:bottom w:val="single" w:sz="4" w:space="0" w:color="auto"/>
              <w:right w:val="nil"/>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515.250</w:t>
            </w:r>
          </w:p>
        </w:tc>
        <w:tc>
          <w:tcPr>
            <w:tcW w:w="1418" w:type="dxa"/>
            <w:tcBorders>
              <w:top w:val="single" w:sz="2" w:space="0" w:color="auto"/>
              <w:left w:val="nil"/>
              <w:bottom w:val="single" w:sz="4" w:space="0" w:color="auto"/>
              <w:right w:val="nil"/>
            </w:tcBorders>
            <w:shd w:val="clear" w:color="auto" w:fill="auto"/>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381.203</w:t>
            </w:r>
          </w:p>
        </w:tc>
        <w:tc>
          <w:tcPr>
            <w:tcW w:w="1286" w:type="dxa"/>
            <w:tcBorders>
              <w:top w:val="single" w:sz="2" w:space="0" w:color="auto"/>
              <w:left w:val="nil"/>
              <w:bottom w:val="single" w:sz="4" w:space="0" w:color="auto"/>
              <w:right w:val="nil"/>
            </w:tcBorders>
            <w:vAlign w:val="center"/>
          </w:tcPr>
          <w:p w:rsidR="00E1691A" w:rsidRPr="00B01865" w:rsidRDefault="00E1691A" w:rsidP="00E1691A">
            <w:pPr>
              <w:tabs>
                <w:tab w:val="left" w:pos="1212"/>
                <w:tab w:val="left" w:pos="1296"/>
              </w:tabs>
              <w:spacing w:after="0"/>
              <w:ind w:firstLine="0"/>
              <w:jc w:val="right"/>
              <w:rPr>
                <w:rFonts w:ascii="Arial Narrow" w:hAnsi="Arial Narrow" w:cs="Arial"/>
                <w:lang w:val="es-ES" w:eastAsia="es-ES"/>
              </w:rPr>
            </w:pPr>
            <w:r w:rsidRPr="00B01865">
              <w:rPr>
                <w:rFonts w:ascii="Arial Narrow" w:hAnsi="Arial Narrow" w:cs="Arial"/>
                <w:lang w:val="es-ES" w:eastAsia="es-ES"/>
              </w:rPr>
              <w:t>-26</w:t>
            </w:r>
          </w:p>
        </w:tc>
      </w:tr>
      <w:tr w:rsidR="00E1691A" w:rsidRPr="00B01865" w:rsidTr="00E1691A">
        <w:trPr>
          <w:trHeight w:val="255"/>
          <w:jc w:val="center"/>
        </w:trPr>
        <w:tc>
          <w:tcPr>
            <w:tcW w:w="4709" w:type="dxa"/>
            <w:tcBorders>
              <w:top w:val="single" w:sz="4" w:space="0" w:color="auto"/>
              <w:left w:val="nil"/>
              <w:bottom w:val="single" w:sz="4" w:space="0" w:color="auto"/>
              <w:right w:val="nil"/>
            </w:tcBorders>
            <w:shd w:val="clear" w:color="auto" w:fill="8DB3E2" w:themeFill="text2" w:themeFillTint="66"/>
            <w:noWrap/>
            <w:vAlign w:val="center"/>
            <w:hideMark/>
          </w:tcPr>
          <w:p w:rsidR="00E1691A" w:rsidRPr="00B01865" w:rsidRDefault="00E1691A" w:rsidP="00E1691A">
            <w:pPr>
              <w:keepLines/>
              <w:tabs>
                <w:tab w:val="right" w:pos="2835"/>
                <w:tab w:val="right" w:pos="3969"/>
                <w:tab w:val="right" w:pos="5103"/>
                <w:tab w:val="right" w:pos="6237"/>
                <w:tab w:val="right" w:pos="7371"/>
              </w:tabs>
              <w:spacing w:after="0"/>
              <w:ind w:firstLine="0"/>
              <w:rPr>
                <w:rFonts w:ascii="Arial" w:hAnsi="Arial" w:cs="Arial"/>
                <w:spacing w:val="6"/>
                <w:sz w:val="18"/>
                <w:szCs w:val="18"/>
              </w:rPr>
            </w:pPr>
            <w:r w:rsidRPr="00B01865">
              <w:rPr>
                <w:rFonts w:ascii="Arial" w:hAnsi="Arial" w:cs="Arial"/>
                <w:spacing w:val="6"/>
                <w:sz w:val="18"/>
                <w:szCs w:val="18"/>
              </w:rPr>
              <w:t>Total</w:t>
            </w:r>
          </w:p>
        </w:tc>
        <w:tc>
          <w:tcPr>
            <w:tcW w:w="1417" w:type="dxa"/>
            <w:tcBorders>
              <w:top w:val="single" w:sz="4" w:space="0" w:color="auto"/>
              <w:left w:val="nil"/>
              <w:bottom w:val="single" w:sz="4" w:space="0" w:color="auto"/>
              <w:right w:val="nil"/>
            </w:tcBorders>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3.966.599</w:t>
            </w:r>
          </w:p>
        </w:tc>
        <w:tc>
          <w:tcPr>
            <w:tcW w:w="1418" w:type="dxa"/>
            <w:tcBorders>
              <w:top w:val="single" w:sz="4" w:space="0" w:color="auto"/>
              <w:left w:val="nil"/>
              <w:bottom w:val="single" w:sz="4" w:space="0" w:color="auto"/>
              <w:right w:val="nil"/>
            </w:tcBorders>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3.983.755</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E1691A" w:rsidRPr="00B01865" w:rsidRDefault="00E1691A" w:rsidP="00E1691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0,4</w:t>
            </w:r>
          </w:p>
        </w:tc>
      </w:tr>
    </w:tbl>
    <w:p w:rsidR="00E1691A" w:rsidRPr="00B01865" w:rsidRDefault="00E1691A" w:rsidP="00E1691A">
      <w:pPr>
        <w:pStyle w:val="texto"/>
        <w:spacing w:before="240"/>
        <w:rPr>
          <w:lang w:val="es-ES"/>
        </w:rPr>
      </w:pPr>
      <w:r w:rsidRPr="00B01865">
        <w:rPr>
          <w:lang w:val="es-ES"/>
        </w:rPr>
        <w:t>En 2017, destaca el gasto en sanidad y en educación con el 26 y 16 por cie</w:t>
      </w:r>
      <w:r w:rsidRPr="00B01865">
        <w:rPr>
          <w:lang w:val="es-ES"/>
        </w:rPr>
        <w:t>n</w:t>
      </w:r>
      <w:r w:rsidRPr="00B01865">
        <w:rPr>
          <w:lang w:val="es-ES"/>
        </w:rPr>
        <w:t>to respectivamente del gasto total. Además, subrayamos el Convenio con el E</w:t>
      </w:r>
      <w:r w:rsidRPr="00B01865">
        <w:rPr>
          <w:lang w:val="es-ES"/>
        </w:rPr>
        <w:t>s</w:t>
      </w:r>
      <w:r w:rsidRPr="00B01865">
        <w:rPr>
          <w:lang w:val="es-ES"/>
        </w:rPr>
        <w:t xml:space="preserve">tado, la deuda pública y los servicios sociales y promoción social, que asumen el 13, diez y ocho por ciento, respectivamente. </w:t>
      </w:r>
    </w:p>
    <w:p w:rsidR="00E1691A" w:rsidRDefault="00E1691A" w:rsidP="00E1691A">
      <w:pPr>
        <w:pStyle w:val="texto"/>
        <w:rPr>
          <w:lang w:val="es-ES"/>
        </w:rPr>
      </w:pPr>
      <w:r w:rsidRPr="00B01865">
        <w:rPr>
          <w:lang w:val="es-ES"/>
        </w:rPr>
        <w:t>Sobre 2016, se observa un incremento del 29 por ciento en servicios gener</w:t>
      </w:r>
      <w:r w:rsidRPr="00B01865">
        <w:rPr>
          <w:lang w:val="es-ES"/>
        </w:rPr>
        <w:t>a</w:t>
      </w:r>
      <w:r w:rsidRPr="00B01865">
        <w:rPr>
          <w:lang w:val="es-ES"/>
        </w:rPr>
        <w:t xml:space="preserve">les, del 26 por ciento en el acceso a la vivienda y fomento de la edificación, del 22 por ciento en infraestructuras y del 11 por ciento en cultura; además, se ha reducido en un 26 por ciento el gasto en deuda pública, en un 24 por ciento el correspondiente a industria y energía, y en un cinco por ciento el Convenio con el Estado. </w:t>
      </w:r>
    </w:p>
    <w:p w:rsidR="00E1691A" w:rsidRDefault="00E1691A">
      <w:pPr>
        <w:spacing w:after="0"/>
        <w:ind w:firstLine="0"/>
        <w:jc w:val="left"/>
        <w:rPr>
          <w:spacing w:val="6"/>
          <w:sz w:val="26"/>
          <w:szCs w:val="24"/>
          <w:lang w:val="es-ES"/>
        </w:rPr>
      </w:pPr>
      <w:r>
        <w:rPr>
          <w:lang w:val="es-ES"/>
        </w:rPr>
        <w:br w:type="page"/>
      </w:r>
    </w:p>
    <w:p w:rsidR="00E1691A" w:rsidRDefault="00E1691A" w:rsidP="00E1691A">
      <w:pPr>
        <w:pStyle w:val="texto"/>
        <w:spacing w:after="240"/>
        <w:rPr>
          <w:lang w:val="es-ES"/>
        </w:rPr>
      </w:pPr>
      <w:r>
        <w:rPr>
          <w:lang w:val="es-ES"/>
        </w:rPr>
        <w:lastRenderedPageBreak/>
        <w:t>Mostramos a continuación la comparación de un conjunto de indicadores r</w:t>
      </w:r>
      <w:r>
        <w:rPr>
          <w:lang w:val="es-ES"/>
        </w:rPr>
        <w:t>e</w:t>
      </w:r>
      <w:r>
        <w:rPr>
          <w:lang w:val="es-ES"/>
        </w:rPr>
        <w:t>lacionados con la liquidación presupuestaria para los años 2016 y 2017:</w:t>
      </w:r>
    </w:p>
    <w:tbl>
      <w:tblPr>
        <w:tblW w:w="8848" w:type="dxa"/>
        <w:tblInd w:w="55" w:type="dxa"/>
        <w:tblCellMar>
          <w:left w:w="70" w:type="dxa"/>
          <w:right w:w="70" w:type="dxa"/>
        </w:tblCellMar>
        <w:tblLook w:val="04A0" w:firstRow="1" w:lastRow="0" w:firstColumn="1" w:lastColumn="0" w:noHBand="0" w:noVBand="1"/>
      </w:tblPr>
      <w:tblGrid>
        <w:gridCol w:w="4531"/>
        <w:gridCol w:w="1438"/>
        <w:gridCol w:w="1559"/>
        <w:gridCol w:w="1320"/>
      </w:tblGrid>
      <w:tr w:rsidR="00E1691A" w:rsidRPr="00B01865" w:rsidTr="00E1691A">
        <w:trPr>
          <w:trHeight w:val="255"/>
        </w:trPr>
        <w:tc>
          <w:tcPr>
            <w:tcW w:w="4531" w:type="dxa"/>
            <w:tcBorders>
              <w:top w:val="single" w:sz="4" w:space="0" w:color="auto"/>
              <w:left w:val="nil"/>
              <w:bottom w:val="single" w:sz="4" w:space="0" w:color="auto"/>
              <w:right w:val="nil"/>
            </w:tcBorders>
            <w:shd w:val="clear" w:color="auto" w:fill="8DB3E2" w:themeFill="text2" w:themeFillTint="66"/>
            <w:noWrap/>
            <w:vAlign w:val="center"/>
            <w:hideMark/>
          </w:tcPr>
          <w:p w:rsidR="00E1691A" w:rsidRPr="00B01865" w:rsidRDefault="00E1691A" w:rsidP="00E1691A">
            <w:pPr>
              <w:spacing w:after="0"/>
              <w:ind w:firstLine="0"/>
              <w:rPr>
                <w:rFonts w:ascii="Arial" w:hAnsi="Arial" w:cs="Arial"/>
                <w:color w:val="000000"/>
                <w:sz w:val="18"/>
                <w:szCs w:val="18"/>
                <w:lang w:val="es-ES" w:eastAsia="es-ES"/>
              </w:rPr>
            </w:pPr>
            <w:r w:rsidRPr="00B01865">
              <w:rPr>
                <w:rFonts w:ascii="Arial" w:hAnsi="Arial" w:cs="Arial"/>
                <w:color w:val="000000"/>
                <w:sz w:val="18"/>
                <w:szCs w:val="18"/>
                <w:lang w:val="es-ES" w:eastAsia="es-ES"/>
              </w:rPr>
              <w:t xml:space="preserve">Indicador </w:t>
            </w:r>
          </w:p>
        </w:tc>
        <w:tc>
          <w:tcPr>
            <w:tcW w:w="1438" w:type="dxa"/>
            <w:tcBorders>
              <w:top w:val="single" w:sz="4" w:space="0" w:color="auto"/>
              <w:left w:val="nil"/>
              <w:bottom w:val="single" w:sz="4" w:space="0" w:color="auto"/>
              <w:right w:val="nil"/>
            </w:tcBorders>
            <w:shd w:val="clear" w:color="auto" w:fill="8DB3E2" w:themeFill="text2" w:themeFillTint="66"/>
            <w:vAlign w:val="center"/>
            <w:hideMark/>
          </w:tcPr>
          <w:p w:rsidR="00E1691A" w:rsidRPr="00B01865" w:rsidRDefault="00E1691A" w:rsidP="00E1691A">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2016</w:t>
            </w:r>
          </w:p>
        </w:tc>
        <w:tc>
          <w:tcPr>
            <w:tcW w:w="1559" w:type="dxa"/>
            <w:tcBorders>
              <w:top w:val="single" w:sz="4" w:space="0" w:color="auto"/>
              <w:left w:val="nil"/>
              <w:bottom w:val="single" w:sz="4" w:space="0" w:color="auto"/>
              <w:right w:val="nil"/>
            </w:tcBorders>
            <w:shd w:val="clear" w:color="auto" w:fill="8DB3E2" w:themeFill="text2" w:themeFillTint="66"/>
            <w:noWrap/>
            <w:vAlign w:val="center"/>
            <w:hideMark/>
          </w:tcPr>
          <w:p w:rsidR="00E1691A" w:rsidRPr="00B01865" w:rsidRDefault="00E1691A" w:rsidP="00E1691A">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2017</w:t>
            </w:r>
          </w:p>
        </w:tc>
        <w:tc>
          <w:tcPr>
            <w:tcW w:w="1320" w:type="dxa"/>
            <w:tcBorders>
              <w:top w:val="single" w:sz="4" w:space="0" w:color="auto"/>
              <w:left w:val="nil"/>
              <w:bottom w:val="single" w:sz="4" w:space="0" w:color="auto"/>
              <w:right w:val="nil"/>
            </w:tcBorders>
            <w:shd w:val="clear" w:color="auto" w:fill="8DB3E2" w:themeFill="text2" w:themeFillTint="66"/>
            <w:noWrap/>
            <w:vAlign w:val="center"/>
            <w:hideMark/>
          </w:tcPr>
          <w:p w:rsidR="00E1691A" w:rsidRPr="00B01865" w:rsidRDefault="00E1691A" w:rsidP="00E1691A">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 variación  2017/2016</w:t>
            </w:r>
          </w:p>
        </w:tc>
      </w:tr>
      <w:tr w:rsidR="00E1691A" w:rsidRPr="00B01865" w:rsidTr="00E1691A">
        <w:trPr>
          <w:trHeight w:val="198"/>
        </w:trPr>
        <w:tc>
          <w:tcPr>
            <w:tcW w:w="4531" w:type="dxa"/>
            <w:tcBorders>
              <w:top w:val="single" w:sz="4"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 xml:space="preserve">Gasto total </w:t>
            </w:r>
          </w:p>
        </w:tc>
        <w:tc>
          <w:tcPr>
            <w:tcW w:w="1438" w:type="dxa"/>
            <w:tcBorders>
              <w:top w:val="single" w:sz="4" w:space="0" w:color="auto"/>
              <w:left w:val="nil"/>
              <w:bottom w:val="single" w:sz="2"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3.966.599</w:t>
            </w:r>
          </w:p>
        </w:tc>
        <w:tc>
          <w:tcPr>
            <w:tcW w:w="1559" w:type="dxa"/>
            <w:tcBorders>
              <w:top w:val="single" w:sz="4" w:space="0" w:color="auto"/>
              <w:left w:val="nil"/>
              <w:bottom w:val="single" w:sz="2" w:space="0" w:color="auto"/>
              <w:right w:val="nil"/>
            </w:tcBorders>
            <w:shd w:val="clear" w:color="auto" w:fill="auto"/>
            <w:noWrap/>
            <w:vAlign w:val="center"/>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3.983.755</w:t>
            </w:r>
          </w:p>
        </w:tc>
        <w:tc>
          <w:tcPr>
            <w:tcW w:w="1320" w:type="dxa"/>
            <w:tcBorders>
              <w:top w:val="single" w:sz="4"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0,4</w:t>
            </w:r>
          </w:p>
        </w:tc>
      </w:tr>
      <w:tr w:rsidR="00E1691A" w:rsidRPr="00B01865" w:rsidTr="00E1691A">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Gastos corrientes (cap. 1 a 4)</w:t>
            </w:r>
          </w:p>
        </w:tc>
        <w:tc>
          <w:tcPr>
            <w:tcW w:w="1438" w:type="dxa"/>
            <w:tcBorders>
              <w:top w:val="single" w:sz="2" w:space="0" w:color="auto"/>
              <w:left w:val="nil"/>
              <w:bottom w:val="single" w:sz="2"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3.285.771</w:t>
            </w:r>
          </w:p>
        </w:tc>
        <w:tc>
          <w:tcPr>
            <w:tcW w:w="1559" w:type="dxa"/>
            <w:tcBorders>
              <w:top w:val="single" w:sz="2" w:space="0" w:color="auto"/>
              <w:left w:val="nil"/>
              <w:bottom w:val="single" w:sz="2" w:space="0" w:color="auto"/>
              <w:right w:val="nil"/>
            </w:tcBorders>
            <w:shd w:val="clear" w:color="auto" w:fill="auto"/>
            <w:vAlign w:val="center"/>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3.404.624</w:t>
            </w:r>
          </w:p>
        </w:tc>
        <w:tc>
          <w:tcPr>
            <w:tcW w:w="1320"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4</w:t>
            </w:r>
          </w:p>
        </w:tc>
      </w:tr>
      <w:tr w:rsidR="00E1691A" w:rsidRPr="00B01865" w:rsidTr="00E1691A">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Gastos de funcionamiento (cap. 1,2 y 4)</w:t>
            </w:r>
          </w:p>
        </w:tc>
        <w:tc>
          <w:tcPr>
            <w:tcW w:w="1438" w:type="dxa"/>
            <w:tcBorders>
              <w:top w:val="single" w:sz="2" w:space="0" w:color="auto"/>
              <w:left w:val="nil"/>
              <w:bottom w:val="single" w:sz="2"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3.181.873</w:t>
            </w:r>
          </w:p>
        </w:tc>
        <w:tc>
          <w:tcPr>
            <w:tcW w:w="1559" w:type="dxa"/>
            <w:tcBorders>
              <w:top w:val="single" w:sz="2" w:space="0" w:color="auto"/>
              <w:left w:val="nil"/>
              <w:bottom w:val="single" w:sz="2" w:space="0" w:color="auto"/>
              <w:right w:val="nil"/>
            </w:tcBorders>
            <w:shd w:val="clear" w:color="auto" w:fill="auto"/>
            <w:vAlign w:val="center"/>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3.313.753</w:t>
            </w:r>
          </w:p>
        </w:tc>
        <w:tc>
          <w:tcPr>
            <w:tcW w:w="1320"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4</w:t>
            </w:r>
          </w:p>
        </w:tc>
      </w:tr>
      <w:tr w:rsidR="00E1691A" w:rsidRPr="00B01865" w:rsidTr="00E1691A">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Gastos de capital (cap. 6 y 7)</w:t>
            </w:r>
          </w:p>
        </w:tc>
        <w:tc>
          <w:tcPr>
            <w:tcW w:w="1438" w:type="dxa"/>
            <w:tcBorders>
              <w:top w:val="single" w:sz="2" w:space="0" w:color="auto"/>
              <w:left w:val="nil"/>
              <w:bottom w:val="single" w:sz="2"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176.874</w:t>
            </w:r>
          </w:p>
        </w:tc>
        <w:tc>
          <w:tcPr>
            <w:tcW w:w="1559" w:type="dxa"/>
            <w:tcBorders>
              <w:top w:val="single" w:sz="2" w:space="0" w:color="auto"/>
              <w:left w:val="nil"/>
              <w:bottom w:val="single" w:sz="2" w:space="0" w:color="auto"/>
              <w:right w:val="nil"/>
            </w:tcBorders>
            <w:shd w:val="clear" w:color="auto" w:fill="auto"/>
            <w:vAlign w:val="center"/>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226.272</w:t>
            </w:r>
          </w:p>
        </w:tc>
        <w:tc>
          <w:tcPr>
            <w:tcW w:w="1320"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28</w:t>
            </w:r>
          </w:p>
        </w:tc>
      </w:tr>
      <w:tr w:rsidR="00E1691A" w:rsidRPr="00B01865" w:rsidTr="00E1691A">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Gastos operaciones financieras (cap. 8 y 9)</w:t>
            </w:r>
          </w:p>
        </w:tc>
        <w:tc>
          <w:tcPr>
            <w:tcW w:w="1438" w:type="dxa"/>
            <w:tcBorders>
              <w:top w:val="single" w:sz="2" w:space="0" w:color="auto"/>
              <w:left w:val="nil"/>
              <w:bottom w:val="single" w:sz="2"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503.954</w:t>
            </w:r>
          </w:p>
        </w:tc>
        <w:tc>
          <w:tcPr>
            <w:tcW w:w="1559" w:type="dxa"/>
            <w:tcBorders>
              <w:top w:val="single" w:sz="2" w:space="0" w:color="auto"/>
              <w:left w:val="nil"/>
              <w:bottom w:val="single" w:sz="2" w:space="0" w:color="auto"/>
              <w:right w:val="nil"/>
            </w:tcBorders>
            <w:shd w:val="clear" w:color="auto" w:fill="auto"/>
            <w:vAlign w:val="center"/>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352.859</w:t>
            </w:r>
          </w:p>
        </w:tc>
        <w:tc>
          <w:tcPr>
            <w:tcW w:w="1320"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-30</w:t>
            </w:r>
          </w:p>
        </w:tc>
      </w:tr>
      <w:tr w:rsidR="00E1691A" w:rsidRPr="00B01865" w:rsidTr="00E1691A">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Ingreso total</w:t>
            </w:r>
          </w:p>
        </w:tc>
        <w:tc>
          <w:tcPr>
            <w:tcW w:w="1438" w:type="dxa"/>
            <w:tcBorders>
              <w:top w:val="single" w:sz="2" w:space="0" w:color="auto"/>
              <w:left w:val="nil"/>
              <w:bottom w:val="single" w:sz="2"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4.058.068</w:t>
            </w:r>
          </w:p>
        </w:tc>
        <w:tc>
          <w:tcPr>
            <w:tcW w:w="1559" w:type="dxa"/>
            <w:tcBorders>
              <w:top w:val="single" w:sz="2" w:space="0" w:color="auto"/>
              <w:left w:val="nil"/>
              <w:bottom w:val="single" w:sz="2" w:space="0" w:color="auto"/>
              <w:right w:val="nil"/>
            </w:tcBorders>
            <w:shd w:val="clear" w:color="auto" w:fill="auto"/>
            <w:vAlign w:val="center"/>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4.528.234</w:t>
            </w:r>
          </w:p>
        </w:tc>
        <w:tc>
          <w:tcPr>
            <w:tcW w:w="1320"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12</w:t>
            </w:r>
          </w:p>
        </w:tc>
      </w:tr>
      <w:tr w:rsidR="00E1691A" w:rsidRPr="00B01865" w:rsidTr="00E1691A">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Ingresos corrientes (cap.1 a 5)</w:t>
            </w:r>
          </w:p>
        </w:tc>
        <w:tc>
          <w:tcPr>
            <w:tcW w:w="1438" w:type="dxa"/>
            <w:tcBorders>
              <w:top w:val="single" w:sz="2" w:space="0" w:color="auto"/>
              <w:left w:val="nil"/>
              <w:bottom w:val="single" w:sz="2"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3.382.506</w:t>
            </w:r>
          </w:p>
        </w:tc>
        <w:tc>
          <w:tcPr>
            <w:tcW w:w="1559" w:type="dxa"/>
            <w:tcBorders>
              <w:top w:val="single" w:sz="2" w:space="0" w:color="auto"/>
              <w:left w:val="nil"/>
              <w:bottom w:val="single" w:sz="2" w:space="0" w:color="auto"/>
              <w:right w:val="nil"/>
            </w:tcBorders>
            <w:shd w:val="clear" w:color="auto" w:fill="auto"/>
            <w:vAlign w:val="center"/>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3.971.145</w:t>
            </w:r>
          </w:p>
        </w:tc>
        <w:tc>
          <w:tcPr>
            <w:tcW w:w="1320"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17</w:t>
            </w:r>
          </w:p>
        </w:tc>
      </w:tr>
      <w:tr w:rsidR="00E1691A" w:rsidRPr="00B01865" w:rsidTr="00E1691A">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lang w:val="es-ES" w:eastAsia="es-ES"/>
              </w:rPr>
            </w:pPr>
            <w:proofErr w:type="spellStart"/>
            <w:r w:rsidRPr="00B01865">
              <w:rPr>
                <w:rFonts w:ascii="Arial Narrow" w:hAnsi="Arial Narrow"/>
                <w:color w:val="000000"/>
                <w:lang w:val="es-ES" w:eastAsia="es-ES"/>
              </w:rPr>
              <w:t>Ingr</w:t>
            </w:r>
            <w:proofErr w:type="spellEnd"/>
            <w:r w:rsidRPr="00B01865">
              <w:rPr>
                <w:rFonts w:ascii="Arial Narrow" w:hAnsi="Arial Narrow"/>
                <w:color w:val="000000"/>
                <w:lang w:val="es-ES" w:eastAsia="es-ES"/>
              </w:rPr>
              <w:t xml:space="preserve">. tributarios (impuestos, tasas y </w:t>
            </w:r>
            <w:proofErr w:type="spellStart"/>
            <w:r w:rsidRPr="00B01865">
              <w:rPr>
                <w:rFonts w:ascii="Arial Narrow" w:hAnsi="Arial Narrow"/>
                <w:color w:val="000000"/>
                <w:lang w:val="es-ES" w:eastAsia="es-ES"/>
              </w:rPr>
              <w:t>contrib</w:t>
            </w:r>
            <w:proofErr w:type="spellEnd"/>
            <w:r w:rsidRPr="00B01865">
              <w:rPr>
                <w:rFonts w:ascii="Arial Narrow" w:hAnsi="Arial Narrow"/>
                <w:color w:val="000000"/>
                <w:lang w:val="es-ES" w:eastAsia="es-ES"/>
              </w:rPr>
              <w:t>. especiales)</w:t>
            </w:r>
          </w:p>
        </w:tc>
        <w:tc>
          <w:tcPr>
            <w:tcW w:w="1438" w:type="dxa"/>
            <w:tcBorders>
              <w:top w:val="single" w:sz="2" w:space="0" w:color="auto"/>
              <w:left w:val="nil"/>
              <w:bottom w:val="single" w:sz="2"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3.221.829</w:t>
            </w:r>
          </w:p>
        </w:tc>
        <w:tc>
          <w:tcPr>
            <w:tcW w:w="1559" w:type="dxa"/>
            <w:tcBorders>
              <w:top w:val="single" w:sz="2" w:space="0" w:color="auto"/>
              <w:left w:val="nil"/>
              <w:bottom w:val="single" w:sz="2" w:space="0" w:color="auto"/>
              <w:right w:val="nil"/>
            </w:tcBorders>
            <w:shd w:val="clear" w:color="auto" w:fill="auto"/>
            <w:vAlign w:val="center"/>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3.673.881</w:t>
            </w:r>
          </w:p>
        </w:tc>
        <w:tc>
          <w:tcPr>
            <w:tcW w:w="1320"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14</w:t>
            </w:r>
          </w:p>
        </w:tc>
      </w:tr>
      <w:tr w:rsidR="00E1691A" w:rsidRPr="00B01865" w:rsidTr="00E1691A">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Porcentaje ingresos tributarios sobre gastos corrientes</w:t>
            </w:r>
          </w:p>
        </w:tc>
        <w:tc>
          <w:tcPr>
            <w:tcW w:w="1438" w:type="dxa"/>
            <w:tcBorders>
              <w:top w:val="single" w:sz="2" w:space="0" w:color="auto"/>
              <w:left w:val="nil"/>
              <w:bottom w:val="single" w:sz="2"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98</w:t>
            </w:r>
          </w:p>
        </w:tc>
        <w:tc>
          <w:tcPr>
            <w:tcW w:w="1559" w:type="dxa"/>
            <w:tcBorders>
              <w:top w:val="single" w:sz="2" w:space="0" w:color="auto"/>
              <w:left w:val="nil"/>
              <w:bottom w:val="single" w:sz="2" w:space="0" w:color="auto"/>
              <w:right w:val="nil"/>
            </w:tcBorders>
            <w:shd w:val="clear" w:color="auto" w:fill="auto"/>
            <w:vAlign w:val="center"/>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108</w:t>
            </w:r>
          </w:p>
        </w:tc>
        <w:tc>
          <w:tcPr>
            <w:tcW w:w="1320"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w:t>
            </w:r>
          </w:p>
        </w:tc>
      </w:tr>
      <w:tr w:rsidR="00E1691A" w:rsidRPr="00B01865" w:rsidTr="00E1691A">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Recaudación líquida tributaria</w:t>
            </w:r>
            <w:r>
              <w:rPr>
                <w:rFonts w:ascii="Arial Narrow" w:hAnsi="Arial Narrow"/>
                <w:color w:val="000000"/>
                <w:vertAlign w:val="superscript"/>
                <w:lang w:val="es-ES" w:eastAsia="es-ES"/>
              </w:rPr>
              <w:t>*</w:t>
            </w:r>
          </w:p>
        </w:tc>
        <w:tc>
          <w:tcPr>
            <w:tcW w:w="1438" w:type="dxa"/>
            <w:tcBorders>
              <w:top w:val="single" w:sz="2" w:space="0" w:color="auto"/>
              <w:left w:val="nil"/>
              <w:bottom w:val="single" w:sz="2"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lang w:val="es-ES" w:eastAsia="es-ES"/>
              </w:rPr>
            </w:pPr>
            <w:r w:rsidRPr="00B01865">
              <w:rPr>
                <w:rFonts w:ascii="Arial Narrow" w:hAnsi="Arial Narrow"/>
                <w:lang w:val="es-ES" w:eastAsia="es-ES"/>
              </w:rPr>
              <w:t>3.249.732</w:t>
            </w:r>
          </w:p>
        </w:tc>
        <w:tc>
          <w:tcPr>
            <w:tcW w:w="1559" w:type="dxa"/>
            <w:tcBorders>
              <w:top w:val="single" w:sz="2" w:space="0" w:color="auto"/>
              <w:left w:val="nil"/>
              <w:bottom w:val="single" w:sz="2" w:space="0" w:color="auto"/>
              <w:right w:val="nil"/>
            </w:tcBorders>
            <w:shd w:val="clear" w:color="auto" w:fill="auto"/>
            <w:noWrap/>
            <w:vAlign w:val="center"/>
          </w:tcPr>
          <w:p w:rsidR="00E1691A" w:rsidRPr="00B01865" w:rsidRDefault="00E1691A" w:rsidP="00E1691A">
            <w:pPr>
              <w:spacing w:after="0"/>
              <w:ind w:firstLine="0"/>
              <w:jc w:val="right"/>
              <w:rPr>
                <w:rFonts w:ascii="Arial Narrow" w:hAnsi="Arial Narrow"/>
                <w:lang w:val="es-ES" w:eastAsia="es-ES"/>
              </w:rPr>
            </w:pPr>
            <w:r w:rsidRPr="00B01865">
              <w:rPr>
                <w:rFonts w:ascii="Arial Narrow" w:hAnsi="Arial Narrow"/>
                <w:lang w:val="es-ES" w:eastAsia="es-ES"/>
              </w:rPr>
              <w:t>3.682.671</w:t>
            </w:r>
          </w:p>
        </w:tc>
        <w:tc>
          <w:tcPr>
            <w:tcW w:w="1320"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13</w:t>
            </w:r>
          </w:p>
        </w:tc>
      </w:tr>
      <w:tr w:rsidR="00E1691A" w:rsidRPr="00B01865" w:rsidTr="00E1691A">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 xml:space="preserve">Porcentaje Recaudación líquida tributaria sobre el PIB </w:t>
            </w:r>
          </w:p>
        </w:tc>
        <w:tc>
          <w:tcPr>
            <w:tcW w:w="1438"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17,09</w:t>
            </w:r>
          </w:p>
        </w:tc>
        <w:tc>
          <w:tcPr>
            <w:tcW w:w="1559" w:type="dxa"/>
            <w:tcBorders>
              <w:top w:val="single" w:sz="2" w:space="0" w:color="auto"/>
              <w:left w:val="nil"/>
              <w:bottom w:val="single" w:sz="2" w:space="0" w:color="auto"/>
              <w:right w:val="nil"/>
            </w:tcBorders>
            <w:shd w:val="clear" w:color="auto" w:fill="auto"/>
            <w:noWrap/>
            <w:vAlign w:val="center"/>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19,36</w:t>
            </w:r>
          </w:p>
        </w:tc>
        <w:tc>
          <w:tcPr>
            <w:tcW w:w="1320"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w:t>
            </w:r>
          </w:p>
        </w:tc>
      </w:tr>
      <w:tr w:rsidR="00E1691A" w:rsidRPr="00B01865" w:rsidTr="00B702C6">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Ingresos de capital (cap.6 y 7)</w:t>
            </w:r>
          </w:p>
        </w:tc>
        <w:tc>
          <w:tcPr>
            <w:tcW w:w="1438" w:type="dxa"/>
            <w:tcBorders>
              <w:top w:val="single" w:sz="2" w:space="0" w:color="auto"/>
              <w:left w:val="nil"/>
              <w:bottom w:val="single" w:sz="2"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23.143</w:t>
            </w:r>
          </w:p>
        </w:tc>
        <w:tc>
          <w:tcPr>
            <w:tcW w:w="1559" w:type="dxa"/>
            <w:tcBorders>
              <w:top w:val="single" w:sz="2" w:space="0" w:color="auto"/>
              <w:left w:val="nil"/>
              <w:bottom w:val="single" w:sz="2" w:space="0" w:color="auto"/>
              <w:right w:val="nil"/>
            </w:tcBorders>
            <w:shd w:val="clear" w:color="auto" w:fill="auto"/>
            <w:vAlign w:val="center"/>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10.634</w:t>
            </w:r>
          </w:p>
        </w:tc>
        <w:tc>
          <w:tcPr>
            <w:tcW w:w="1320" w:type="dxa"/>
            <w:tcBorders>
              <w:top w:val="single" w:sz="2" w:space="0" w:color="auto"/>
              <w:left w:val="nil"/>
              <w:bottom w:val="single" w:sz="2"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-54</w:t>
            </w:r>
          </w:p>
        </w:tc>
      </w:tr>
      <w:tr w:rsidR="00E1691A" w:rsidRPr="00B01865" w:rsidTr="00B702C6">
        <w:trPr>
          <w:trHeight w:val="198"/>
        </w:trPr>
        <w:tc>
          <w:tcPr>
            <w:tcW w:w="4531" w:type="dxa"/>
            <w:tcBorders>
              <w:top w:val="single" w:sz="2" w:space="0" w:color="auto"/>
              <w:left w:val="nil"/>
              <w:bottom w:val="single" w:sz="4" w:space="0" w:color="auto"/>
              <w:right w:val="nil"/>
            </w:tcBorders>
            <w:shd w:val="clear" w:color="auto" w:fill="auto"/>
            <w:noWrap/>
            <w:vAlign w:val="center"/>
            <w:hideMark/>
          </w:tcPr>
          <w:p w:rsidR="00E1691A" w:rsidRPr="00B01865" w:rsidRDefault="00E1691A" w:rsidP="00E1691A">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Ingresos operaciones financieras (cap.8 y 9)</w:t>
            </w:r>
          </w:p>
        </w:tc>
        <w:tc>
          <w:tcPr>
            <w:tcW w:w="1438" w:type="dxa"/>
            <w:tcBorders>
              <w:top w:val="single" w:sz="2" w:space="0" w:color="auto"/>
              <w:left w:val="nil"/>
              <w:bottom w:val="single" w:sz="4" w:space="0" w:color="auto"/>
              <w:right w:val="nil"/>
            </w:tcBorders>
            <w:shd w:val="clear" w:color="auto" w:fill="auto"/>
            <w:vAlign w:val="center"/>
            <w:hideMark/>
          </w:tcPr>
          <w:p w:rsidR="00E1691A" w:rsidRPr="00B01865" w:rsidRDefault="00E1691A" w:rsidP="00E1691A">
            <w:pPr>
              <w:spacing w:after="0"/>
              <w:ind w:firstLine="0"/>
              <w:jc w:val="right"/>
              <w:rPr>
                <w:rFonts w:ascii="Arial Narrow" w:hAnsi="Arial Narrow"/>
                <w:lang w:val="es-ES" w:eastAsia="es-ES"/>
              </w:rPr>
            </w:pPr>
            <w:r w:rsidRPr="00B01865">
              <w:rPr>
                <w:rFonts w:ascii="Arial Narrow" w:hAnsi="Arial Narrow"/>
                <w:lang w:val="es-ES" w:eastAsia="es-ES"/>
              </w:rPr>
              <w:t>652.419</w:t>
            </w:r>
          </w:p>
        </w:tc>
        <w:tc>
          <w:tcPr>
            <w:tcW w:w="1559" w:type="dxa"/>
            <w:tcBorders>
              <w:top w:val="single" w:sz="2" w:space="0" w:color="auto"/>
              <w:left w:val="nil"/>
              <w:bottom w:val="single" w:sz="4" w:space="0" w:color="auto"/>
              <w:right w:val="nil"/>
            </w:tcBorders>
            <w:shd w:val="clear" w:color="auto" w:fill="auto"/>
            <w:vAlign w:val="center"/>
          </w:tcPr>
          <w:p w:rsidR="00E1691A" w:rsidRPr="00B01865" w:rsidRDefault="00E1691A" w:rsidP="00E1691A">
            <w:pPr>
              <w:spacing w:after="0"/>
              <w:ind w:firstLine="0"/>
              <w:jc w:val="right"/>
              <w:rPr>
                <w:rFonts w:ascii="Arial Narrow" w:hAnsi="Arial Narrow"/>
                <w:lang w:val="es-ES" w:eastAsia="es-ES"/>
              </w:rPr>
            </w:pPr>
            <w:r w:rsidRPr="00B01865">
              <w:rPr>
                <w:rFonts w:ascii="Arial Narrow" w:hAnsi="Arial Narrow"/>
                <w:lang w:val="es-ES" w:eastAsia="es-ES"/>
              </w:rPr>
              <w:t>546.455</w:t>
            </w:r>
          </w:p>
        </w:tc>
        <w:tc>
          <w:tcPr>
            <w:tcW w:w="1320" w:type="dxa"/>
            <w:tcBorders>
              <w:top w:val="single" w:sz="2" w:space="0" w:color="auto"/>
              <w:left w:val="nil"/>
              <w:bottom w:val="single" w:sz="4" w:space="0" w:color="auto"/>
              <w:right w:val="nil"/>
            </w:tcBorders>
            <w:shd w:val="clear" w:color="auto" w:fill="auto"/>
            <w:noWrap/>
            <w:vAlign w:val="center"/>
            <w:hideMark/>
          </w:tcPr>
          <w:p w:rsidR="00E1691A" w:rsidRPr="00B01865" w:rsidRDefault="00E1691A" w:rsidP="00E1691A">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-16</w:t>
            </w:r>
          </w:p>
        </w:tc>
      </w:tr>
    </w:tbl>
    <w:p w:rsidR="00AB033F" w:rsidRPr="00E1691A" w:rsidRDefault="00AB033F" w:rsidP="00AB033F">
      <w:pPr>
        <w:spacing w:before="60"/>
        <w:ind w:firstLine="0"/>
        <w:rPr>
          <w:rFonts w:ascii="Arial" w:hAnsi="Arial" w:cs="Arial"/>
          <w:sz w:val="16"/>
          <w:szCs w:val="18"/>
        </w:rPr>
      </w:pPr>
      <w:r>
        <w:rPr>
          <w:rFonts w:ascii="Arial" w:hAnsi="Arial" w:cs="Arial"/>
          <w:sz w:val="16"/>
          <w:szCs w:val="18"/>
        </w:rPr>
        <w:t xml:space="preserve">* </w:t>
      </w:r>
      <w:r w:rsidRPr="00B01865">
        <w:rPr>
          <w:rFonts w:ascii="Arial" w:hAnsi="Arial" w:cs="Arial"/>
          <w:sz w:val="16"/>
          <w:szCs w:val="18"/>
        </w:rPr>
        <w:t>Se entiende por recaudación líquida los cobros en efectivo del ejercicio corriente y de cerrados más las formalizaciones y compensaciones menos las devoluciones.</w:t>
      </w:r>
    </w:p>
    <w:p w:rsidR="00E1691A" w:rsidRPr="00B01865" w:rsidRDefault="00E1691A" w:rsidP="00E1691A">
      <w:pPr>
        <w:tabs>
          <w:tab w:val="center" w:pos="2835"/>
          <w:tab w:val="center" w:pos="3969"/>
          <w:tab w:val="center" w:pos="5103"/>
          <w:tab w:val="center" w:pos="6237"/>
          <w:tab w:val="center" w:pos="7371"/>
        </w:tabs>
        <w:spacing w:before="240"/>
        <w:ind w:firstLine="284"/>
        <w:rPr>
          <w:spacing w:val="6"/>
          <w:sz w:val="26"/>
          <w:szCs w:val="24"/>
        </w:rPr>
      </w:pPr>
      <w:r w:rsidRPr="00B01865">
        <w:rPr>
          <w:spacing w:val="6"/>
          <w:sz w:val="26"/>
          <w:szCs w:val="24"/>
        </w:rPr>
        <w:t>De la evolución anterior destacamos:</w:t>
      </w:r>
    </w:p>
    <w:p w:rsidR="00D3747C" w:rsidRDefault="00E1691A" w:rsidP="00D3747C">
      <w:pPr>
        <w:numPr>
          <w:ilvl w:val="0"/>
          <w:numId w:val="2"/>
        </w:numPr>
        <w:tabs>
          <w:tab w:val="clear" w:pos="1948"/>
          <w:tab w:val="num" w:pos="300"/>
          <w:tab w:val="num" w:pos="360"/>
          <w:tab w:val="left" w:pos="480"/>
          <w:tab w:val="num" w:pos="600"/>
          <w:tab w:val="num" w:pos="720"/>
          <w:tab w:val="num" w:pos="1320"/>
        </w:tabs>
        <w:spacing w:after="120"/>
        <w:ind w:left="0" w:firstLine="289"/>
        <w:rPr>
          <w:rFonts w:cs="Arial"/>
          <w:spacing w:val="6"/>
          <w:sz w:val="26"/>
          <w:szCs w:val="24"/>
        </w:rPr>
      </w:pPr>
      <w:r w:rsidRPr="00B01865">
        <w:rPr>
          <w:rFonts w:cs="Arial"/>
          <w:spacing w:val="6"/>
          <w:sz w:val="26"/>
          <w:szCs w:val="24"/>
        </w:rPr>
        <w:t xml:space="preserve">En 2017, los gastos totales se han mantenido prácticamente igual que en 2016 aumentando tan solo un 0,4 por ciento (17,15 millones). </w:t>
      </w:r>
    </w:p>
    <w:p w:rsidR="00E1691A" w:rsidRPr="00B01865" w:rsidRDefault="00D3747C" w:rsidP="00AB033F">
      <w:pPr>
        <w:pStyle w:val="texto"/>
      </w:pPr>
      <w:r>
        <w:tab/>
      </w:r>
      <w:r w:rsidR="00E1691A" w:rsidRPr="00B01865">
        <w:t>Atendiendo a su naturaleza, los de capital han incrementado un 28 por ciento y los corrientes un 3,6 por ciento, mientras que los correspondientes a oper</w:t>
      </w:r>
      <w:r w:rsidR="00E1691A" w:rsidRPr="00B01865">
        <w:t>a</w:t>
      </w:r>
      <w:r w:rsidR="00E1691A" w:rsidRPr="00B01865">
        <w:t>ciones financieras, han disminuido un 30 por ciento.</w:t>
      </w:r>
    </w:p>
    <w:p w:rsidR="00D3747C" w:rsidRDefault="00E1691A" w:rsidP="00AB033F">
      <w:pPr>
        <w:pStyle w:val="texto"/>
      </w:pPr>
      <w:r w:rsidRPr="00B01865">
        <w:t xml:space="preserve">Los ingresos de 2017 han aumentado respecto a los de 2016 en un 11,6 por ciento (470,17 millones). </w:t>
      </w:r>
    </w:p>
    <w:p w:rsidR="00E1691A" w:rsidRPr="00B01865" w:rsidRDefault="00D3747C" w:rsidP="00AB033F">
      <w:pPr>
        <w:pStyle w:val="texto"/>
      </w:pPr>
      <w:r>
        <w:tab/>
      </w:r>
      <w:r w:rsidR="00E1691A" w:rsidRPr="00B01865">
        <w:t>Los ingresos corrientes fueron un 17,4 por ciento superiores, y dentro de e</w:t>
      </w:r>
      <w:r w:rsidR="00E1691A" w:rsidRPr="00B01865">
        <w:t>s</w:t>
      </w:r>
      <w:r w:rsidR="00E1691A" w:rsidRPr="00B01865">
        <w:t>tos, los tributarios aumentaron un 14 por ciento, frente a los de capital que se redujeron un 54 por ciento; por otro lado, los derivados de operaciones fina</w:t>
      </w:r>
      <w:r w:rsidR="00E1691A" w:rsidRPr="00B01865">
        <w:t>n</w:t>
      </w:r>
      <w:r w:rsidR="00E1691A" w:rsidRPr="00B01865">
        <w:t>cieras se redujeron un 16,2 por ciento.</w:t>
      </w:r>
    </w:p>
    <w:p w:rsidR="00D3747C" w:rsidRDefault="00E1691A" w:rsidP="00E1691A">
      <w:pPr>
        <w:numPr>
          <w:ilvl w:val="0"/>
          <w:numId w:val="2"/>
        </w:numPr>
        <w:tabs>
          <w:tab w:val="clear" w:pos="1948"/>
          <w:tab w:val="num" w:pos="300"/>
          <w:tab w:val="num" w:pos="360"/>
          <w:tab w:val="left" w:pos="480"/>
          <w:tab w:val="num" w:pos="600"/>
          <w:tab w:val="num" w:pos="720"/>
          <w:tab w:val="num" w:pos="1320"/>
        </w:tabs>
        <w:spacing w:after="120"/>
        <w:ind w:left="0" w:firstLine="289"/>
        <w:rPr>
          <w:rFonts w:cs="Arial"/>
          <w:spacing w:val="6"/>
          <w:sz w:val="26"/>
          <w:szCs w:val="24"/>
        </w:rPr>
      </w:pPr>
      <w:r w:rsidRPr="00B01865">
        <w:rPr>
          <w:rFonts w:cs="Arial"/>
          <w:spacing w:val="6"/>
          <w:sz w:val="26"/>
          <w:szCs w:val="24"/>
        </w:rPr>
        <w:t xml:space="preserve">La recaudación tributaria líquida </w:t>
      </w:r>
      <w:r w:rsidR="00D3747C">
        <w:rPr>
          <w:rFonts w:cs="Arial"/>
          <w:spacing w:val="6"/>
          <w:sz w:val="26"/>
          <w:szCs w:val="24"/>
        </w:rPr>
        <w:t>ascendió en 2017 a 3.682,67 millones, importe que supera al de 2016 en un 13 por ciento.</w:t>
      </w:r>
    </w:p>
    <w:p w:rsidR="00E1691A" w:rsidRDefault="00D3747C" w:rsidP="00AB033F">
      <w:pPr>
        <w:pStyle w:val="texto"/>
      </w:pPr>
      <w:r>
        <w:tab/>
        <w:t xml:space="preserve">Esta cifra de recaudación </w:t>
      </w:r>
      <w:r w:rsidR="00E1691A" w:rsidRPr="00B01865">
        <w:t xml:space="preserve">supone un </w:t>
      </w:r>
      <w:r>
        <w:t>19,36</w:t>
      </w:r>
      <w:r w:rsidR="00E1691A" w:rsidRPr="00B01865">
        <w:t xml:space="preserve"> por ciento del PIB de Navarra, porcentaje superior al de 2016 que supuso el 17 por ciento.</w:t>
      </w:r>
    </w:p>
    <w:p w:rsidR="007C238C" w:rsidRDefault="007C238C" w:rsidP="007C238C">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Los gastos presupuestarios comprometidos para ejercicios futuros ascie</w:t>
      </w:r>
      <w:r w:rsidRPr="00B01865">
        <w:rPr>
          <w:rFonts w:cs="Arial"/>
          <w:spacing w:val="6"/>
          <w:sz w:val="26"/>
          <w:szCs w:val="24"/>
        </w:rPr>
        <w:t>n</w:t>
      </w:r>
      <w:r w:rsidRPr="00B01865">
        <w:rPr>
          <w:rFonts w:cs="Arial"/>
          <w:spacing w:val="6"/>
          <w:sz w:val="26"/>
          <w:szCs w:val="24"/>
        </w:rPr>
        <w:t>den a 4.131,12 millones, de los que el 89 por ciento corresponden a la carga f</w:t>
      </w:r>
      <w:r w:rsidRPr="00B01865">
        <w:rPr>
          <w:rFonts w:cs="Arial"/>
          <w:spacing w:val="6"/>
          <w:sz w:val="26"/>
          <w:szCs w:val="24"/>
        </w:rPr>
        <w:t>i</w:t>
      </w:r>
      <w:r w:rsidRPr="00B01865">
        <w:rPr>
          <w:rFonts w:cs="Arial"/>
          <w:spacing w:val="6"/>
          <w:sz w:val="26"/>
          <w:szCs w:val="24"/>
        </w:rPr>
        <w:t>nanciera de la deuda. Respecto a los datos de 2016, estos gastos se han incr</w:t>
      </w:r>
      <w:r w:rsidRPr="00B01865">
        <w:rPr>
          <w:rFonts w:cs="Arial"/>
          <w:spacing w:val="6"/>
          <w:sz w:val="26"/>
          <w:szCs w:val="24"/>
        </w:rPr>
        <w:t>e</w:t>
      </w:r>
      <w:r w:rsidRPr="00B01865">
        <w:rPr>
          <w:rFonts w:cs="Arial"/>
          <w:spacing w:val="6"/>
          <w:sz w:val="26"/>
          <w:szCs w:val="24"/>
        </w:rPr>
        <w:t xml:space="preserve">mentado en un cinco por ciento. </w:t>
      </w:r>
    </w:p>
    <w:p w:rsidR="007C238C" w:rsidRDefault="007C238C">
      <w:pPr>
        <w:spacing w:after="0"/>
        <w:ind w:firstLine="0"/>
        <w:jc w:val="left"/>
        <w:rPr>
          <w:rFonts w:cs="Arial"/>
          <w:spacing w:val="6"/>
          <w:sz w:val="26"/>
          <w:szCs w:val="24"/>
        </w:rPr>
      </w:pPr>
      <w:r>
        <w:rPr>
          <w:rFonts w:cs="Arial"/>
          <w:spacing w:val="6"/>
          <w:sz w:val="26"/>
          <w:szCs w:val="24"/>
        </w:rPr>
        <w:br w:type="page"/>
      </w:r>
    </w:p>
    <w:p w:rsidR="007C238C" w:rsidRPr="00B01865" w:rsidRDefault="007C238C" w:rsidP="007C238C">
      <w:pPr>
        <w:tabs>
          <w:tab w:val="center" w:pos="2835"/>
          <w:tab w:val="center" w:pos="3969"/>
          <w:tab w:val="center" w:pos="5103"/>
          <w:tab w:val="center" w:pos="6237"/>
          <w:tab w:val="center" w:pos="7371"/>
        </w:tabs>
        <w:spacing w:after="120"/>
        <w:ind w:firstLine="284"/>
        <w:rPr>
          <w:spacing w:val="6"/>
          <w:sz w:val="26"/>
          <w:szCs w:val="24"/>
        </w:rPr>
      </w:pPr>
      <w:r w:rsidRPr="00B01865">
        <w:rPr>
          <w:spacing w:val="6"/>
          <w:sz w:val="26"/>
          <w:szCs w:val="24"/>
        </w:rPr>
        <w:lastRenderedPageBreak/>
        <w:t>Su detalle por capítulo y año es el siguiente:</w:t>
      </w:r>
    </w:p>
    <w:tbl>
      <w:tblPr>
        <w:tblW w:w="8833" w:type="dxa"/>
        <w:tblInd w:w="70" w:type="dxa"/>
        <w:tblCellMar>
          <w:left w:w="70" w:type="dxa"/>
          <w:right w:w="70" w:type="dxa"/>
        </w:tblCellMar>
        <w:tblLook w:val="0000" w:firstRow="0" w:lastRow="0" w:firstColumn="0" w:lastColumn="0" w:noHBand="0" w:noVBand="0"/>
      </w:tblPr>
      <w:tblGrid>
        <w:gridCol w:w="2996"/>
        <w:gridCol w:w="833"/>
        <w:gridCol w:w="1102"/>
        <w:gridCol w:w="902"/>
        <w:gridCol w:w="1040"/>
        <w:gridCol w:w="1072"/>
        <w:gridCol w:w="888"/>
      </w:tblGrid>
      <w:tr w:rsidR="007C238C" w:rsidRPr="00B01865" w:rsidTr="009E512D">
        <w:trPr>
          <w:trHeight w:val="255"/>
        </w:trPr>
        <w:tc>
          <w:tcPr>
            <w:tcW w:w="8833" w:type="dxa"/>
            <w:gridSpan w:val="7"/>
            <w:tcBorders>
              <w:left w:val="nil"/>
              <w:bottom w:val="single" w:sz="4" w:space="0" w:color="auto"/>
              <w:right w:val="nil"/>
            </w:tcBorders>
            <w:shd w:val="clear" w:color="auto" w:fill="auto"/>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sidRPr="00B01865">
              <w:rPr>
                <w:rFonts w:ascii="Arial" w:hAnsi="Arial"/>
                <w:spacing w:val="6"/>
                <w:sz w:val="17"/>
                <w:szCs w:val="17"/>
              </w:rPr>
              <w:t>(en miles de euros)</w:t>
            </w:r>
          </w:p>
        </w:tc>
      </w:tr>
      <w:tr w:rsidR="007C238C" w:rsidRPr="00B01865" w:rsidTr="009E512D">
        <w:trPr>
          <w:trHeight w:val="255"/>
        </w:trPr>
        <w:tc>
          <w:tcPr>
            <w:tcW w:w="2996"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rPr>
                <w:rFonts w:ascii="Arial" w:hAnsi="Arial"/>
                <w:spacing w:val="6"/>
                <w:sz w:val="18"/>
                <w:szCs w:val="24"/>
              </w:rPr>
            </w:pPr>
            <w:r w:rsidRPr="00B01865">
              <w:rPr>
                <w:rFonts w:ascii="Arial" w:hAnsi="Arial"/>
                <w:spacing w:val="6"/>
                <w:sz w:val="18"/>
                <w:szCs w:val="24"/>
              </w:rPr>
              <w:t>Capítulo</w:t>
            </w:r>
          </w:p>
        </w:tc>
        <w:tc>
          <w:tcPr>
            <w:tcW w:w="833"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2018</w:t>
            </w:r>
          </w:p>
        </w:tc>
        <w:tc>
          <w:tcPr>
            <w:tcW w:w="1102"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2019</w:t>
            </w:r>
          </w:p>
        </w:tc>
        <w:tc>
          <w:tcPr>
            <w:tcW w:w="902"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2020</w:t>
            </w:r>
          </w:p>
        </w:tc>
        <w:tc>
          <w:tcPr>
            <w:tcW w:w="1040"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Resto</w:t>
            </w:r>
          </w:p>
        </w:tc>
        <w:tc>
          <w:tcPr>
            <w:tcW w:w="1072" w:type="dxa"/>
            <w:tcBorders>
              <w:top w:val="single" w:sz="4" w:space="0" w:color="auto"/>
              <w:left w:val="nil"/>
              <w:bottom w:val="single" w:sz="4" w:space="0" w:color="auto"/>
              <w:right w:val="nil"/>
            </w:tcBorders>
            <w:shd w:val="clear" w:color="auto" w:fill="8DB3E2" w:themeFill="text2" w:themeFillTint="66"/>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 xml:space="preserve">Total </w:t>
            </w:r>
          </w:p>
        </w:tc>
        <w:tc>
          <w:tcPr>
            <w:tcW w:w="888"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 s/total</w:t>
            </w:r>
          </w:p>
        </w:tc>
      </w:tr>
      <w:tr w:rsidR="007C238C" w:rsidRPr="00B01865" w:rsidTr="009E512D">
        <w:trPr>
          <w:trHeight w:val="198"/>
        </w:trPr>
        <w:tc>
          <w:tcPr>
            <w:tcW w:w="2996" w:type="dxa"/>
            <w:tcBorders>
              <w:top w:val="single" w:sz="4"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1  Gastos de personal</w:t>
            </w:r>
          </w:p>
        </w:tc>
        <w:tc>
          <w:tcPr>
            <w:tcW w:w="833" w:type="dxa"/>
            <w:tcBorders>
              <w:top w:val="single" w:sz="4"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2.303</w:t>
            </w:r>
          </w:p>
        </w:tc>
        <w:tc>
          <w:tcPr>
            <w:tcW w:w="1102" w:type="dxa"/>
            <w:tcBorders>
              <w:top w:val="single" w:sz="4"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0</w:t>
            </w:r>
          </w:p>
        </w:tc>
        <w:tc>
          <w:tcPr>
            <w:tcW w:w="902" w:type="dxa"/>
            <w:tcBorders>
              <w:top w:val="single" w:sz="4"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0</w:t>
            </w:r>
          </w:p>
        </w:tc>
        <w:tc>
          <w:tcPr>
            <w:tcW w:w="1040" w:type="dxa"/>
            <w:tcBorders>
              <w:top w:val="single" w:sz="4"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0</w:t>
            </w:r>
          </w:p>
        </w:tc>
        <w:tc>
          <w:tcPr>
            <w:tcW w:w="1072" w:type="dxa"/>
            <w:tcBorders>
              <w:top w:val="single" w:sz="4"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2.303</w:t>
            </w:r>
          </w:p>
        </w:tc>
        <w:tc>
          <w:tcPr>
            <w:tcW w:w="888" w:type="dxa"/>
            <w:tcBorders>
              <w:top w:val="single" w:sz="4"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0</w:t>
            </w:r>
          </w:p>
        </w:tc>
      </w:tr>
      <w:tr w:rsidR="007C238C" w:rsidRPr="00B01865" w:rsidTr="009E512D">
        <w:trPr>
          <w:trHeight w:val="198"/>
        </w:trPr>
        <w:tc>
          <w:tcPr>
            <w:tcW w:w="2996"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2  Gastos corrientes bienes y servicios</w:t>
            </w:r>
          </w:p>
        </w:tc>
        <w:tc>
          <w:tcPr>
            <w:tcW w:w="833"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137.834</w:t>
            </w:r>
          </w:p>
        </w:tc>
        <w:tc>
          <w:tcPr>
            <w:tcW w:w="11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22.365</w:t>
            </w:r>
          </w:p>
        </w:tc>
        <w:tc>
          <w:tcPr>
            <w:tcW w:w="9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1.784</w:t>
            </w:r>
          </w:p>
        </w:tc>
        <w:tc>
          <w:tcPr>
            <w:tcW w:w="1040"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3.187</w:t>
            </w:r>
          </w:p>
        </w:tc>
        <w:tc>
          <w:tcPr>
            <w:tcW w:w="107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165.169</w:t>
            </w:r>
          </w:p>
        </w:tc>
        <w:tc>
          <w:tcPr>
            <w:tcW w:w="888"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4</w:t>
            </w:r>
          </w:p>
        </w:tc>
      </w:tr>
      <w:tr w:rsidR="007C238C" w:rsidRPr="00B01865" w:rsidTr="009E512D">
        <w:trPr>
          <w:trHeight w:val="198"/>
        </w:trPr>
        <w:tc>
          <w:tcPr>
            <w:tcW w:w="2996"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3  Gastos financieros</w:t>
            </w:r>
          </w:p>
        </w:tc>
        <w:tc>
          <w:tcPr>
            <w:tcW w:w="833"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82.187</w:t>
            </w:r>
          </w:p>
        </w:tc>
        <w:tc>
          <w:tcPr>
            <w:tcW w:w="11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68.821</w:t>
            </w:r>
          </w:p>
        </w:tc>
        <w:tc>
          <w:tcPr>
            <w:tcW w:w="9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61.379</w:t>
            </w:r>
          </w:p>
        </w:tc>
        <w:tc>
          <w:tcPr>
            <w:tcW w:w="1040"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245.133</w:t>
            </w:r>
          </w:p>
        </w:tc>
        <w:tc>
          <w:tcPr>
            <w:tcW w:w="107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457.521</w:t>
            </w:r>
          </w:p>
        </w:tc>
        <w:tc>
          <w:tcPr>
            <w:tcW w:w="888"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11</w:t>
            </w:r>
          </w:p>
        </w:tc>
      </w:tr>
      <w:tr w:rsidR="007C238C" w:rsidRPr="00B01865" w:rsidTr="009E512D">
        <w:trPr>
          <w:trHeight w:val="198"/>
        </w:trPr>
        <w:tc>
          <w:tcPr>
            <w:tcW w:w="2996"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4  Transferencias corrientes</w:t>
            </w:r>
          </w:p>
        </w:tc>
        <w:tc>
          <w:tcPr>
            <w:tcW w:w="833"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70.130</w:t>
            </w:r>
          </w:p>
        </w:tc>
        <w:tc>
          <w:tcPr>
            <w:tcW w:w="11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9.799</w:t>
            </w:r>
          </w:p>
        </w:tc>
        <w:tc>
          <w:tcPr>
            <w:tcW w:w="9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6.954</w:t>
            </w:r>
          </w:p>
        </w:tc>
        <w:tc>
          <w:tcPr>
            <w:tcW w:w="1040"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1.360</w:t>
            </w:r>
          </w:p>
        </w:tc>
        <w:tc>
          <w:tcPr>
            <w:tcW w:w="107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88.243</w:t>
            </w:r>
          </w:p>
        </w:tc>
        <w:tc>
          <w:tcPr>
            <w:tcW w:w="888"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2</w:t>
            </w:r>
          </w:p>
        </w:tc>
      </w:tr>
      <w:tr w:rsidR="007C238C" w:rsidRPr="00B01865" w:rsidTr="009E512D">
        <w:trPr>
          <w:trHeight w:val="198"/>
        </w:trPr>
        <w:tc>
          <w:tcPr>
            <w:tcW w:w="2996"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6  Inversiones reales</w:t>
            </w:r>
          </w:p>
        </w:tc>
        <w:tc>
          <w:tcPr>
            <w:tcW w:w="833"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59.364</w:t>
            </w:r>
          </w:p>
        </w:tc>
        <w:tc>
          <w:tcPr>
            <w:tcW w:w="11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18.522</w:t>
            </w:r>
          </w:p>
        </w:tc>
        <w:tc>
          <w:tcPr>
            <w:tcW w:w="9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3.802</w:t>
            </w:r>
          </w:p>
        </w:tc>
        <w:tc>
          <w:tcPr>
            <w:tcW w:w="1040"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800</w:t>
            </w:r>
          </w:p>
        </w:tc>
        <w:tc>
          <w:tcPr>
            <w:tcW w:w="107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82.488</w:t>
            </w:r>
          </w:p>
        </w:tc>
        <w:tc>
          <w:tcPr>
            <w:tcW w:w="888"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2</w:t>
            </w:r>
          </w:p>
        </w:tc>
      </w:tr>
      <w:tr w:rsidR="007C238C" w:rsidRPr="00B01865" w:rsidTr="009E512D">
        <w:trPr>
          <w:trHeight w:val="198"/>
        </w:trPr>
        <w:tc>
          <w:tcPr>
            <w:tcW w:w="2996"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7  Transferencias de capital</w:t>
            </w:r>
          </w:p>
        </w:tc>
        <w:tc>
          <w:tcPr>
            <w:tcW w:w="833"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55.674</w:t>
            </w:r>
          </w:p>
        </w:tc>
        <w:tc>
          <w:tcPr>
            <w:tcW w:w="11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28.587</w:t>
            </w:r>
          </w:p>
        </w:tc>
        <w:tc>
          <w:tcPr>
            <w:tcW w:w="9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4.496</w:t>
            </w:r>
          </w:p>
        </w:tc>
        <w:tc>
          <w:tcPr>
            <w:tcW w:w="1040"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4.447</w:t>
            </w:r>
          </w:p>
        </w:tc>
        <w:tc>
          <w:tcPr>
            <w:tcW w:w="107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93.204</w:t>
            </w:r>
          </w:p>
        </w:tc>
        <w:tc>
          <w:tcPr>
            <w:tcW w:w="888"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2</w:t>
            </w:r>
          </w:p>
        </w:tc>
      </w:tr>
      <w:tr w:rsidR="007C238C" w:rsidRPr="00B01865" w:rsidTr="009E512D">
        <w:trPr>
          <w:trHeight w:val="198"/>
        </w:trPr>
        <w:tc>
          <w:tcPr>
            <w:tcW w:w="2996"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8  Activos financieros</w:t>
            </w:r>
          </w:p>
        </w:tc>
        <w:tc>
          <w:tcPr>
            <w:tcW w:w="833"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8.350</w:t>
            </w:r>
          </w:p>
        </w:tc>
        <w:tc>
          <w:tcPr>
            <w:tcW w:w="11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7.350</w:t>
            </w:r>
          </w:p>
        </w:tc>
        <w:tc>
          <w:tcPr>
            <w:tcW w:w="90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6.350</w:t>
            </w:r>
          </w:p>
        </w:tc>
        <w:tc>
          <w:tcPr>
            <w:tcW w:w="1040"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20.100</w:t>
            </w:r>
          </w:p>
        </w:tc>
        <w:tc>
          <w:tcPr>
            <w:tcW w:w="1072"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42.150</w:t>
            </w:r>
          </w:p>
        </w:tc>
        <w:tc>
          <w:tcPr>
            <w:tcW w:w="888" w:type="dxa"/>
            <w:tcBorders>
              <w:top w:val="single" w:sz="2" w:space="0" w:color="auto"/>
              <w:left w:val="nil"/>
              <w:bottom w:val="single" w:sz="2"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1</w:t>
            </w:r>
          </w:p>
        </w:tc>
      </w:tr>
      <w:tr w:rsidR="007C238C" w:rsidRPr="00B01865" w:rsidTr="009E512D">
        <w:trPr>
          <w:trHeight w:val="198"/>
        </w:trPr>
        <w:tc>
          <w:tcPr>
            <w:tcW w:w="2996" w:type="dxa"/>
            <w:tcBorders>
              <w:top w:val="single" w:sz="2"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9  Pasivos financieros</w:t>
            </w:r>
          </w:p>
        </w:tc>
        <w:tc>
          <w:tcPr>
            <w:tcW w:w="833" w:type="dxa"/>
            <w:tcBorders>
              <w:top w:val="single" w:sz="2"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245.148</w:t>
            </w:r>
          </w:p>
        </w:tc>
        <w:tc>
          <w:tcPr>
            <w:tcW w:w="1102" w:type="dxa"/>
            <w:tcBorders>
              <w:top w:val="single" w:sz="2"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265.989</w:t>
            </w:r>
          </w:p>
        </w:tc>
        <w:tc>
          <w:tcPr>
            <w:tcW w:w="902" w:type="dxa"/>
            <w:tcBorders>
              <w:top w:val="single" w:sz="2"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243.617</w:t>
            </w:r>
          </w:p>
        </w:tc>
        <w:tc>
          <w:tcPr>
            <w:tcW w:w="1040" w:type="dxa"/>
            <w:tcBorders>
              <w:top w:val="single" w:sz="2"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2.445.289</w:t>
            </w:r>
          </w:p>
        </w:tc>
        <w:tc>
          <w:tcPr>
            <w:tcW w:w="1072" w:type="dxa"/>
            <w:tcBorders>
              <w:top w:val="single" w:sz="2"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3.200.042</w:t>
            </w:r>
          </w:p>
        </w:tc>
        <w:tc>
          <w:tcPr>
            <w:tcW w:w="888" w:type="dxa"/>
            <w:tcBorders>
              <w:top w:val="single" w:sz="2"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78</w:t>
            </w:r>
          </w:p>
        </w:tc>
      </w:tr>
      <w:tr w:rsidR="007C238C" w:rsidRPr="00B01865" w:rsidTr="009E512D">
        <w:trPr>
          <w:trHeight w:val="255"/>
        </w:trPr>
        <w:tc>
          <w:tcPr>
            <w:tcW w:w="2996"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left"/>
              <w:rPr>
                <w:rFonts w:ascii="Arial" w:hAnsi="Arial"/>
                <w:spacing w:val="6"/>
                <w:sz w:val="18"/>
                <w:szCs w:val="18"/>
                <w:lang w:val="es-ES" w:eastAsia="es-ES"/>
              </w:rPr>
            </w:pPr>
            <w:r w:rsidRPr="00B01865">
              <w:rPr>
                <w:rFonts w:ascii="Arial" w:hAnsi="Arial"/>
                <w:spacing w:val="6"/>
                <w:sz w:val="18"/>
                <w:szCs w:val="18"/>
                <w:lang w:val="es-ES" w:eastAsia="es-ES"/>
              </w:rPr>
              <w:t>Total gastos ejercicios futuros</w:t>
            </w:r>
          </w:p>
        </w:tc>
        <w:tc>
          <w:tcPr>
            <w:tcW w:w="833"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660.990</w:t>
            </w:r>
          </w:p>
        </w:tc>
        <w:tc>
          <w:tcPr>
            <w:tcW w:w="1102"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421.433</w:t>
            </w:r>
          </w:p>
        </w:tc>
        <w:tc>
          <w:tcPr>
            <w:tcW w:w="902"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328.382</w:t>
            </w:r>
          </w:p>
        </w:tc>
        <w:tc>
          <w:tcPr>
            <w:tcW w:w="1040"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2.720.316</w:t>
            </w:r>
          </w:p>
        </w:tc>
        <w:tc>
          <w:tcPr>
            <w:tcW w:w="1072"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4.131.120</w:t>
            </w:r>
          </w:p>
        </w:tc>
        <w:tc>
          <w:tcPr>
            <w:tcW w:w="888" w:type="dxa"/>
            <w:tcBorders>
              <w:top w:val="single" w:sz="4" w:space="0" w:color="auto"/>
              <w:left w:val="nil"/>
              <w:bottom w:val="single" w:sz="4" w:space="0" w:color="auto"/>
              <w:right w:val="nil"/>
            </w:tcBorders>
            <w:shd w:val="clear" w:color="auto" w:fill="8DB3E2" w:themeFill="text2" w:themeFillTint="66"/>
            <w:noWrap/>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100</w:t>
            </w:r>
          </w:p>
        </w:tc>
      </w:tr>
      <w:tr w:rsidR="007C238C" w:rsidRPr="00B01865" w:rsidTr="009E512D">
        <w:trPr>
          <w:trHeight w:val="198"/>
        </w:trPr>
        <w:tc>
          <w:tcPr>
            <w:tcW w:w="2996" w:type="dxa"/>
            <w:tcBorders>
              <w:top w:val="single" w:sz="4"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left"/>
              <w:rPr>
                <w:rFonts w:ascii="Arial" w:hAnsi="Arial" w:cs="Arial"/>
                <w:i/>
                <w:lang w:val="es-ES" w:eastAsia="es-ES"/>
              </w:rPr>
            </w:pPr>
            <w:r w:rsidRPr="00B01865">
              <w:rPr>
                <w:rFonts w:ascii="Arial Narrow" w:hAnsi="Arial Narrow" w:cs="Arial"/>
                <w:i/>
                <w:lang w:val="es-ES" w:eastAsia="es-ES"/>
              </w:rPr>
              <w:t>Porcentaje/año</w:t>
            </w:r>
          </w:p>
        </w:tc>
        <w:tc>
          <w:tcPr>
            <w:tcW w:w="833" w:type="dxa"/>
            <w:tcBorders>
              <w:top w:val="single" w:sz="4"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i/>
                <w:lang w:val="es-ES" w:eastAsia="es-ES"/>
              </w:rPr>
            </w:pPr>
            <w:r w:rsidRPr="00B01865">
              <w:rPr>
                <w:rFonts w:ascii="Arial Narrow" w:hAnsi="Arial Narrow" w:cs="Arial"/>
                <w:i/>
                <w:lang w:val="es-ES" w:eastAsia="es-ES"/>
              </w:rPr>
              <w:t>16</w:t>
            </w:r>
          </w:p>
        </w:tc>
        <w:tc>
          <w:tcPr>
            <w:tcW w:w="1102" w:type="dxa"/>
            <w:tcBorders>
              <w:top w:val="single" w:sz="4"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i/>
                <w:lang w:val="es-ES" w:eastAsia="es-ES"/>
              </w:rPr>
            </w:pPr>
            <w:r w:rsidRPr="00B01865">
              <w:rPr>
                <w:rFonts w:ascii="Arial Narrow" w:hAnsi="Arial Narrow" w:cs="Arial"/>
                <w:i/>
                <w:lang w:val="es-ES" w:eastAsia="es-ES"/>
              </w:rPr>
              <w:t>10</w:t>
            </w:r>
          </w:p>
        </w:tc>
        <w:tc>
          <w:tcPr>
            <w:tcW w:w="902" w:type="dxa"/>
            <w:tcBorders>
              <w:top w:val="single" w:sz="4"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i/>
                <w:lang w:val="es-ES" w:eastAsia="es-ES"/>
              </w:rPr>
            </w:pPr>
            <w:r w:rsidRPr="00B01865">
              <w:rPr>
                <w:rFonts w:ascii="Arial Narrow" w:hAnsi="Arial Narrow" w:cs="Arial"/>
                <w:i/>
                <w:lang w:val="es-ES" w:eastAsia="es-ES"/>
              </w:rPr>
              <w:t>8</w:t>
            </w:r>
          </w:p>
        </w:tc>
        <w:tc>
          <w:tcPr>
            <w:tcW w:w="1040" w:type="dxa"/>
            <w:tcBorders>
              <w:top w:val="single" w:sz="4"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i/>
                <w:lang w:val="es-ES" w:eastAsia="es-ES"/>
              </w:rPr>
            </w:pPr>
            <w:r w:rsidRPr="00B01865">
              <w:rPr>
                <w:rFonts w:ascii="Arial Narrow" w:hAnsi="Arial Narrow" w:cs="Arial"/>
                <w:i/>
                <w:lang w:val="es-ES" w:eastAsia="es-ES"/>
              </w:rPr>
              <w:t>66</w:t>
            </w:r>
          </w:p>
        </w:tc>
        <w:tc>
          <w:tcPr>
            <w:tcW w:w="1072" w:type="dxa"/>
            <w:tcBorders>
              <w:top w:val="single" w:sz="4"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i/>
                <w:lang w:val="es-ES" w:eastAsia="es-ES"/>
              </w:rPr>
            </w:pPr>
            <w:r w:rsidRPr="00B01865">
              <w:rPr>
                <w:rFonts w:ascii="Arial Narrow" w:hAnsi="Arial Narrow" w:cs="Arial"/>
                <w:i/>
                <w:lang w:val="es-ES" w:eastAsia="es-ES"/>
              </w:rPr>
              <w:t>100</w:t>
            </w:r>
          </w:p>
        </w:tc>
        <w:tc>
          <w:tcPr>
            <w:tcW w:w="888" w:type="dxa"/>
            <w:tcBorders>
              <w:top w:val="single" w:sz="4" w:space="0" w:color="auto"/>
              <w:left w:val="nil"/>
              <w:bottom w:val="single" w:sz="4" w:space="0" w:color="auto"/>
              <w:right w:val="nil"/>
            </w:tcBorders>
            <w:shd w:val="clear" w:color="auto" w:fill="auto"/>
            <w:noWrap/>
            <w:vAlign w:val="center"/>
          </w:tcPr>
          <w:p w:rsidR="007C238C" w:rsidRPr="00B01865" w:rsidRDefault="007C238C" w:rsidP="009E512D">
            <w:pPr>
              <w:spacing w:after="0"/>
              <w:ind w:firstLine="0"/>
              <w:jc w:val="right"/>
              <w:rPr>
                <w:rFonts w:ascii="Arial Narrow" w:hAnsi="Arial Narrow" w:cs="Arial"/>
                <w:lang w:val="es-ES" w:eastAsia="es-ES"/>
              </w:rPr>
            </w:pPr>
          </w:p>
        </w:tc>
      </w:tr>
    </w:tbl>
    <w:p w:rsidR="007C238C" w:rsidRPr="00B01865" w:rsidRDefault="007C238C" w:rsidP="007C238C">
      <w:pPr>
        <w:pStyle w:val="texto"/>
        <w:spacing w:before="240"/>
      </w:pPr>
      <w:r w:rsidRPr="00B01865">
        <w:t xml:space="preserve">Los gastos anteriores no incluyen las obligaciones actuariales del montepío de funcionarios, ni los gastos derivados de los </w:t>
      </w:r>
      <w:r>
        <w:t>proyectos ejecutados mediante concesiones de obra pública</w:t>
      </w:r>
      <w:r w:rsidRPr="00B01865">
        <w:t>, ni los intereses estimados de los préstamos de i</w:t>
      </w:r>
      <w:r w:rsidRPr="00B01865">
        <w:t>n</w:t>
      </w:r>
      <w:r w:rsidRPr="00B01865">
        <w:t>terés variable.</w:t>
      </w:r>
    </w:p>
    <w:p w:rsidR="007C238C" w:rsidRPr="00B01865" w:rsidRDefault="007C238C" w:rsidP="00D043DA">
      <w:pPr>
        <w:pStyle w:val="texto"/>
      </w:pPr>
      <w:r w:rsidRPr="00B01865">
        <w:t>Al respecto destacamos que la memoria incluye información relacionada con los flujos de pago previsibles derivados de los peajes en la sombra, que no se incluyen en los compromisos de gastos futuros por considerar que su cuantía es incierta</w:t>
      </w:r>
      <w:r w:rsidRPr="00B01865">
        <w:rPr>
          <w:vertAlign w:val="superscript"/>
        </w:rPr>
        <w:footnoteReference w:id="2"/>
      </w:r>
      <w:r w:rsidRPr="00B01865">
        <w:rPr>
          <w:vertAlign w:val="superscript"/>
        </w:rPr>
        <w:t>.</w:t>
      </w:r>
      <w:r w:rsidRPr="00B01865">
        <w:t xml:space="preserve"> Estas previsiones de gasto futuro se tratan como pasivos contingentes </w:t>
      </w:r>
      <w:r w:rsidR="00D043DA">
        <w:t xml:space="preserve">incluyéndolas en el apartado de contingencias de la memoria </w:t>
      </w:r>
      <w:r w:rsidRPr="00B01865">
        <w:t>y son las siguie</w:t>
      </w:r>
      <w:r w:rsidRPr="00B01865">
        <w:t>n</w:t>
      </w:r>
      <w:r w:rsidRPr="00B01865">
        <w:t>tes:</w:t>
      </w:r>
    </w:p>
    <w:tbl>
      <w:tblPr>
        <w:tblStyle w:val="Tablaconcuadrcula"/>
        <w:tblpPr w:leftFromText="141" w:rightFromText="141"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9"/>
        <w:gridCol w:w="1015"/>
        <w:gridCol w:w="909"/>
        <w:gridCol w:w="909"/>
        <w:gridCol w:w="1200"/>
        <w:gridCol w:w="1087"/>
        <w:gridCol w:w="12"/>
      </w:tblGrid>
      <w:tr w:rsidR="007C238C" w:rsidRPr="00B01865" w:rsidTr="009E512D">
        <w:trPr>
          <w:gridAfter w:val="1"/>
          <w:wAfter w:w="12" w:type="dxa"/>
          <w:trHeight w:val="255"/>
        </w:trPr>
        <w:tc>
          <w:tcPr>
            <w:tcW w:w="8949" w:type="dxa"/>
            <w:gridSpan w:val="6"/>
            <w:tcBorders>
              <w:bottom w:val="single" w:sz="4" w:space="0" w:color="auto"/>
            </w:tcBorders>
            <w:shd w:val="clear" w:color="auto" w:fill="auto"/>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right="-92" w:firstLine="0"/>
              <w:jc w:val="right"/>
              <w:rPr>
                <w:rFonts w:ascii="Arial" w:hAnsi="Arial" w:cs="Arial"/>
                <w:spacing w:val="6"/>
                <w:sz w:val="17"/>
                <w:szCs w:val="17"/>
              </w:rPr>
            </w:pPr>
            <w:r w:rsidRPr="00B01865">
              <w:rPr>
                <w:rFonts w:ascii="Arial" w:hAnsi="Arial" w:cs="Arial"/>
                <w:spacing w:val="6"/>
                <w:sz w:val="17"/>
                <w:szCs w:val="17"/>
              </w:rPr>
              <w:t>(en miles de euros)</w:t>
            </w:r>
          </w:p>
        </w:tc>
      </w:tr>
      <w:tr w:rsidR="007C238C" w:rsidRPr="00B01865" w:rsidTr="009E512D">
        <w:trPr>
          <w:trHeight w:val="255"/>
        </w:trPr>
        <w:tc>
          <w:tcPr>
            <w:tcW w:w="3829" w:type="dxa"/>
            <w:tcBorders>
              <w:top w:val="single" w:sz="4" w:space="0" w:color="auto"/>
              <w:bottom w:val="single" w:sz="4" w:space="0" w:color="auto"/>
            </w:tcBorders>
            <w:shd w:val="clear" w:color="auto" w:fill="8DB3E2" w:themeFill="text2" w:themeFillTint="66"/>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left="-42" w:firstLine="0"/>
              <w:rPr>
                <w:rFonts w:ascii="Arial" w:hAnsi="Arial" w:cs="Arial"/>
                <w:spacing w:val="6"/>
                <w:sz w:val="18"/>
                <w:szCs w:val="18"/>
              </w:rPr>
            </w:pPr>
            <w:r w:rsidRPr="00B01865">
              <w:rPr>
                <w:rFonts w:ascii="Arial" w:hAnsi="Arial" w:cs="Arial"/>
                <w:spacing w:val="6"/>
                <w:sz w:val="18"/>
                <w:szCs w:val="18"/>
              </w:rPr>
              <w:t>Infraestructura</w:t>
            </w:r>
          </w:p>
        </w:tc>
        <w:tc>
          <w:tcPr>
            <w:tcW w:w="1015" w:type="dxa"/>
            <w:tcBorders>
              <w:top w:val="single" w:sz="4" w:space="0" w:color="auto"/>
              <w:bottom w:val="single" w:sz="4" w:space="0" w:color="auto"/>
            </w:tcBorders>
            <w:shd w:val="clear" w:color="auto" w:fill="8DB3E2" w:themeFill="text2" w:themeFillTint="66"/>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sidRPr="00B01865">
              <w:rPr>
                <w:rFonts w:ascii="Arial" w:hAnsi="Arial" w:cs="Arial"/>
                <w:spacing w:val="6"/>
                <w:sz w:val="18"/>
                <w:szCs w:val="18"/>
              </w:rPr>
              <w:t>2018</w:t>
            </w:r>
          </w:p>
        </w:tc>
        <w:tc>
          <w:tcPr>
            <w:tcW w:w="909" w:type="dxa"/>
            <w:tcBorders>
              <w:top w:val="single" w:sz="4" w:space="0" w:color="auto"/>
              <w:bottom w:val="single" w:sz="4" w:space="0" w:color="auto"/>
            </w:tcBorders>
            <w:shd w:val="clear" w:color="auto" w:fill="8DB3E2" w:themeFill="text2" w:themeFillTint="66"/>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sidRPr="00B01865">
              <w:rPr>
                <w:rFonts w:ascii="Arial" w:hAnsi="Arial" w:cs="Arial"/>
                <w:spacing w:val="6"/>
                <w:sz w:val="18"/>
                <w:szCs w:val="18"/>
              </w:rPr>
              <w:t>2019</w:t>
            </w:r>
          </w:p>
        </w:tc>
        <w:tc>
          <w:tcPr>
            <w:tcW w:w="909" w:type="dxa"/>
            <w:tcBorders>
              <w:top w:val="single" w:sz="4" w:space="0" w:color="auto"/>
              <w:bottom w:val="single" w:sz="4" w:space="0" w:color="auto"/>
            </w:tcBorders>
            <w:shd w:val="clear" w:color="auto" w:fill="8DB3E2" w:themeFill="text2" w:themeFillTint="66"/>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sidRPr="00B01865">
              <w:rPr>
                <w:rFonts w:ascii="Arial" w:hAnsi="Arial" w:cs="Arial"/>
                <w:spacing w:val="6"/>
                <w:sz w:val="18"/>
                <w:szCs w:val="18"/>
              </w:rPr>
              <w:t>2020</w:t>
            </w:r>
          </w:p>
        </w:tc>
        <w:tc>
          <w:tcPr>
            <w:tcW w:w="1200" w:type="dxa"/>
            <w:tcBorders>
              <w:top w:val="single" w:sz="4" w:space="0" w:color="auto"/>
              <w:bottom w:val="single" w:sz="4" w:space="0" w:color="auto"/>
            </w:tcBorders>
            <w:shd w:val="clear" w:color="auto" w:fill="8DB3E2" w:themeFill="text2" w:themeFillTint="66"/>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w:hAnsi="Arial" w:cs="Arial"/>
                <w:spacing w:val="6"/>
                <w:sz w:val="18"/>
                <w:szCs w:val="18"/>
              </w:rPr>
            </w:pPr>
            <w:r w:rsidRPr="00B01865">
              <w:rPr>
                <w:rFonts w:ascii="Arial" w:hAnsi="Arial" w:cs="Arial"/>
                <w:spacing w:val="6"/>
                <w:sz w:val="18"/>
                <w:szCs w:val="18"/>
              </w:rPr>
              <w:t>Resto años</w:t>
            </w:r>
          </w:p>
        </w:tc>
        <w:tc>
          <w:tcPr>
            <w:tcW w:w="1099" w:type="dxa"/>
            <w:gridSpan w:val="2"/>
            <w:tcBorders>
              <w:top w:val="single" w:sz="4" w:space="0" w:color="auto"/>
              <w:bottom w:val="single" w:sz="4" w:space="0" w:color="auto"/>
            </w:tcBorders>
            <w:shd w:val="clear" w:color="auto" w:fill="8DB3E2" w:themeFill="text2" w:themeFillTint="66"/>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left="-107" w:firstLine="0"/>
              <w:jc w:val="right"/>
              <w:rPr>
                <w:rFonts w:ascii="Arial" w:hAnsi="Arial" w:cs="Arial"/>
                <w:spacing w:val="6"/>
                <w:sz w:val="18"/>
                <w:szCs w:val="18"/>
              </w:rPr>
            </w:pPr>
            <w:r w:rsidRPr="00B01865">
              <w:rPr>
                <w:rFonts w:ascii="Arial" w:hAnsi="Arial" w:cs="Arial"/>
                <w:spacing w:val="6"/>
                <w:sz w:val="18"/>
                <w:szCs w:val="18"/>
              </w:rPr>
              <w:t>Total</w:t>
            </w:r>
          </w:p>
        </w:tc>
      </w:tr>
      <w:tr w:rsidR="007C238C" w:rsidRPr="00B01865" w:rsidTr="009E512D">
        <w:trPr>
          <w:trHeight w:val="198"/>
        </w:trPr>
        <w:tc>
          <w:tcPr>
            <w:tcW w:w="3829" w:type="dxa"/>
            <w:tcBorders>
              <w:top w:val="single" w:sz="4"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sidRPr="00B01865">
              <w:rPr>
                <w:rFonts w:ascii="Arial Narrow" w:hAnsi="Arial Narrow"/>
                <w:spacing w:val="6"/>
              </w:rPr>
              <w:t>Canal de Navarra 1ª fase</w:t>
            </w:r>
          </w:p>
        </w:tc>
        <w:tc>
          <w:tcPr>
            <w:tcW w:w="1015" w:type="dxa"/>
            <w:tcBorders>
              <w:top w:val="single" w:sz="4"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16.314</w:t>
            </w:r>
          </w:p>
        </w:tc>
        <w:tc>
          <w:tcPr>
            <w:tcW w:w="909" w:type="dxa"/>
            <w:tcBorders>
              <w:top w:val="single" w:sz="4"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16.764</w:t>
            </w:r>
          </w:p>
        </w:tc>
        <w:tc>
          <w:tcPr>
            <w:tcW w:w="909" w:type="dxa"/>
            <w:tcBorders>
              <w:top w:val="single" w:sz="4"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17.227</w:t>
            </w:r>
          </w:p>
        </w:tc>
        <w:tc>
          <w:tcPr>
            <w:tcW w:w="1200" w:type="dxa"/>
            <w:tcBorders>
              <w:top w:val="single" w:sz="4"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331.906</w:t>
            </w:r>
          </w:p>
        </w:tc>
        <w:tc>
          <w:tcPr>
            <w:tcW w:w="1099" w:type="dxa"/>
            <w:gridSpan w:val="2"/>
            <w:tcBorders>
              <w:top w:val="single" w:sz="4" w:space="0" w:color="auto"/>
              <w:bottom w:val="single" w:sz="2" w:space="0" w:color="auto"/>
            </w:tcBorders>
            <w:vAlign w:val="bottom"/>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382.211</w:t>
            </w:r>
          </w:p>
        </w:tc>
      </w:tr>
      <w:tr w:rsidR="007C238C" w:rsidRPr="00B01865" w:rsidTr="009E512D">
        <w:trPr>
          <w:trHeight w:val="198"/>
        </w:trPr>
        <w:tc>
          <w:tcPr>
            <w:tcW w:w="3829"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sidRPr="00B01865">
              <w:rPr>
                <w:rFonts w:ascii="Arial Narrow" w:hAnsi="Arial Narrow"/>
                <w:spacing w:val="6"/>
              </w:rPr>
              <w:t>Canal de Navarra ampliación 1ª fase</w:t>
            </w:r>
          </w:p>
        </w:tc>
        <w:tc>
          <w:tcPr>
            <w:tcW w:w="1015"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9.878</w:t>
            </w:r>
          </w:p>
        </w:tc>
        <w:tc>
          <w:tcPr>
            <w:tcW w:w="909"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16.462</w:t>
            </w:r>
          </w:p>
        </w:tc>
        <w:tc>
          <w:tcPr>
            <w:tcW w:w="909"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16.921</w:t>
            </w:r>
          </w:p>
        </w:tc>
        <w:tc>
          <w:tcPr>
            <w:tcW w:w="1200"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528.714</w:t>
            </w:r>
          </w:p>
        </w:tc>
        <w:tc>
          <w:tcPr>
            <w:tcW w:w="1099" w:type="dxa"/>
            <w:gridSpan w:val="2"/>
            <w:tcBorders>
              <w:top w:val="single" w:sz="2" w:space="0" w:color="auto"/>
              <w:bottom w:val="single" w:sz="2" w:space="0" w:color="auto"/>
            </w:tcBorders>
            <w:vAlign w:val="bottom"/>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571.975</w:t>
            </w:r>
          </w:p>
        </w:tc>
      </w:tr>
      <w:tr w:rsidR="007C238C" w:rsidRPr="00B01865" w:rsidTr="009E512D">
        <w:trPr>
          <w:trHeight w:val="198"/>
        </w:trPr>
        <w:tc>
          <w:tcPr>
            <w:tcW w:w="3829"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sidRPr="00B01865">
              <w:rPr>
                <w:rFonts w:ascii="Arial Narrow" w:hAnsi="Arial Narrow"/>
                <w:spacing w:val="6"/>
              </w:rPr>
              <w:t>Autovía del Camino</w:t>
            </w:r>
          </w:p>
        </w:tc>
        <w:tc>
          <w:tcPr>
            <w:tcW w:w="1015"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48.750</w:t>
            </w:r>
          </w:p>
        </w:tc>
        <w:tc>
          <w:tcPr>
            <w:tcW w:w="909"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53.446</w:t>
            </w:r>
          </w:p>
        </w:tc>
        <w:tc>
          <w:tcPr>
            <w:tcW w:w="909"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55.531</w:t>
            </w:r>
          </w:p>
        </w:tc>
        <w:tc>
          <w:tcPr>
            <w:tcW w:w="1200"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446.112</w:t>
            </w:r>
          </w:p>
        </w:tc>
        <w:tc>
          <w:tcPr>
            <w:tcW w:w="1099" w:type="dxa"/>
            <w:gridSpan w:val="2"/>
            <w:tcBorders>
              <w:top w:val="single" w:sz="2" w:space="0" w:color="auto"/>
              <w:bottom w:val="single" w:sz="2" w:space="0" w:color="auto"/>
            </w:tcBorders>
            <w:vAlign w:val="bottom"/>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603.839</w:t>
            </w:r>
          </w:p>
        </w:tc>
      </w:tr>
      <w:tr w:rsidR="007C238C" w:rsidRPr="00B01865" w:rsidTr="009E512D">
        <w:trPr>
          <w:trHeight w:val="198"/>
        </w:trPr>
        <w:tc>
          <w:tcPr>
            <w:tcW w:w="3829"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left="-42" w:firstLine="0"/>
              <w:rPr>
                <w:rFonts w:ascii="Arial Narrow" w:hAnsi="Arial Narrow"/>
                <w:spacing w:val="6"/>
              </w:rPr>
            </w:pPr>
            <w:r w:rsidRPr="00B01865">
              <w:rPr>
                <w:rFonts w:ascii="Arial Narrow" w:hAnsi="Arial Narrow"/>
                <w:spacing w:val="6"/>
              </w:rPr>
              <w:t>Autovía del Pirineo</w:t>
            </w:r>
          </w:p>
        </w:tc>
        <w:tc>
          <w:tcPr>
            <w:tcW w:w="1015"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18.068</w:t>
            </w:r>
          </w:p>
        </w:tc>
        <w:tc>
          <w:tcPr>
            <w:tcW w:w="909"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20.403</w:t>
            </w:r>
          </w:p>
        </w:tc>
        <w:tc>
          <w:tcPr>
            <w:tcW w:w="909"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21.540</w:t>
            </w:r>
          </w:p>
        </w:tc>
        <w:tc>
          <w:tcPr>
            <w:tcW w:w="1200" w:type="dxa"/>
            <w:tcBorders>
              <w:top w:val="single" w:sz="2" w:space="0" w:color="auto"/>
              <w:bottom w:val="single" w:sz="2" w:space="0" w:color="auto"/>
            </w:tcBorders>
            <w:vAlign w:val="center"/>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578.880</w:t>
            </w:r>
          </w:p>
        </w:tc>
        <w:tc>
          <w:tcPr>
            <w:tcW w:w="1099" w:type="dxa"/>
            <w:gridSpan w:val="2"/>
            <w:tcBorders>
              <w:top w:val="single" w:sz="2" w:space="0" w:color="auto"/>
              <w:bottom w:val="single" w:sz="2" w:space="0" w:color="auto"/>
            </w:tcBorders>
            <w:vAlign w:val="bottom"/>
          </w:tcPr>
          <w:p w:rsidR="007C238C" w:rsidRPr="00B01865" w:rsidRDefault="007C238C" w:rsidP="009E512D">
            <w:pPr>
              <w:tabs>
                <w:tab w:val="center" w:pos="2835"/>
                <w:tab w:val="center" w:pos="3969"/>
                <w:tab w:val="num" w:pos="4920"/>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638.891</w:t>
            </w:r>
          </w:p>
        </w:tc>
      </w:tr>
      <w:tr w:rsidR="007C238C" w:rsidRPr="00B01865" w:rsidTr="009E512D">
        <w:trPr>
          <w:trHeight w:val="238"/>
        </w:trPr>
        <w:tc>
          <w:tcPr>
            <w:tcW w:w="3829" w:type="dxa"/>
            <w:tcBorders>
              <w:top w:val="single" w:sz="2" w:space="0" w:color="auto"/>
              <w:bottom w:val="single" w:sz="4" w:space="0" w:color="auto"/>
            </w:tcBorders>
            <w:shd w:val="clear" w:color="auto" w:fill="8DB3E2" w:themeFill="text2" w:themeFillTint="66"/>
            <w:vAlign w:val="center"/>
          </w:tcPr>
          <w:p w:rsidR="007C238C" w:rsidRPr="00B01865" w:rsidRDefault="007C238C" w:rsidP="009E512D">
            <w:pPr>
              <w:keepLines/>
              <w:tabs>
                <w:tab w:val="right" w:pos="2835"/>
                <w:tab w:val="right" w:pos="3969"/>
                <w:tab w:val="right" w:pos="5103"/>
                <w:tab w:val="right" w:pos="6237"/>
                <w:tab w:val="right" w:pos="7371"/>
              </w:tabs>
              <w:spacing w:after="0"/>
              <w:ind w:firstLine="0"/>
              <w:rPr>
                <w:rFonts w:ascii="Arial" w:hAnsi="Arial" w:cs="Arial"/>
                <w:spacing w:val="6"/>
                <w:sz w:val="18"/>
                <w:szCs w:val="24"/>
              </w:rPr>
            </w:pPr>
            <w:r w:rsidRPr="00B01865">
              <w:rPr>
                <w:rFonts w:ascii="Arial" w:hAnsi="Arial" w:cs="Arial"/>
                <w:spacing w:val="6"/>
                <w:sz w:val="18"/>
                <w:szCs w:val="24"/>
              </w:rPr>
              <w:t>Total</w:t>
            </w:r>
          </w:p>
        </w:tc>
        <w:tc>
          <w:tcPr>
            <w:tcW w:w="1015" w:type="dxa"/>
            <w:tcBorders>
              <w:top w:val="single" w:sz="2" w:space="0" w:color="auto"/>
              <w:bottom w:val="single" w:sz="4" w:space="0" w:color="auto"/>
            </w:tcBorders>
            <w:shd w:val="clear" w:color="auto" w:fill="8DB3E2" w:themeFill="text2" w:themeFillTint="66"/>
            <w:vAlign w:val="bottom"/>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93.010</w:t>
            </w:r>
          </w:p>
        </w:tc>
        <w:tc>
          <w:tcPr>
            <w:tcW w:w="909" w:type="dxa"/>
            <w:tcBorders>
              <w:top w:val="single" w:sz="2" w:space="0" w:color="auto"/>
              <w:bottom w:val="single" w:sz="4" w:space="0" w:color="auto"/>
            </w:tcBorders>
            <w:shd w:val="clear" w:color="auto" w:fill="8DB3E2" w:themeFill="text2" w:themeFillTint="66"/>
            <w:vAlign w:val="bottom"/>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107.075</w:t>
            </w:r>
          </w:p>
        </w:tc>
        <w:tc>
          <w:tcPr>
            <w:tcW w:w="909" w:type="dxa"/>
            <w:tcBorders>
              <w:top w:val="single" w:sz="2" w:space="0" w:color="auto"/>
              <w:bottom w:val="single" w:sz="4" w:space="0" w:color="auto"/>
            </w:tcBorders>
            <w:shd w:val="clear" w:color="auto" w:fill="8DB3E2" w:themeFill="text2" w:themeFillTint="66"/>
            <w:vAlign w:val="bottom"/>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111.219</w:t>
            </w:r>
          </w:p>
        </w:tc>
        <w:tc>
          <w:tcPr>
            <w:tcW w:w="1200" w:type="dxa"/>
            <w:tcBorders>
              <w:top w:val="single" w:sz="2" w:space="0" w:color="auto"/>
              <w:bottom w:val="single" w:sz="4" w:space="0" w:color="auto"/>
            </w:tcBorders>
            <w:shd w:val="clear" w:color="auto" w:fill="8DB3E2" w:themeFill="text2" w:themeFillTint="66"/>
            <w:vAlign w:val="bottom"/>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1.885.612</w:t>
            </w:r>
          </w:p>
        </w:tc>
        <w:tc>
          <w:tcPr>
            <w:tcW w:w="1099" w:type="dxa"/>
            <w:gridSpan w:val="2"/>
            <w:tcBorders>
              <w:top w:val="single" w:sz="2" w:space="0" w:color="auto"/>
              <w:bottom w:val="single" w:sz="4" w:space="0" w:color="auto"/>
            </w:tcBorders>
            <w:shd w:val="clear" w:color="auto" w:fill="8DB3E2" w:themeFill="text2" w:themeFillTint="66"/>
            <w:vAlign w:val="bottom"/>
          </w:tcPr>
          <w:p w:rsidR="007C238C" w:rsidRPr="00B01865" w:rsidRDefault="007C238C"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2.196.916</w:t>
            </w:r>
          </w:p>
        </w:tc>
      </w:tr>
    </w:tbl>
    <w:p w:rsidR="007C238C" w:rsidRPr="00F1411B" w:rsidRDefault="007C238C" w:rsidP="00F1411B">
      <w:pPr>
        <w:pStyle w:val="texto"/>
        <w:spacing w:before="240"/>
        <w:rPr>
          <w:rFonts w:cs="Arial"/>
          <w:i/>
        </w:rPr>
      </w:pPr>
      <w:r w:rsidRPr="00F1411B">
        <w:rPr>
          <w:i/>
          <w:lang w:val="es-ES"/>
        </w:rPr>
        <w:t>Recomendamos</w:t>
      </w:r>
      <w:r w:rsidR="00F1411B" w:rsidRPr="00F1411B">
        <w:rPr>
          <w:i/>
          <w:lang w:val="es-ES"/>
        </w:rPr>
        <w:t xml:space="preserve"> r</w:t>
      </w:r>
      <w:proofErr w:type="spellStart"/>
      <w:r w:rsidRPr="00F1411B">
        <w:rPr>
          <w:rFonts w:cs="Arial"/>
          <w:i/>
        </w:rPr>
        <w:t>eflejar</w:t>
      </w:r>
      <w:proofErr w:type="spellEnd"/>
      <w:r w:rsidRPr="00F1411B">
        <w:rPr>
          <w:rFonts w:cs="Arial"/>
          <w:i/>
        </w:rPr>
        <w:t xml:space="preserve"> </w:t>
      </w:r>
      <w:r w:rsidR="00D043DA">
        <w:rPr>
          <w:rFonts w:cs="Arial"/>
          <w:i/>
        </w:rPr>
        <w:t>en el apartado de contingencias todas las existentes</w:t>
      </w:r>
      <w:r w:rsidRPr="00F1411B">
        <w:rPr>
          <w:rFonts w:cs="Arial"/>
          <w:i/>
        </w:rPr>
        <w:t>.</w:t>
      </w:r>
    </w:p>
    <w:p w:rsidR="00D3747C" w:rsidRPr="007C238C" w:rsidRDefault="00D3747C" w:rsidP="007C238C">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bookmarkStart w:id="64" w:name="_Toc463350249"/>
      <w:bookmarkStart w:id="65" w:name="_Toc494270383"/>
      <w:bookmarkStart w:id="66" w:name="_Toc525907439"/>
      <w:r w:rsidRPr="007C238C">
        <w:rPr>
          <w:rFonts w:cs="Arial"/>
          <w:i/>
        </w:rPr>
        <w:br w:type="page"/>
      </w:r>
    </w:p>
    <w:p w:rsidR="00B01865" w:rsidRDefault="00B01865" w:rsidP="00E1691A">
      <w:pPr>
        <w:pStyle w:val="atitulo2"/>
        <w:spacing w:before="240"/>
        <w:rPr>
          <w:spacing w:val="6"/>
          <w:sz w:val="26"/>
          <w:szCs w:val="24"/>
          <w:lang w:val="es-ES"/>
        </w:rPr>
      </w:pPr>
      <w:bookmarkStart w:id="67" w:name="_Toc530034667"/>
      <w:r w:rsidRPr="00B01865">
        <w:rPr>
          <w:bCs w:val="0"/>
          <w:iCs w:val="0"/>
        </w:rPr>
        <w:lastRenderedPageBreak/>
        <w:t>V.2. Situación económico-financiera de la ACFN y sus OOAA a 31 de d</w:t>
      </w:r>
      <w:r w:rsidRPr="00B01865">
        <w:rPr>
          <w:bCs w:val="0"/>
          <w:iCs w:val="0"/>
        </w:rPr>
        <w:t>i</w:t>
      </w:r>
      <w:r w:rsidRPr="00B01865">
        <w:rPr>
          <w:bCs w:val="0"/>
          <w:iCs w:val="0"/>
        </w:rPr>
        <w:t>ciembre de 201</w:t>
      </w:r>
      <w:bookmarkEnd w:id="64"/>
      <w:bookmarkEnd w:id="65"/>
      <w:r w:rsidRPr="00B01865">
        <w:rPr>
          <w:bCs w:val="0"/>
          <w:iCs w:val="0"/>
        </w:rPr>
        <w:t>7</w:t>
      </w:r>
      <w:bookmarkEnd w:id="66"/>
      <w:bookmarkEnd w:id="67"/>
    </w:p>
    <w:p w:rsidR="00B01865" w:rsidRPr="00B01865" w:rsidRDefault="00B01865" w:rsidP="00512132">
      <w:pPr>
        <w:pStyle w:val="texto"/>
      </w:pPr>
      <w:r w:rsidRPr="00B01865">
        <w:rPr>
          <w:lang w:val="es-ES"/>
        </w:rPr>
        <w:t>En e</w:t>
      </w:r>
      <w:r w:rsidR="00F7553A">
        <w:rPr>
          <w:lang w:val="es-ES"/>
        </w:rPr>
        <w:t xml:space="preserve">l cuadro siguiente se muestra </w:t>
      </w:r>
      <w:r w:rsidRPr="00B01865">
        <w:rPr>
          <w:lang w:val="es-ES"/>
        </w:rPr>
        <w:t>la evolución de un conjunto de indicadores</w:t>
      </w:r>
      <w:r w:rsidR="00F7553A">
        <w:rPr>
          <w:lang w:val="es-ES"/>
        </w:rPr>
        <w:t xml:space="preserve"> relacionados con la situación económico-financiera</w:t>
      </w:r>
      <w:r w:rsidRPr="00B01865">
        <w:rPr>
          <w:lang w:val="es-ES"/>
        </w:rPr>
        <w:t xml:space="preserve"> de la ACFN en 2016 y 2017:</w:t>
      </w:r>
    </w:p>
    <w:tbl>
      <w:tblPr>
        <w:tblW w:w="8848" w:type="dxa"/>
        <w:tblInd w:w="55" w:type="dxa"/>
        <w:tblCellMar>
          <w:left w:w="70" w:type="dxa"/>
          <w:right w:w="70" w:type="dxa"/>
        </w:tblCellMar>
        <w:tblLook w:val="04A0" w:firstRow="1" w:lastRow="0" w:firstColumn="1" w:lastColumn="0" w:noHBand="0" w:noVBand="1"/>
      </w:tblPr>
      <w:tblGrid>
        <w:gridCol w:w="4531"/>
        <w:gridCol w:w="1438"/>
        <w:gridCol w:w="1559"/>
        <w:gridCol w:w="1320"/>
      </w:tblGrid>
      <w:tr w:rsidR="00B01865" w:rsidRPr="00B01865" w:rsidTr="00734A6D">
        <w:trPr>
          <w:trHeight w:val="255"/>
        </w:trPr>
        <w:tc>
          <w:tcPr>
            <w:tcW w:w="8848" w:type="dxa"/>
            <w:gridSpan w:val="4"/>
            <w:tcBorders>
              <w:left w:val="nil"/>
              <w:bottom w:val="single" w:sz="4" w:space="0" w:color="auto"/>
              <w:right w:val="nil"/>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B01865">
              <w:rPr>
                <w:rFonts w:ascii="Arial" w:hAnsi="Arial" w:cs="Arial"/>
                <w:spacing w:val="6"/>
                <w:sz w:val="17"/>
                <w:szCs w:val="17"/>
              </w:rPr>
              <w:t>(en miles de euros)</w:t>
            </w:r>
          </w:p>
        </w:tc>
      </w:tr>
      <w:tr w:rsidR="00B01865" w:rsidRPr="00B01865" w:rsidTr="00B01865">
        <w:trPr>
          <w:trHeight w:val="255"/>
        </w:trPr>
        <w:tc>
          <w:tcPr>
            <w:tcW w:w="4531"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spacing w:after="0"/>
              <w:ind w:firstLine="0"/>
              <w:rPr>
                <w:rFonts w:ascii="Arial" w:hAnsi="Arial" w:cs="Arial"/>
                <w:color w:val="000000"/>
                <w:sz w:val="18"/>
                <w:szCs w:val="18"/>
                <w:lang w:val="es-ES" w:eastAsia="es-ES"/>
              </w:rPr>
            </w:pPr>
            <w:r w:rsidRPr="00B01865">
              <w:rPr>
                <w:rFonts w:ascii="Arial" w:hAnsi="Arial" w:cs="Arial"/>
                <w:color w:val="000000"/>
                <w:sz w:val="18"/>
                <w:szCs w:val="18"/>
                <w:lang w:val="es-ES" w:eastAsia="es-ES"/>
              </w:rPr>
              <w:t xml:space="preserve">Indicador </w:t>
            </w:r>
          </w:p>
        </w:tc>
        <w:tc>
          <w:tcPr>
            <w:tcW w:w="1438"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2016</w:t>
            </w:r>
          </w:p>
        </w:tc>
        <w:tc>
          <w:tcPr>
            <w:tcW w:w="1559"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2017</w:t>
            </w:r>
          </w:p>
        </w:tc>
        <w:tc>
          <w:tcPr>
            <w:tcW w:w="1320"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 variación  2017/2016</w:t>
            </w:r>
          </w:p>
        </w:tc>
      </w:tr>
      <w:tr w:rsidR="00B01865" w:rsidRPr="00B01865" w:rsidTr="00B01865">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 xml:space="preserve">Saldo presupuestario no financiero </w:t>
            </w:r>
          </w:p>
        </w:tc>
        <w:tc>
          <w:tcPr>
            <w:tcW w:w="1438"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lang w:val="es-ES" w:eastAsia="es-ES"/>
              </w:rPr>
            </w:pPr>
            <w:r w:rsidRPr="00B01865">
              <w:rPr>
                <w:rFonts w:ascii="Arial Narrow" w:hAnsi="Arial Narrow"/>
                <w:lang w:val="es-ES" w:eastAsia="es-ES"/>
              </w:rPr>
              <w:t>-56.996</w:t>
            </w:r>
          </w:p>
        </w:tc>
        <w:tc>
          <w:tcPr>
            <w:tcW w:w="1559" w:type="dxa"/>
            <w:tcBorders>
              <w:top w:val="single" w:sz="2" w:space="0" w:color="auto"/>
              <w:left w:val="nil"/>
              <w:bottom w:val="single" w:sz="2" w:space="0" w:color="auto"/>
              <w:right w:val="nil"/>
            </w:tcBorders>
            <w:shd w:val="clear" w:color="auto" w:fill="auto"/>
            <w:vAlign w:val="center"/>
          </w:tcPr>
          <w:p w:rsidR="00B01865" w:rsidRPr="00B01865" w:rsidRDefault="00B01865" w:rsidP="00B01865">
            <w:pPr>
              <w:spacing w:after="0"/>
              <w:ind w:firstLine="0"/>
              <w:jc w:val="right"/>
              <w:rPr>
                <w:rFonts w:ascii="Arial Narrow" w:hAnsi="Arial Narrow"/>
                <w:lang w:val="es-ES" w:eastAsia="es-ES"/>
              </w:rPr>
            </w:pPr>
            <w:r w:rsidRPr="00B01865">
              <w:rPr>
                <w:rFonts w:ascii="Arial Narrow" w:hAnsi="Arial Narrow"/>
                <w:lang w:val="es-ES" w:eastAsia="es-ES"/>
              </w:rPr>
              <w:t>350.883</w:t>
            </w:r>
          </w:p>
        </w:tc>
        <w:tc>
          <w:tcPr>
            <w:tcW w:w="1320"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lang w:val="es-ES" w:eastAsia="es-ES"/>
              </w:rPr>
            </w:pPr>
            <w:r w:rsidRPr="00B01865">
              <w:rPr>
                <w:rFonts w:ascii="Arial Narrow" w:hAnsi="Arial Narrow"/>
                <w:lang w:val="es-ES" w:eastAsia="es-ES"/>
              </w:rPr>
              <w:t>716</w:t>
            </w:r>
          </w:p>
        </w:tc>
      </w:tr>
      <w:tr w:rsidR="00B01865" w:rsidRPr="00B01865" w:rsidTr="00B01865">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lang w:val="es-ES" w:eastAsia="es-ES"/>
              </w:rPr>
            </w:pPr>
            <w:r w:rsidRPr="00B01865">
              <w:rPr>
                <w:rFonts w:ascii="Arial Narrow" w:hAnsi="Arial Narrow"/>
                <w:lang w:val="es-ES" w:eastAsia="es-ES"/>
              </w:rPr>
              <w:t>Resultado presupuestario ajustado</w:t>
            </w:r>
          </w:p>
        </w:tc>
        <w:tc>
          <w:tcPr>
            <w:tcW w:w="1438"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lang w:val="es-ES" w:eastAsia="es-ES"/>
              </w:rPr>
            </w:pPr>
            <w:r w:rsidRPr="00B01865">
              <w:rPr>
                <w:rFonts w:ascii="Arial Narrow" w:hAnsi="Arial Narrow"/>
                <w:lang w:val="es-ES" w:eastAsia="es-ES"/>
              </w:rPr>
              <w:t>113.036</w:t>
            </w:r>
          </w:p>
        </w:tc>
        <w:tc>
          <w:tcPr>
            <w:tcW w:w="1559" w:type="dxa"/>
            <w:tcBorders>
              <w:top w:val="single" w:sz="2" w:space="0" w:color="auto"/>
              <w:left w:val="nil"/>
              <w:bottom w:val="single" w:sz="2" w:space="0" w:color="auto"/>
              <w:right w:val="nil"/>
            </w:tcBorders>
            <w:shd w:val="clear" w:color="auto" w:fill="auto"/>
            <w:noWrap/>
            <w:vAlign w:val="center"/>
          </w:tcPr>
          <w:p w:rsidR="00B01865" w:rsidRPr="00B01865" w:rsidRDefault="00B01865" w:rsidP="00B01865">
            <w:pPr>
              <w:spacing w:after="0"/>
              <w:ind w:firstLine="0"/>
              <w:jc w:val="right"/>
              <w:rPr>
                <w:rFonts w:ascii="Arial Narrow" w:hAnsi="Arial Narrow"/>
                <w:lang w:val="es-ES" w:eastAsia="es-ES"/>
              </w:rPr>
            </w:pPr>
            <w:r w:rsidRPr="00B01865">
              <w:rPr>
                <w:rFonts w:ascii="Arial Narrow" w:hAnsi="Arial Narrow"/>
                <w:lang w:val="es-ES" w:eastAsia="es-ES"/>
              </w:rPr>
              <w:t>551.411</w:t>
            </w:r>
          </w:p>
        </w:tc>
        <w:tc>
          <w:tcPr>
            <w:tcW w:w="1320"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lang w:val="es-ES" w:eastAsia="es-ES"/>
              </w:rPr>
            </w:pPr>
            <w:r w:rsidRPr="00B01865">
              <w:rPr>
                <w:rFonts w:ascii="Arial Narrow" w:hAnsi="Arial Narrow"/>
                <w:lang w:val="es-ES" w:eastAsia="es-ES"/>
              </w:rPr>
              <w:t>388</w:t>
            </w:r>
          </w:p>
        </w:tc>
      </w:tr>
      <w:tr w:rsidR="00B01865" w:rsidRPr="00B01865" w:rsidTr="00B01865">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Remanente de Tesorería para Gastos Generales</w:t>
            </w:r>
          </w:p>
        </w:tc>
        <w:tc>
          <w:tcPr>
            <w:tcW w:w="1438"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lang w:val="es-ES" w:eastAsia="es-ES"/>
              </w:rPr>
            </w:pPr>
            <w:r w:rsidRPr="00B01865">
              <w:rPr>
                <w:rFonts w:ascii="Arial Narrow" w:hAnsi="Arial Narrow"/>
                <w:lang w:val="es-ES" w:eastAsia="es-ES"/>
              </w:rPr>
              <w:t>-183.622</w:t>
            </w:r>
          </w:p>
        </w:tc>
        <w:tc>
          <w:tcPr>
            <w:tcW w:w="1559" w:type="dxa"/>
            <w:tcBorders>
              <w:top w:val="single" w:sz="2" w:space="0" w:color="auto"/>
              <w:left w:val="nil"/>
              <w:bottom w:val="single" w:sz="2" w:space="0" w:color="auto"/>
              <w:right w:val="nil"/>
            </w:tcBorders>
            <w:shd w:val="clear" w:color="auto" w:fill="auto"/>
            <w:noWrap/>
            <w:vAlign w:val="center"/>
          </w:tcPr>
          <w:p w:rsidR="00B01865" w:rsidRPr="00B01865" w:rsidRDefault="00B01865" w:rsidP="00B01865">
            <w:pPr>
              <w:spacing w:after="0"/>
              <w:ind w:firstLine="0"/>
              <w:jc w:val="right"/>
              <w:rPr>
                <w:rFonts w:ascii="Arial Narrow" w:hAnsi="Arial Narrow"/>
                <w:lang w:val="es-ES" w:eastAsia="es-ES"/>
              </w:rPr>
            </w:pPr>
            <w:r w:rsidRPr="00B01865">
              <w:rPr>
                <w:rFonts w:ascii="Arial Narrow" w:hAnsi="Arial Narrow"/>
                <w:lang w:val="es-ES" w:eastAsia="es-ES"/>
              </w:rPr>
              <w:t>359.210</w:t>
            </w:r>
          </w:p>
        </w:tc>
        <w:tc>
          <w:tcPr>
            <w:tcW w:w="1320"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FF0000"/>
                <w:lang w:val="es-ES" w:eastAsia="es-ES"/>
              </w:rPr>
            </w:pPr>
            <w:r w:rsidRPr="00B01865">
              <w:rPr>
                <w:rFonts w:ascii="Arial Narrow" w:hAnsi="Arial Narrow"/>
                <w:lang w:val="es-ES" w:eastAsia="es-ES"/>
              </w:rPr>
              <w:t>296</w:t>
            </w:r>
          </w:p>
        </w:tc>
      </w:tr>
      <w:tr w:rsidR="00B01865" w:rsidRPr="00B01865" w:rsidTr="00B01865">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Ahorro Bruto</w:t>
            </w:r>
          </w:p>
        </w:tc>
        <w:tc>
          <w:tcPr>
            <w:tcW w:w="1438" w:type="dxa"/>
            <w:tcBorders>
              <w:top w:val="single" w:sz="2" w:space="0" w:color="auto"/>
              <w:left w:val="nil"/>
              <w:bottom w:val="single" w:sz="2" w:space="0" w:color="auto"/>
              <w:right w:val="nil"/>
            </w:tcBorders>
            <w:shd w:val="clear" w:color="auto" w:fill="auto"/>
            <w:vAlign w:val="center"/>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200.633</w:t>
            </w:r>
          </w:p>
        </w:tc>
        <w:tc>
          <w:tcPr>
            <w:tcW w:w="1559" w:type="dxa"/>
            <w:tcBorders>
              <w:top w:val="single" w:sz="2" w:space="0" w:color="auto"/>
              <w:left w:val="nil"/>
              <w:bottom w:val="single" w:sz="2" w:space="0" w:color="auto"/>
              <w:right w:val="nil"/>
            </w:tcBorders>
            <w:shd w:val="clear" w:color="auto" w:fill="auto"/>
            <w:vAlign w:val="center"/>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657.392</w:t>
            </w:r>
          </w:p>
        </w:tc>
        <w:tc>
          <w:tcPr>
            <w:tcW w:w="1320" w:type="dxa"/>
            <w:tcBorders>
              <w:top w:val="single" w:sz="2" w:space="0" w:color="auto"/>
              <w:left w:val="nil"/>
              <w:bottom w:val="single" w:sz="2" w:space="0" w:color="auto"/>
              <w:right w:val="nil"/>
            </w:tcBorders>
            <w:shd w:val="clear" w:color="auto" w:fill="auto"/>
            <w:noWrap/>
            <w:vAlign w:val="center"/>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228</w:t>
            </w:r>
          </w:p>
        </w:tc>
      </w:tr>
      <w:tr w:rsidR="00B01865" w:rsidRPr="00B01865" w:rsidTr="00B01865">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Carga financiera (cap. 3 y 9)</w:t>
            </w:r>
          </w:p>
        </w:tc>
        <w:tc>
          <w:tcPr>
            <w:tcW w:w="1438"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519.977</w:t>
            </w:r>
          </w:p>
        </w:tc>
        <w:tc>
          <w:tcPr>
            <w:tcW w:w="1559" w:type="dxa"/>
            <w:tcBorders>
              <w:top w:val="single" w:sz="2" w:space="0" w:color="auto"/>
              <w:left w:val="nil"/>
              <w:bottom w:val="single" w:sz="2" w:space="0" w:color="auto"/>
              <w:right w:val="nil"/>
            </w:tcBorders>
            <w:shd w:val="clear" w:color="auto" w:fill="auto"/>
            <w:vAlign w:val="center"/>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384.801</w:t>
            </w:r>
          </w:p>
        </w:tc>
        <w:tc>
          <w:tcPr>
            <w:tcW w:w="1320"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-26</w:t>
            </w:r>
          </w:p>
        </w:tc>
      </w:tr>
      <w:tr w:rsidR="00B01865" w:rsidRPr="00B01865" w:rsidTr="00B01865">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Ahorro neto</w:t>
            </w:r>
          </w:p>
        </w:tc>
        <w:tc>
          <w:tcPr>
            <w:tcW w:w="1438" w:type="dxa"/>
            <w:tcBorders>
              <w:top w:val="single" w:sz="2" w:space="0" w:color="auto"/>
              <w:left w:val="nil"/>
              <w:bottom w:val="single" w:sz="2" w:space="0" w:color="auto"/>
              <w:right w:val="nil"/>
            </w:tcBorders>
            <w:shd w:val="clear" w:color="auto" w:fill="auto"/>
            <w:vAlign w:val="center"/>
          </w:tcPr>
          <w:p w:rsidR="00B01865" w:rsidRPr="00B01865" w:rsidRDefault="00B01865" w:rsidP="00B01865">
            <w:pPr>
              <w:spacing w:after="0"/>
              <w:ind w:firstLine="0"/>
              <w:jc w:val="right"/>
              <w:rPr>
                <w:rFonts w:ascii="Arial Narrow" w:hAnsi="Arial Narrow"/>
                <w:lang w:val="es-ES" w:eastAsia="es-ES"/>
              </w:rPr>
            </w:pPr>
            <w:r w:rsidRPr="00B01865">
              <w:rPr>
                <w:rFonts w:ascii="Arial Narrow" w:hAnsi="Arial Narrow"/>
                <w:lang w:val="es-ES" w:eastAsia="es-ES"/>
              </w:rPr>
              <w:t>-319.344</w:t>
            </w:r>
          </w:p>
        </w:tc>
        <w:tc>
          <w:tcPr>
            <w:tcW w:w="1559" w:type="dxa"/>
            <w:tcBorders>
              <w:top w:val="single" w:sz="2" w:space="0" w:color="auto"/>
              <w:left w:val="nil"/>
              <w:bottom w:val="single" w:sz="2" w:space="0" w:color="auto"/>
              <w:right w:val="nil"/>
            </w:tcBorders>
            <w:shd w:val="clear" w:color="auto" w:fill="auto"/>
            <w:vAlign w:val="center"/>
          </w:tcPr>
          <w:p w:rsidR="00B01865" w:rsidRPr="00B01865" w:rsidRDefault="00B01865" w:rsidP="00B01865">
            <w:pPr>
              <w:spacing w:after="0"/>
              <w:ind w:firstLine="0"/>
              <w:jc w:val="right"/>
              <w:rPr>
                <w:rFonts w:ascii="Arial Narrow" w:hAnsi="Arial Narrow"/>
                <w:lang w:val="es-ES" w:eastAsia="es-ES"/>
              </w:rPr>
            </w:pPr>
            <w:r w:rsidRPr="00B01865">
              <w:rPr>
                <w:rFonts w:ascii="Arial Narrow" w:hAnsi="Arial Narrow"/>
                <w:lang w:val="es-ES" w:eastAsia="es-ES"/>
              </w:rPr>
              <w:t>272.591</w:t>
            </w:r>
          </w:p>
        </w:tc>
        <w:tc>
          <w:tcPr>
            <w:tcW w:w="1320" w:type="dxa"/>
            <w:tcBorders>
              <w:top w:val="single" w:sz="2" w:space="0" w:color="auto"/>
              <w:left w:val="nil"/>
              <w:bottom w:val="single" w:sz="2" w:space="0" w:color="auto"/>
              <w:right w:val="nil"/>
            </w:tcBorders>
            <w:shd w:val="clear" w:color="auto" w:fill="auto"/>
            <w:noWrap/>
            <w:vAlign w:val="center"/>
          </w:tcPr>
          <w:p w:rsidR="00B01865" w:rsidRPr="00B01865" w:rsidRDefault="00B01865" w:rsidP="00B01865">
            <w:pPr>
              <w:spacing w:after="0"/>
              <w:ind w:firstLine="0"/>
              <w:jc w:val="right"/>
              <w:rPr>
                <w:rFonts w:ascii="Arial Narrow" w:hAnsi="Arial Narrow"/>
                <w:lang w:val="es-ES" w:eastAsia="es-ES"/>
              </w:rPr>
            </w:pPr>
            <w:r w:rsidRPr="00B01865">
              <w:rPr>
                <w:rFonts w:ascii="Arial Narrow" w:hAnsi="Arial Narrow"/>
                <w:lang w:val="es-ES" w:eastAsia="es-ES"/>
              </w:rPr>
              <w:t>185</w:t>
            </w:r>
          </w:p>
        </w:tc>
      </w:tr>
      <w:tr w:rsidR="00B01865" w:rsidRPr="00B01865" w:rsidTr="00B01865">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lang w:val="es-ES" w:eastAsia="es-ES"/>
              </w:rPr>
            </w:pPr>
            <w:r w:rsidRPr="00B01865">
              <w:rPr>
                <w:rFonts w:ascii="Arial Narrow" w:hAnsi="Arial Narrow"/>
                <w:lang w:val="es-ES" w:eastAsia="es-ES"/>
              </w:rPr>
              <w:t>Resultados del ejercicio (desahorro/ahorro)</w:t>
            </w:r>
          </w:p>
        </w:tc>
        <w:tc>
          <w:tcPr>
            <w:tcW w:w="1438"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lang w:val="es-ES" w:eastAsia="es-ES"/>
              </w:rPr>
            </w:pPr>
            <w:r w:rsidRPr="00B01865">
              <w:rPr>
                <w:rFonts w:ascii="Arial Narrow" w:hAnsi="Arial Narrow"/>
                <w:lang w:val="es-ES" w:eastAsia="es-ES"/>
              </w:rPr>
              <w:t>-53.865</w:t>
            </w:r>
          </w:p>
        </w:tc>
        <w:tc>
          <w:tcPr>
            <w:tcW w:w="1559" w:type="dxa"/>
            <w:tcBorders>
              <w:top w:val="single" w:sz="2" w:space="0" w:color="auto"/>
              <w:left w:val="nil"/>
              <w:bottom w:val="single" w:sz="2" w:space="0" w:color="auto"/>
              <w:right w:val="nil"/>
            </w:tcBorders>
            <w:shd w:val="clear" w:color="auto" w:fill="auto"/>
            <w:noWrap/>
            <w:vAlign w:val="center"/>
          </w:tcPr>
          <w:p w:rsidR="00B01865" w:rsidRPr="00B01865" w:rsidRDefault="00B01865" w:rsidP="00B01865">
            <w:pPr>
              <w:spacing w:after="0"/>
              <w:ind w:firstLine="0"/>
              <w:jc w:val="right"/>
              <w:rPr>
                <w:rFonts w:ascii="Arial Narrow" w:hAnsi="Arial Narrow"/>
                <w:lang w:val="es-ES" w:eastAsia="es-ES"/>
              </w:rPr>
            </w:pPr>
            <w:r w:rsidRPr="00B01865">
              <w:rPr>
                <w:rFonts w:ascii="Arial Narrow" w:hAnsi="Arial Narrow"/>
                <w:lang w:val="es-ES" w:eastAsia="es-ES"/>
              </w:rPr>
              <w:t>281.870</w:t>
            </w:r>
          </w:p>
        </w:tc>
        <w:tc>
          <w:tcPr>
            <w:tcW w:w="1320"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lang w:val="es-ES" w:eastAsia="es-ES"/>
              </w:rPr>
            </w:pPr>
            <w:r w:rsidRPr="00B01865">
              <w:rPr>
                <w:rFonts w:ascii="Arial Narrow" w:hAnsi="Arial Narrow"/>
                <w:lang w:val="es-ES" w:eastAsia="es-ES"/>
              </w:rPr>
              <w:t>623</w:t>
            </w:r>
          </w:p>
        </w:tc>
      </w:tr>
      <w:tr w:rsidR="00B01865" w:rsidRPr="00B01865" w:rsidTr="00B01865">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lang w:val="es-ES" w:eastAsia="es-ES"/>
              </w:rPr>
            </w:pPr>
            <w:r w:rsidRPr="00B01865">
              <w:rPr>
                <w:rFonts w:ascii="Arial Narrow" w:hAnsi="Arial Narrow"/>
                <w:lang w:val="es-ES" w:eastAsia="es-ES"/>
              </w:rPr>
              <w:t>Fondos propios</w:t>
            </w:r>
          </w:p>
        </w:tc>
        <w:tc>
          <w:tcPr>
            <w:tcW w:w="1438"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lang w:val="es-ES" w:eastAsia="es-ES"/>
              </w:rPr>
            </w:pPr>
            <w:r w:rsidRPr="00B01865">
              <w:rPr>
                <w:rFonts w:ascii="Arial Narrow" w:hAnsi="Arial Narrow"/>
                <w:lang w:val="es-ES" w:eastAsia="es-ES"/>
              </w:rPr>
              <w:t>-301.678</w:t>
            </w:r>
          </w:p>
        </w:tc>
        <w:tc>
          <w:tcPr>
            <w:tcW w:w="1559" w:type="dxa"/>
            <w:tcBorders>
              <w:top w:val="single" w:sz="2" w:space="0" w:color="auto"/>
              <w:left w:val="nil"/>
              <w:bottom w:val="single" w:sz="2" w:space="0" w:color="auto"/>
              <w:right w:val="nil"/>
            </w:tcBorders>
            <w:shd w:val="clear" w:color="auto" w:fill="auto"/>
            <w:noWrap/>
            <w:vAlign w:val="center"/>
          </w:tcPr>
          <w:p w:rsidR="00B01865" w:rsidRPr="00B01865" w:rsidRDefault="00B01865" w:rsidP="00B01865">
            <w:pPr>
              <w:spacing w:after="0"/>
              <w:ind w:firstLine="0"/>
              <w:jc w:val="right"/>
              <w:rPr>
                <w:rFonts w:ascii="Arial Narrow" w:hAnsi="Arial Narrow"/>
                <w:lang w:val="es-ES" w:eastAsia="es-ES"/>
              </w:rPr>
            </w:pPr>
            <w:r w:rsidRPr="00B01865">
              <w:rPr>
                <w:rFonts w:ascii="Arial Narrow" w:hAnsi="Arial Narrow"/>
                <w:lang w:val="es-ES" w:eastAsia="es-ES"/>
              </w:rPr>
              <w:t>-19.518</w:t>
            </w:r>
          </w:p>
        </w:tc>
        <w:tc>
          <w:tcPr>
            <w:tcW w:w="1320"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lang w:val="es-ES" w:eastAsia="es-ES"/>
              </w:rPr>
            </w:pPr>
            <w:r w:rsidRPr="00B01865">
              <w:rPr>
                <w:rFonts w:ascii="Arial Narrow" w:hAnsi="Arial Narrow"/>
                <w:lang w:val="es-ES" w:eastAsia="es-ES"/>
              </w:rPr>
              <w:t>94</w:t>
            </w:r>
          </w:p>
        </w:tc>
      </w:tr>
      <w:tr w:rsidR="00B01865" w:rsidRPr="00B01865" w:rsidTr="00B01865">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lang w:val="es-ES" w:eastAsia="es-ES"/>
              </w:rPr>
            </w:pPr>
            <w:r w:rsidRPr="00B01865">
              <w:rPr>
                <w:rFonts w:ascii="Arial Narrow" w:hAnsi="Arial Narrow"/>
                <w:lang w:val="es-ES" w:eastAsia="es-ES"/>
              </w:rPr>
              <w:t>Deuda financiera del Gobierno de Navarra</w:t>
            </w:r>
            <w:r w:rsidRPr="00B01865">
              <w:rPr>
                <w:rFonts w:ascii="Arial Narrow" w:hAnsi="Arial Narrow"/>
                <w:vertAlign w:val="superscript"/>
                <w:lang w:val="es-ES" w:eastAsia="es-ES"/>
              </w:rPr>
              <w:t xml:space="preserve"> </w:t>
            </w:r>
            <w:r w:rsidR="00F7553A">
              <w:rPr>
                <w:rFonts w:ascii="Arial Narrow" w:hAnsi="Arial Narrow"/>
                <w:vertAlign w:val="superscript"/>
                <w:lang w:val="es-ES" w:eastAsia="es-ES"/>
              </w:rPr>
              <w:t>*</w:t>
            </w:r>
          </w:p>
        </w:tc>
        <w:tc>
          <w:tcPr>
            <w:tcW w:w="1438"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lang w:val="es-ES" w:eastAsia="es-ES"/>
              </w:rPr>
            </w:pPr>
            <w:r w:rsidRPr="00B01865">
              <w:rPr>
                <w:rFonts w:ascii="Arial Narrow" w:hAnsi="Arial Narrow"/>
                <w:lang w:val="es-ES" w:eastAsia="es-ES"/>
              </w:rPr>
              <w:t>3.057.559</w:t>
            </w:r>
          </w:p>
        </w:tc>
        <w:tc>
          <w:tcPr>
            <w:tcW w:w="1559" w:type="dxa"/>
            <w:tcBorders>
              <w:top w:val="single" w:sz="2" w:space="0" w:color="auto"/>
              <w:left w:val="nil"/>
              <w:bottom w:val="single" w:sz="2" w:space="0" w:color="auto"/>
              <w:right w:val="nil"/>
            </w:tcBorders>
            <w:shd w:val="clear" w:color="auto" w:fill="auto"/>
            <w:vAlign w:val="center"/>
          </w:tcPr>
          <w:p w:rsidR="00B01865" w:rsidRPr="00B01865" w:rsidRDefault="00B01865" w:rsidP="00B01865">
            <w:pPr>
              <w:spacing w:after="0"/>
              <w:ind w:firstLine="0"/>
              <w:jc w:val="right"/>
              <w:rPr>
                <w:rFonts w:ascii="Arial Narrow" w:hAnsi="Arial Narrow"/>
                <w:lang w:val="es-ES" w:eastAsia="es-ES"/>
              </w:rPr>
            </w:pPr>
            <w:r w:rsidRPr="00B01865">
              <w:rPr>
                <w:rFonts w:ascii="Arial Narrow" w:hAnsi="Arial Narrow"/>
                <w:lang w:val="es-ES" w:eastAsia="es-ES"/>
              </w:rPr>
              <w:t>3.258.098</w:t>
            </w:r>
          </w:p>
        </w:tc>
        <w:tc>
          <w:tcPr>
            <w:tcW w:w="1320"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7</w:t>
            </w:r>
          </w:p>
        </w:tc>
      </w:tr>
      <w:tr w:rsidR="00B01865" w:rsidRPr="00B01865" w:rsidTr="00B01865">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lang w:val="es-ES" w:eastAsia="es-ES"/>
              </w:rPr>
            </w:pPr>
            <w:r w:rsidRPr="00B01865">
              <w:rPr>
                <w:rFonts w:ascii="Arial Narrow" w:hAnsi="Arial Narrow"/>
                <w:lang w:val="es-ES" w:eastAsia="es-ES"/>
              </w:rPr>
              <w:t>Porcentaje de la deuda sobre ingresos corrientes</w:t>
            </w:r>
          </w:p>
        </w:tc>
        <w:tc>
          <w:tcPr>
            <w:tcW w:w="1438"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lang w:val="es-ES" w:eastAsia="es-ES"/>
              </w:rPr>
            </w:pPr>
            <w:r w:rsidRPr="00B01865">
              <w:rPr>
                <w:rFonts w:ascii="Arial Narrow" w:hAnsi="Arial Narrow"/>
                <w:lang w:val="es-ES" w:eastAsia="es-ES"/>
              </w:rPr>
              <w:t>90</w:t>
            </w:r>
          </w:p>
        </w:tc>
        <w:tc>
          <w:tcPr>
            <w:tcW w:w="1559" w:type="dxa"/>
            <w:tcBorders>
              <w:top w:val="single" w:sz="2" w:space="0" w:color="auto"/>
              <w:left w:val="nil"/>
              <w:bottom w:val="single" w:sz="2" w:space="0" w:color="auto"/>
              <w:right w:val="nil"/>
            </w:tcBorders>
            <w:shd w:val="clear" w:color="auto" w:fill="auto"/>
            <w:vAlign w:val="center"/>
          </w:tcPr>
          <w:p w:rsidR="00B01865" w:rsidRPr="00B01865" w:rsidRDefault="00B01865" w:rsidP="00B01865">
            <w:pPr>
              <w:spacing w:after="0"/>
              <w:ind w:firstLine="0"/>
              <w:jc w:val="right"/>
              <w:rPr>
                <w:rFonts w:ascii="Arial Narrow" w:hAnsi="Arial Narrow"/>
                <w:lang w:val="es-ES" w:eastAsia="es-ES"/>
              </w:rPr>
            </w:pPr>
            <w:r w:rsidRPr="00B01865">
              <w:rPr>
                <w:rFonts w:ascii="Arial Narrow" w:hAnsi="Arial Narrow"/>
                <w:lang w:val="es-ES" w:eastAsia="es-ES"/>
              </w:rPr>
              <w:t>82</w:t>
            </w:r>
          </w:p>
        </w:tc>
        <w:tc>
          <w:tcPr>
            <w:tcW w:w="1320"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w:t>
            </w:r>
          </w:p>
        </w:tc>
      </w:tr>
      <w:tr w:rsidR="00B01865" w:rsidRPr="00B01865" w:rsidTr="00B01865">
        <w:trPr>
          <w:trHeight w:val="198"/>
        </w:trPr>
        <w:tc>
          <w:tcPr>
            <w:tcW w:w="453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Avales constituidos (saldo vivo)</w:t>
            </w:r>
          </w:p>
        </w:tc>
        <w:tc>
          <w:tcPr>
            <w:tcW w:w="1438"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163.524</w:t>
            </w:r>
          </w:p>
        </w:tc>
        <w:tc>
          <w:tcPr>
            <w:tcW w:w="1559" w:type="dxa"/>
            <w:tcBorders>
              <w:top w:val="single" w:sz="2" w:space="0" w:color="auto"/>
              <w:left w:val="nil"/>
              <w:bottom w:val="single" w:sz="2" w:space="0" w:color="auto"/>
              <w:right w:val="nil"/>
            </w:tcBorders>
            <w:shd w:val="clear" w:color="auto" w:fill="auto"/>
            <w:vAlign w:val="center"/>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122.096</w:t>
            </w:r>
          </w:p>
        </w:tc>
        <w:tc>
          <w:tcPr>
            <w:tcW w:w="1320"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-25</w:t>
            </w:r>
          </w:p>
        </w:tc>
      </w:tr>
      <w:tr w:rsidR="00B01865" w:rsidRPr="00B01865" w:rsidTr="00B01865">
        <w:trPr>
          <w:trHeight w:val="198"/>
        </w:trPr>
        <w:tc>
          <w:tcPr>
            <w:tcW w:w="4531"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 xml:space="preserve">Compromisos de gastos </w:t>
            </w:r>
            <w:proofErr w:type="spellStart"/>
            <w:r w:rsidRPr="00B01865">
              <w:rPr>
                <w:rFonts w:ascii="Arial Narrow" w:hAnsi="Arial Narrow"/>
                <w:color w:val="000000"/>
                <w:lang w:val="es-ES" w:eastAsia="es-ES"/>
              </w:rPr>
              <w:t>presup</w:t>
            </w:r>
            <w:proofErr w:type="spellEnd"/>
            <w:r w:rsidRPr="00B01865">
              <w:rPr>
                <w:rFonts w:ascii="Arial Narrow" w:hAnsi="Arial Narrow"/>
                <w:color w:val="000000"/>
                <w:lang w:val="es-ES" w:eastAsia="es-ES"/>
              </w:rPr>
              <w:t>. ejercicios futuros</w:t>
            </w:r>
          </w:p>
        </w:tc>
        <w:tc>
          <w:tcPr>
            <w:tcW w:w="1438" w:type="dxa"/>
            <w:tcBorders>
              <w:top w:val="single" w:sz="2" w:space="0" w:color="auto"/>
              <w:left w:val="nil"/>
              <w:bottom w:val="single" w:sz="4"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3.948.964</w:t>
            </w:r>
          </w:p>
        </w:tc>
        <w:tc>
          <w:tcPr>
            <w:tcW w:w="1559" w:type="dxa"/>
            <w:tcBorders>
              <w:top w:val="single" w:sz="2" w:space="0" w:color="auto"/>
              <w:left w:val="nil"/>
              <w:bottom w:val="single" w:sz="4" w:space="0" w:color="auto"/>
              <w:right w:val="nil"/>
            </w:tcBorders>
            <w:shd w:val="clear" w:color="auto" w:fill="auto"/>
            <w:noWrap/>
            <w:vAlign w:val="center"/>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4.131.120</w:t>
            </w:r>
          </w:p>
        </w:tc>
        <w:tc>
          <w:tcPr>
            <w:tcW w:w="1320"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5</w:t>
            </w:r>
          </w:p>
        </w:tc>
      </w:tr>
    </w:tbl>
    <w:p w:rsidR="00B01865" w:rsidRPr="00B01865" w:rsidRDefault="00F7553A" w:rsidP="00AB033F">
      <w:pPr>
        <w:spacing w:before="60"/>
        <w:ind w:firstLine="0"/>
        <w:rPr>
          <w:rFonts w:ascii="Arial" w:hAnsi="Arial" w:cs="Arial"/>
          <w:sz w:val="16"/>
          <w:szCs w:val="18"/>
        </w:rPr>
      </w:pPr>
      <w:r>
        <w:rPr>
          <w:rFonts w:ascii="Arial" w:hAnsi="Arial" w:cs="Arial"/>
          <w:sz w:val="16"/>
          <w:szCs w:val="18"/>
        </w:rPr>
        <w:t>*</w:t>
      </w:r>
      <w:r w:rsidR="00AB033F">
        <w:rPr>
          <w:rFonts w:ascii="Arial" w:hAnsi="Arial" w:cs="Arial"/>
          <w:sz w:val="16"/>
          <w:szCs w:val="18"/>
        </w:rPr>
        <w:t xml:space="preserve"> </w:t>
      </w:r>
      <w:r w:rsidR="00B01865" w:rsidRPr="00B01865">
        <w:rPr>
          <w:rFonts w:ascii="Arial" w:hAnsi="Arial" w:cs="Arial"/>
          <w:sz w:val="16"/>
          <w:szCs w:val="18"/>
        </w:rPr>
        <w:t>A coste amortizado.</w:t>
      </w:r>
    </w:p>
    <w:p w:rsidR="00B01865" w:rsidRPr="00B01865" w:rsidRDefault="00B01865" w:rsidP="00F7553A">
      <w:pPr>
        <w:tabs>
          <w:tab w:val="center" w:pos="2835"/>
          <w:tab w:val="center" w:pos="3969"/>
          <w:tab w:val="center" w:pos="5103"/>
          <w:tab w:val="center" w:pos="6237"/>
          <w:tab w:val="center" w:pos="7371"/>
        </w:tabs>
        <w:spacing w:before="240"/>
        <w:ind w:firstLine="284"/>
        <w:rPr>
          <w:spacing w:val="6"/>
          <w:sz w:val="26"/>
          <w:szCs w:val="24"/>
        </w:rPr>
      </w:pPr>
      <w:r w:rsidRPr="00B01865">
        <w:rPr>
          <w:spacing w:val="6"/>
          <w:sz w:val="26"/>
          <w:szCs w:val="24"/>
        </w:rPr>
        <w:t>De la evolución anterior destacamos:</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spacing w:after="120"/>
        <w:ind w:left="0" w:firstLine="289"/>
        <w:rPr>
          <w:rFonts w:cs="Arial"/>
          <w:spacing w:val="6"/>
          <w:sz w:val="26"/>
          <w:szCs w:val="24"/>
        </w:rPr>
      </w:pPr>
      <w:r w:rsidRPr="00B01865">
        <w:rPr>
          <w:rFonts w:cs="Arial"/>
          <w:spacing w:val="6"/>
          <w:sz w:val="26"/>
          <w:szCs w:val="24"/>
        </w:rPr>
        <w:t>El saldo presupuestario no financiero en 2017 mejora respecto a 2016 si</w:t>
      </w:r>
      <w:r w:rsidRPr="00B01865">
        <w:rPr>
          <w:rFonts w:cs="Arial"/>
          <w:spacing w:val="6"/>
          <w:sz w:val="26"/>
          <w:szCs w:val="24"/>
        </w:rPr>
        <w:t>g</w:t>
      </w:r>
      <w:r w:rsidRPr="00B01865">
        <w:rPr>
          <w:rFonts w:cs="Arial"/>
          <w:spacing w:val="6"/>
          <w:sz w:val="26"/>
          <w:szCs w:val="24"/>
        </w:rPr>
        <w:t>nificativamente, ya que pasa a ser positivo alcanzando los 350,88 millones frente al valor negativo de 57 millones del ejercicio anterior; el resultado pr</w:t>
      </w:r>
      <w:r w:rsidRPr="00B01865">
        <w:rPr>
          <w:rFonts w:cs="Arial"/>
          <w:spacing w:val="6"/>
          <w:sz w:val="26"/>
          <w:szCs w:val="24"/>
        </w:rPr>
        <w:t>e</w:t>
      </w:r>
      <w:r w:rsidRPr="00B01865">
        <w:rPr>
          <w:rFonts w:cs="Arial"/>
          <w:spacing w:val="6"/>
          <w:sz w:val="26"/>
          <w:szCs w:val="24"/>
        </w:rPr>
        <w:t>supuestario ajustado también se incrementa en un 388 por ciento con un impo</w:t>
      </w:r>
      <w:r w:rsidRPr="00B01865">
        <w:rPr>
          <w:rFonts w:cs="Arial"/>
          <w:spacing w:val="6"/>
          <w:sz w:val="26"/>
          <w:szCs w:val="24"/>
        </w:rPr>
        <w:t>r</w:t>
      </w:r>
      <w:r w:rsidRPr="00B01865">
        <w:rPr>
          <w:rFonts w:cs="Arial"/>
          <w:spacing w:val="6"/>
          <w:sz w:val="26"/>
          <w:szCs w:val="24"/>
        </w:rPr>
        <w:t>te de 551,41 millones en el ejercicio analizado.</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Desde 2010 hasta 2016, el remanente de tesorería para gastos generales ha presentado valores negativos; sin embargo, en 2017, es positivo en 359,21 m</w:t>
      </w:r>
      <w:r w:rsidRPr="00B01865">
        <w:rPr>
          <w:rFonts w:cs="Arial"/>
          <w:spacing w:val="6"/>
          <w:sz w:val="26"/>
          <w:szCs w:val="24"/>
        </w:rPr>
        <w:t>i</w:t>
      </w:r>
      <w:r w:rsidRPr="00B01865">
        <w:rPr>
          <w:rFonts w:cs="Arial"/>
          <w:spacing w:val="6"/>
          <w:sz w:val="26"/>
          <w:szCs w:val="24"/>
        </w:rPr>
        <w:t>llones tal y como se muestra a continuación:</w:t>
      </w:r>
    </w:p>
    <w:p w:rsidR="00B01865" w:rsidRPr="00B01865" w:rsidRDefault="00B01865" w:rsidP="00B01865">
      <w:pPr>
        <w:keepLines/>
        <w:spacing w:after="60"/>
        <w:ind w:left="68" w:firstLine="0"/>
        <w:jc w:val="right"/>
        <w:rPr>
          <w:rFonts w:ascii="Arial" w:hAnsi="Arial"/>
          <w:spacing w:val="6"/>
          <w:sz w:val="17"/>
          <w:szCs w:val="17"/>
        </w:rPr>
      </w:pPr>
      <w:r w:rsidRPr="00B01865">
        <w:rPr>
          <w:rFonts w:ascii="Arial" w:hAnsi="Arial"/>
          <w:spacing w:val="6"/>
          <w:sz w:val="17"/>
          <w:szCs w:val="17"/>
        </w:rPr>
        <w:t>(en miles de euros)</w:t>
      </w:r>
    </w:p>
    <w:tbl>
      <w:tblPr>
        <w:tblW w:w="8929" w:type="dxa"/>
        <w:jc w:val="center"/>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870"/>
        <w:gridCol w:w="889"/>
        <w:gridCol w:w="888"/>
        <w:gridCol w:w="888"/>
        <w:gridCol w:w="889"/>
        <w:gridCol w:w="889"/>
        <w:gridCol w:w="889"/>
        <w:gridCol w:w="994"/>
        <w:gridCol w:w="733"/>
      </w:tblGrid>
      <w:tr w:rsidR="00B01865" w:rsidRPr="00B01865" w:rsidTr="00B01865">
        <w:trPr>
          <w:trHeight w:val="255"/>
          <w:jc w:val="center"/>
        </w:trPr>
        <w:tc>
          <w:tcPr>
            <w:tcW w:w="1869" w:type="dxa"/>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Magnitud</w:t>
            </w:r>
          </w:p>
        </w:tc>
        <w:tc>
          <w:tcPr>
            <w:tcW w:w="897"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2010</w:t>
            </w:r>
          </w:p>
        </w:tc>
        <w:tc>
          <w:tcPr>
            <w:tcW w:w="897"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2011</w:t>
            </w:r>
          </w:p>
        </w:tc>
        <w:tc>
          <w:tcPr>
            <w:tcW w:w="897"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2012</w:t>
            </w:r>
          </w:p>
        </w:tc>
        <w:tc>
          <w:tcPr>
            <w:tcW w:w="898"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2013</w:t>
            </w:r>
          </w:p>
        </w:tc>
        <w:tc>
          <w:tcPr>
            <w:tcW w:w="898"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2014</w:t>
            </w:r>
          </w:p>
        </w:tc>
        <w:tc>
          <w:tcPr>
            <w:tcW w:w="898"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2015</w:t>
            </w:r>
          </w:p>
        </w:tc>
        <w:tc>
          <w:tcPr>
            <w:tcW w:w="994" w:type="dxa"/>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2016</w:t>
            </w:r>
          </w:p>
        </w:tc>
        <w:tc>
          <w:tcPr>
            <w:tcW w:w="681"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2017</w:t>
            </w:r>
          </w:p>
        </w:tc>
      </w:tr>
      <w:tr w:rsidR="00B01865" w:rsidRPr="00B01865" w:rsidTr="00B01865">
        <w:trPr>
          <w:trHeight w:val="198"/>
          <w:jc w:val="center"/>
        </w:trPr>
        <w:tc>
          <w:tcPr>
            <w:tcW w:w="1869" w:type="dxa"/>
            <w:shd w:val="clear" w:color="auto" w:fill="auto"/>
            <w:noWrap/>
            <w:vAlign w:val="center"/>
          </w:tcPr>
          <w:p w:rsidR="00B01865" w:rsidRPr="00B01865" w:rsidRDefault="00B01865"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 xml:space="preserve">Remanente Tesorería </w:t>
            </w:r>
          </w:p>
          <w:p w:rsidR="00B01865" w:rsidRPr="00B01865" w:rsidRDefault="00B01865"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gastos generales</w:t>
            </w:r>
          </w:p>
        </w:tc>
        <w:tc>
          <w:tcPr>
            <w:tcW w:w="897" w:type="dxa"/>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-126.369</w:t>
            </w:r>
          </w:p>
        </w:tc>
        <w:tc>
          <w:tcPr>
            <w:tcW w:w="897" w:type="dxa"/>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-174.939</w:t>
            </w:r>
          </w:p>
        </w:tc>
        <w:tc>
          <w:tcPr>
            <w:tcW w:w="897" w:type="dxa"/>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-239.750</w:t>
            </w:r>
          </w:p>
        </w:tc>
        <w:tc>
          <w:tcPr>
            <w:tcW w:w="898" w:type="dxa"/>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-221.192</w:t>
            </w:r>
          </w:p>
        </w:tc>
        <w:tc>
          <w:tcPr>
            <w:tcW w:w="898" w:type="dxa"/>
            <w:vAlign w:val="center"/>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-184.088</w:t>
            </w:r>
          </w:p>
        </w:tc>
        <w:tc>
          <w:tcPr>
            <w:tcW w:w="898" w:type="dxa"/>
            <w:vAlign w:val="center"/>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-238.100</w:t>
            </w:r>
          </w:p>
        </w:tc>
        <w:tc>
          <w:tcPr>
            <w:tcW w:w="994" w:type="dxa"/>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-183.622</w:t>
            </w:r>
          </w:p>
        </w:tc>
        <w:tc>
          <w:tcPr>
            <w:tcW w:w="681" w:type="dxa"/>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359.210</w:t>
            </w:r>
          </w:p>
        </w:tc>
      </w:tr>
    </w:tbl>
    <w:p w:rsidR="00F7553A" w:rsidRDefault="00B01865" w:rsidP="00B01865">
      <w:pPr>
        <w:numPr>
          <w:ilvl w:val="0"/>
          <w:numId w:val="2"/>
        </w:numPr>
        <w:tabs>
          <w:tab w:val="clear" w:pos="1948"/>
          <w:tab w:val="num" w:pos="300"/>
          <w:tab w:val="num" w:pos="360"/>
          <w:tab w:val="left" w:pos="480"/>
          <w:tab w:val="num" w:pos="600"/>
          <w:tab w:val="num" w:pos="720"/>
          <w:tab w:val="num" w:pos="1320"/>
        </w:tabs>
        <w:spacing w:before="200" w:after="120"/>
        <w:ind w:left="0" w:firstLine="289"/>
        <w:rPr>
          <w:rFonts w:cs="Arial"/>
          <w:spacing w:val="6"/>
          <w:sz w:val="26"/>
          <w:szCs w:val="24"/>
        </w:rPr>
      </w:pPr>
      <w:r w:rsidRPr="00F7553A">
        <w:rPr>
          <w:rFonts w:cs="Arial"/>
          <w:spacing w:val="6"/>
          <w:sz w:val="26"/>
          <w:szCs w:val="24"/>
        </w:rPr>
        <w:t>El ahorro bruto</w:t>
      </w:r>
      <w:r w:rsidRPr="00B01865">
        <w:rPr>
          <w:rFonts w:cs="Arial"/>
          <w:spacing w:val="6"/>
          <w:sz w:val="26"/>
          <w:szCs w:val="24"/>
          <w:vertAlign w:val="superscript"/>
        </w:rPr>
        <w:footnoteReference w:id="3"/>
      </w:r>
      <w:r w:rsidRPr="00F7553A">
        <w:rPr>
          <w:rFonts w:cs="Arial"/>
          <w:spacing w:val="6"/>
          <w:sz w:val="26"/>
          <w:szCs w:val="24"/>
        </w:rPr>
        <w:t xml:space="preserve"> ha aumentado un 228 por ciento hasta alcanzar los 657,39 millones, generándose un ahorro neto</w:t>
      </w:r>
      <w:r w:rsidRPr="00B01865">
        <w:rPr>
          <w:rFonts w:cs="Arial"/>
          <w:spacing w:val="6"/>
          <w:sz w:val="26"/>
          <w:szCs w:val="24"/>
          <w:vertAlign w:val="superscript"/>
        </w:rPr>
        <w:footnoteReference w:id="4"/>
      </w:r>
      <w:r w:rsidRPr="00F7553A">
        <w:rPr>
          <w:rFonts w:cs="Arial"/>
          <w:spacing w:val="6"/>
          <w:sz w:val="26"/>
          <w:szCs w:val="24"/>
        </w:rPr>
        <w:t xml:space="preserve"> positivo de 272</w:t>
      </w:r>
      <w:r w:rsidR="004C1387">
        <w:rPr>
          <w:rFonts w:cs="Arial"/>
          <w:spacing w:val="6"/>
          <w:sz w:val="26"/>
          <w:szCs w:val="24"/>
        </w:rPr>
        <w:t>,</w:t>
      </w:r>
      <w:r w:rsidRPr="00F7553A">
        <w:rPr>
          <w:rFonts w:cs="Arial"/>
          <w:spacing w:val="6"/>
          <w:sz w:val="26"/>
          <w:szCs w:val="24"/>
        </w:rPr>
        <w:t>59 millones, valor que también mejora de forma relevante respecto a 2016 donde presentó un importe negativo de 319,34 millones.</w:t>
      </w:r>
    </w:p>
    <w:p w:rsidR="00B01865" w:rsidRPr="00F7553A" w:rsidRDefault="00B01865" w:rsidP="00B01865">
      <w:pPr>
        <w:numPr>
          <w:ilvl w:val="0"/>
          <w:numId w:val="2"/>
        </w:numPr>
        <w:tabs>
          <w:tab w:val="clear" w:pos="1948"/>
          <w:tab w:val="num" w:pos="300"/>
          <w:tab w:val="num" w:pos="360"/>
          <w:tab w:val="left" w:pos="480"/>
          <w:tab w:val="num" w:pos="600"/>
          <w:tab w:val="num" w:pos="720"/>
          <w:tab w:val="num" w:pos="1320"/>
        </w:tabs>
        <w:spacing w:before="200" w:after="120"/>
        <w:ind w:left="0" w:firstLine="289"/>
        <w:rPr>
          <w:rFonts w:cs="Arial"/>
          <w:spacing w:val="6"/>
          <w:sz w:val="26"/>
          <w:szCs w:val="24"/>
        </w:rPr>
      </w:pPr>
      <w:r w:rsidRPr="00F7553A">
        <w:rPr>
          <w:rFonts w:cs="Arial"/>
          <w:spacing w:val="6"/>
          <w:sz w:val="26"/>
          <w:szCs w:val="24"/>
        </w:rPr>
        <w:lastRenderedPageBreak/>
        <w:t>El resultado del ejercicio también cambia de signo pasando de un valor n</w:t>
      </w:r>
      <w:r w:rsidRPr="00F7553A">
        <w:rPr>
          <w:rFonts w:cs="Arial"/>
          <w:spacing w:val="6"/>
          <w:sz w:val="26"/>
          <w:szCs w:val="24"/>
        </w:rPr>
        <w:t>e</w:t>
      </w:r>
      <w:r w:rsidRPr="00F7553A">
        <w:rPr>
          <w:rFonts w:cs="Arial"/>
          <w:spacing w:val="6"/>
          <w:sz w:val="26"/>
          <w:szCs w:val="24"/>
        </w:rPr>
        <w:t xml:space="preserve">gativo (desahorro) de 53,87 millones en 2016 a uno positivo de 281,87 millones en 2017. </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Como consecuencia de lo anterior, los fondos propios, si bien siguen pr</w:t>
      </w:r>
      <w:r w:rsidRPr="00B01865">
        <w:rPr>
          <w:rFonts w:cs="Arial"/>
          <w:spacing w:val="6"/>
          <w:sz w:val="26"/>
          <w:szCs w:val="24"/>
        </w:rPr>
        <w:t>e</w:t>
      </w:r>
      <w:r w:rsidRPr="00B01865">
        <w:rPr>
          <w:rFonts w:cs="Arial"/>
          <w:spacing w:val="6"/>
          <w:sz w:val="26"/>
          <w:szCs w:val="24"/>
        </w:rPr>
        <w:t>sentando valores negativos por un total de 19,52 millones, han mejorado un 94 por ciento.</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La deuda financiera, a coste amortizado, a 31 de diciembre de 2017 a</w:t>
      </w:r>
      <w:r w:rsidRPr="00B01865">
        <w:rPr>
          <w:rFonts w:cs="Arial"/>
          <w:spacing w:val="6"/>
          <w:sz w:val="26"/>
          <w:szCs w:val="24"/>
        </w:rPr>
        <w:t>s</w:t>
      </w:r>
      <w:r w:rsidRPr="00B01865">
        <w:rPr>
          <w:rFonts w:cs="Arial"/>
          <w:spacing w:val="6"/>
          <w:sz w:val="26"/>
          <w:szCs w:val="24"/>
        </w:rPr>
        <w:t>ciende a 3.258 millones, un 6,6 por ciento más que el año anterior; el nueve por ciento de la misma tiene un vencimiento a corto plazo. Sobre los ingresos c</w:t>
      </w:r>
      <w:r w:rsidRPr="00B01865">
        <w:rPr>
          <w:rFonts w:cs="Arial"/>
          <w:spacing w:val="6"/>
          <w:sz w:val="26"/>
          <w:szCs w:val="24"/>
        </w:rPr>
        <w:t>o</w:t>
      </w:r>
      <w:r w:rsidRPr="00B01865">
        <w:rPr>
          <w:rFonts w:cs="Arial"/>
          <w:spacing w:val="6"/>
          <w:sz w:val="26"/>
          <w:szCs w:val="24"/>
        </w:rPr>
        <w:t xml:space="preserve">rrientes representa el 82 por ciento, ocho puntos porcentuales menos que en 2016. </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spacing w:after="120"/>
        <w:ind w:left="0" w:firstLine="289"/>
        <w:rPr>
          <w:rFonts w:cs="Arial"/>
          <w:spacing w:val="6"/>
          <w:sz w:val="26"/>
          <w:szCs w:val="24"/>
        </w:rPr>
      </w:pPr>
      <w:r w:rsidRPr="00B01865">
        <w:rPr>
          <w:rFonts w:cs="Arial"/>
          <w:spacing w:val="6"/>
          <w:sz w:val="26"/>
          <w:szCs w:val="24"/>
        </w:rPr>
        <w:t>La evolución presupuestaria de la deuda neta (deuda concertada menos deuda amortizada) para el periodo de 2010 a 2017 es la siguiente:</w:t>
      </w:r>
    </w:p>
    <w:tbl>
      <w:tblPr>
        <w:tblW w:w="8717" w:type="dxa"/>
        <w:jc w:val="center"/>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630"/>
        <w:gridCol w:w="992"/>
        <w:gridCol w:w="851"/>
        <w:gridCol w:w="850"/>
        <w:gridCol w:w="993"/>
        <w:gridCol w:w="850"/>
        <w:gridCol w:w="851"/>
        <w:gridCol w:w="850"/>
        <w:gridCol w:w="850"/>
      </w:tblGrid>
      <w:tr w:rsidR="00B01865" w:rsidRPr="00B01865" w:rsidTr="00B01865">
        <w:trPr>
          <w:trHeight w:val="255"/>
          <w:jc w:val="center"/>
        </w:trPr>
        <w:tc>
          <w:tcPr>
            <w:tcW w:w="8717" w:type="dxa"/>
            <w:gridSpan w:val="9"/>
            <w:tcBorders>
              <w:top w:val="nil"/>
              <w:bottom w:val="single" w:sz="4" w:space="0" w:color="000000"/>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B01865">
              <w:rPr>
                <w:rFonts w:ascii="Arial" w:hAnsi="Arial" w:cs="Arial"/>
                <w:spacing w:val="6"/>
                <w:sz w:val="17"/>
                <w:szCs w:val="17"/>
              </w:rPr>
              <w:t>(en millones de euros)</w:t>
            </w:r>
          </w:p>
        </w:tc>
      </w:tr>
      <w:tr w:rsidR="00B01865" w:rsidRPr="00B01865" w:rsidTr="00B01865">
        <w:trPr>
          <w:trHeight w:val="255"/>
          <w:jc w:val="center"/>
        </w:trPr>
        <w:tc>
          <w:tcPr>
            <w:tcW w:w="1630" w:type="dxa"/>
            <w:tcBorders>
              <w:bottom w:val="single" w:sz="4" w:space="0" w:color="000000"/>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p>
        </w:tc>
        <w:tc>
          <w:tcPr>
            <w:tcW w:w="992" w:type="dxa"/>
            <w:tcBorders>
              <w:bottom w:val="single" w:sz="4" w:space="0" w:color="000000"/>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2010</w:t>
            </w:r>
          </w:p>
        </w:tc>
        <w:tc>
          <w:tcPr>
            <w:tcW w:w="851" w:type="dxa"/>
            <w:tcBorders>
              <w:bottom w:val="single" w:sz="4" w:space="0" w:color="000000"/>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2011</w:t>
            </w:r>
          </w:p>
        </w:tc>
        <w:tc>
          <w:tcPr>
            <w:tcW w:w="850" w:type="dxa"/>
            <w:tcBorders>
              <w:bottom w:val="single" w:sz="4" w:space="0" w:color="000000"/>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2012</w:t>
            </w:r>
          </w:p>
        </w:tc>
        <w:tc>
          <w:tcPr>
            <w:tcW w:w="993" w:type="dxa"/>
            <w:tcBorders>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2013</w:t>
            </w:r>
          </w:p>
        </w:tc>
        <w:tc>
          <w:tcPr>
            <w:tcW w:w="850" w:type="dxa"/>
            <w:tcBorders>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2014</w:t>
            </w:r>
          </w:p>
        </w:tc>
        <w:tc>
          <w:tcPr>
            <w:tcW w:w="851" w:type="dxa"/>
            <w:tcBorders>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2015</w:t>
            </w:r>
          </w:p>
        </w:tc>
        <w:tc>
          <w:tcPr>
            <w:tcW w:w="850" w:type="dxa"/>
            <w:tcBorders>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2016</w:t>
            </w:r>
          </w:p>
        </w:tc>
        <w:tc>
          <w:tcPr>
            <w:tcW w:w="850" w:type="dxa"/>
            <w:tcBorders>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2017</w:t>
            </w:r>
          </w:p>
        </w:tc>
      </w:tr>
      <w:tr w:rsidR="00B01865" w:rsidRPr="00B01865" w:rsidTr="00B01865">
        <w:trPr>
          <w:trHeight w:val="198"/>
          <w:jc w:val="center"/>
        </w:trPr>
        <w:tc>
          <w:tcPr>
            <w:tcW w:w="1630" w:type="dxa"/>
            <w:tcBorders>
              <w:bottom w:val="single" w:sz="2" w:space="0" w:color="000000"/>
            </w:tcBorders>
            <w:shd w:val="clear" w:color="auto" w:fill="auto"/>
            <w:noWrap/>
            <w:vAlign w:val="center"/>
          </w:tcPr>
          <w:p w:rsidR="00B01865" w:rsidRPr="00B01865" w:rsidRDefault="00B01865"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Deuda concertada</w:t>
            </w:r>
          </w:p>
        </w:tc>
        <w:tc>
          <w:tcPr>
            <w:tcW w:w="992" w:type="dxa"/>
            <w:tcBorders>
              <w:bottom w:val="single" w:sz="2"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595,2</w:t>
            </w:r>
          </w:p>
        </w:tc>
        <w:tc>
          <w:tcPr>
            <w:tcW w:w="851" w:type="dxa"/>
            <w:tcBorders>
              <w:bottom w:val="single" w:sz="2"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483,2</w:t>
            </w:r>
          </w:p>
        </w:tc>
        <w:tc>
          <w:tcPr>
            <w:tcW w:w="850" w:type="dxa"/>
            <w:tcBorders>
              <w:bottom w:val="single" w:sz="2"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418,9</w:t>
            </w:r>
          </w:p>
        </w:tc>
        <w:tc>
          <w:tcPr>
            <w:tcW w:w="993" w:type="dxa"/>
            <w:tcBorders>
              <w:bottom w:val="single" w:sz="2" w:space="0" w:color="000000"/>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463,7</w:t>
            </w:r>
          </w:p>
        </w:tc>
        <w:tc>
          <w:tcPr>
            <w:tcW w:w="850" w:type="dxa"/>
            <w:tcBorders>
              <w:bottom w:val="single" w:sz="2" w:space="0" w:color="000000"/>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492,6</w:t>
            </w:r>
          </w:p>
        </w:tc>
        <w:tc>
          <w:tcPr>
            <w:tcW w:w="851" w:type="dxa"/>
            <w:tcBorders>
              <w:bottom w:val="single" w:sz="2" w:space="0" w:color="000000"/>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446,9</w:t>
            </w:r>
          </w:p>
        </w:tc>
        <w:tc>
          <w:tcPr>
            <w:tcW w:w="850" w:type="dxa"/>
            <w:tcBorders>
              <w:bottom w:val="single" w:sz="2" w:space="0" w:color="000000"/>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579,7</w:t>
            </w:r>
          </w:p>
        </w:tc>
        <w:tc>
          <w:tcPr>
            <w:tcW w:w="850" w:type="dxa"/>
            <w:tcBorders>
              <w:bottom w:val="single" w:sz="2" w:space="0" w:color="000000"/>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498,01</w:t>
            </w:r>
          </w:p>
        </w:tc>
      </w:tr>
      <w:tr w:rsidR="00B01865" w:rsidRPr="00B01865" w:rsidTr="00B01865">
        <w:trPr>
          <w:trHeight w:val="198"/>
          <w:jc w:val="center"/>
        </w:trPr>
        <w:tc>
          <w:tcPr>
            <w:tcW w:w="1630" w:type="dxa"/>
            <w:tcBorders>
              <w:top w:val="single" w:sz="2" w:space="0" w:color="000000"/>
              <w:bottom w:val="single" w:sz="4" w:space="0" w:color="000000"/>
            </w:tcBorders>
            <w:shd w:val="clear" w:color="auto" w:fill="auto"/>
            <w:noWrap/>
            <w:vAlign w:val="center"/>
          </w:tcPr>
          <w:p w:rsidR="00B01865" w:rsidRPr="00B01865" w:rsidRDefault="00B01865"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Deuda amortizada</w:t>
            </w:r>
          </w:p>
        </w:tc>
        <w:tc>
          <w:tcPr>
            <w:tcW w:w="992" w:type="dxa"/>
            <w:tcBorders>
              <w:top w:val="single" w:sz="2" w:space="0" w:color="000000"/>
              <w:bottom w:val="single" w:sz="4"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103,2</w:t>
            </w:r>
          </w:p>
        </w:tc>
        <w:tc>
          <w:tcPr>
            <w:tcW w:w="851" w:type="dxa"/>
            <w:tcBorders>
              <w:top w:val="single" w:sz="2" w:space="0" w:color="000000"/>
              <w:bottom w:val="single" w:sz="4"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91,2</w:t>
            </w:r>
          </w:p>
        </w:tc>
        <w:tc>
          <w:tcPr>
            <w:tcW w:w="850" w:type="dxa"/>
            <w:tcBorders>
              <w:top w:val="single" w:sz="2" w:space="0" w:color="000000"/>
              <w:bottom w:val="single" w:sz="4"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107,3</w:t>
            </w:r>
          </w:p>
        </w:tc>
        <w:tc>
          <w:tcPr>
            <w:tcW w:w="993" w:type="dxa"/>
            <w:tcBorders>
              <w:top w:val="single" w:sz="2" w:space="0" w:color="000000"/>
              <w:bottom w:val="single" w:sz="4" w:space="0" w:color="000000"/>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193,2</w:t>
            </w:r>
          </w:p>
        </w:tc>
        <w:tc>
          <w:tcPr>
            <w:tcW w:w="850" w:type="dxa"/>
            <w:tcBorders>
              <w:top w:val="single" w:sz="2" w:space="0" w:color="000000"/>
              <w:bottom w:val="single" w:sz="4" w:space="0" w:color="000000"/>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296,5</w:t>
            </w:r>
          </w:p>
        </w:tc>
        <w:tc>
          <w:tcPr>
            <w:tcW w:w="851" w:type="dxa"/>
            <w:tcBorders>
              <w:top w:val="single" w:sz="2" w:space="0" w:color="000000"/>
              <w:bottom w:val="single" w:sz="4" w:space="0" w:color="000000"/>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307,2</w:t>
            </w:r>
          </w:p>
        </w:tc>
        <w:tc>
          <w:tcPr>
            <w:tcW w:w="850" w:type="dxa"/>
            <w:tcBorders>
              <w:top w:val="single" w:sz="2" w:space="0" w:color="000000"/>
              <w:bottom w:val="single" w:sz="4" w:space="0" w:color="000000"/>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416,1</w:t>
            </w:r>
          </w:p>
        </w:tc>
        <w:tc>
          <w:tcPr>
            <w:tcW w:w="850" w:type="dxa"/>
            <w:tcBorders>
              <w:top w:val="single" w:sz="2" w:space="0" w:color="000000"/>
              <w:bottom w:val="single" w:sz="4" w:space="0" w:color="000000"/>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293,93</w:t>
            </w:r>
          </w:p>
        </w:tc>
      </w:tr>
      <w:tr w:rsidR="00B01865" w:rsidRPr="00B01865" w:rsidTr="00B01865">
        <w:trPr>
          <w:trHeight w:val="255"/>
          <w:jc w:val="center"/>
        </w:trPr>
        <w:tc>
          <w:tcPr>
            <w:tcW w:w="1630" w:type="dxa"/>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Deuda neta</w:t>
            </w:r>
          </w:p>
        </w:tc>
        <w:tc>
          <w:tcPr>
            <w:tcW w:w="992" w:type="dxa"/>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492,0</w:t>
            </w:r>
          </w:p>
        </w:tc>
        <w:tc>
          <w:tcPr>
            <w:tcW w:w="851" w:type="dxa"/>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392,0</w:t>
            </w:r>
          </w:p>
        </w:tc>
        <w:tc>
          <w:tcPr>
            <w:tcW w:w="850" w:type="dxa"/>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311,6</w:t>
            </w:r>
          </w:p>
        </w:tc>
        <w:tc>
          <w:tcPr>
            <w:tcW w:w="993"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270,5</w:t>
            </w:r>
          </w:p>
        </w:tc>
        <w:tc>
          <w:tcPr>
            <w:tcW w:w="850"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196,1</w:t>
            </w:r>
          </w:p>
        </w:tc>
        <w:tc>
          <w:tcPr>
            <w:tcW w:w="851"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139,7</w:t>
            </w:r>
          </w:p>
        </w:tc>
        <w:tc>
          <w:tcPr>
            <w:tcW w:w="850"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163,6</w:t>
            </w:r>
          </w:p>
        </w:tc>
        <w:tc>
          <w:tcPr>
            <w:tcW w:w="850"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204,08</w:t>
            </w:r>
          </w:p>
        </w:tc>
      </w:tr>
    </w:tbl>
    <w:p w:rsidR="00B01865" w:rsidRPr="00B01865" w:rsidRDefault="00B01865" w:rsidP="00512132">
      <w:pPr>
        <w:pStyle w:val="texto"/>
        <w:spacing w:before="240"/>
      </w:pPr>
      <w:r w:rsidRPr="00B01865">
        <w:t>El mayor valor de deuda neta se observa en 2010 con 492 millones, y de</w:t>
      </w:r>
      <w:r w:rsidRPr="00B01865">
        <w:t>s</w:t>
      </w:r>
      <w:r w:rsidRPr="00B01865">
        <w:t xml:space="preserve">pués de ese ejercicio, su importe se va reduciendo de forma significativa, si bien en 2017 se ha incrementado un 25 por ciento respecto a 2016 con un valor de 204,08 millones. </w:t>
      </w:r>
    </w:p>
    <w:p w:rsidR="00B01865" w:rsidRDefault="00B01865" w:rsidP="00512132">
      <w:pPr>
        <w:pStyle w:val="texto"/>
      </w:pPr>
      <w:r w:rsidRPr="00B01865">
        <w:t>Destaca además que la deuda concertada ha disminuido en 2017 un 14 por ciento respecto a 2016, si bien la amortizada también lo ha hecho en un 29 por ciento.</w:t>
      </w:r>
    </w:p>
    <w:p w:rsidR="00BF4527" w:rsidRDefault="00BF4527" w:rsidP="00512132">
      <w:pPr>
        <w:pStyle w:val="texto"/>
      </w:pPr>
      <w:r>
        <w:t>Estos importes de deuda concertada y amortizada están condicionados de forma significativa por el calendario de amortización de la deuda que incluimos en el epígrafe V.13 de este informe.</w:t>
      </w:r>
    </w:p>
    <w:p w:rsidR="00A10699" w:rsidRDefault="00BF4527" w:rsidP="004C1387">
      <w:pPr>
        <w:pStyle w:val="texto"/>
      </w:pPr>
      <w:r>
        <w:t xml:space="preserve">En </w:t>
      </w:r>
      <w:r w:rsidRPr="00A10699">
        <w:rPr>
          <w:b/>
        </w:rPr>
        <w:t>definitiva</w:t>
      </w:r>
      <w:r>
        <w:t xml:space="preserve">, del análisis de la situación económico-financiera de la ACFN concluimos que </w:t>
      </w:r>
      <w:r w:rsidR="00901DDB">
        <w:t>se ha experimentado una mejoría significativa en los indicad</w:t>
      </w:r>
      <w:r w:rsidR="00901DDB">
        <w:t>o</w:t>
      </w:r>
      <w:r w:rsidR="00901DDB">
        <w:t>res que la definen</w:t>
      </w:r>
      <w:r w:rsidR="004C1387">
        <w:t>,</w:t>
      </w:r>
      <w:r w:rsidR="00901DDB">
        <w:t xml:space="preserve"> lo que se traduce en </w:t>
      </w:r>
      <w:r w:rsidR="004C1387">
        <w:t>que los ingresos corrientes son suficie</w:t>
      </w:r>
      <w:r w:rsidR="004C1387">
        <w:t>n</w:t>
      </w:r>
      <w:r w:rsidR="004C1387">
        <w:t xml:space="preserve">tes para hacer frente a los gastos corrientes (incluida la carga financiera) y son superiores a </w:t>
      </w:r>
      <w:r w:rsidR="005D255D">
        <w:t>e</w:t>
      </w:r>
      <w:r w:rsidR="004C1387">
        <w:t>stos en 272,59 millones de euros; además, por primera vez en los últimos años</w:t>
      </w:r>
      <w:r w:rsidR="00223EB3">
        <w:t>,</w:t>
      </w:r>
      <w:r w:rsidR="004C1387">
        <w:t xml:space="preserve"> el remanente de tesorería para gastos generales presenta un valor positivo por 359,21 millones</w:t>
      </w:r>
      <w:r w:rsidR="00223EB3">
        <w:t>,</w:t>
      </w:r>
      <w:r w:rsidR="004C1387">
        <w:t xml:space="preserve"> lo que implica que existe capacidad para amort</w:t>
      </w:r>
      <w:r w:rsidR="004C1387">
        <w:t>i</w:t>
      </w:r>
      <w:r w:rsidR="004C1387">
        <w:t>zar deuda o acometer gastos por este importe, siempre en los términos establ</w:t>
      </w:r>
      <w:r w:rsidR="004C1387">
        <w:t>e</w:t>
      </w:r>
      <w:r w:rsidR="004C1387">
        <w:t>cidos en la normativa. En este contexto hay que tener en cuenta también que existe deuda por un importe relevante</w:t>
      </w:r>
      <w:r w:rsidR="005D255D">
        <w:t>,</w:t>
      </w:r>
      <w:r w:rsidR="004C1387">
        <w:t xml:space="preserve"> que ha de ser amortizada en los años v</w:t>
      </w:r>
      <w:r w:rsidR="004C1387">
        <w:t>e</w:t>
      </w:r>
      <w:r w:rsidR="004C1387">
        <w:t>nideros</w:t>
      </w:r>
      <w:r w:rsidR="00223EB3">
        <w:t>,</w:t>
      </w:r>
      <w:r w:rsidR="004C1387">
        <w:t xml:space="preserve"> y que está condicionada de manera significativa</w:t>
      </w:r>
      <w:r w:rsidR="00223EB3">
        <w:t>,</w:t>
      </w:r>
      <w:r w:rsidR="004C1387">
        <w:t xml:space="preserve"> tanto por el calend</w:t>
      </w:r>
      <w:r w:rsidR="004C1387">
        <w:t>a</w:t>
      </w:r>
      <w:r w:rsidR="004C1387">
        <w:t>rio establecido como por la variación de los tipos de interés.</w:t>
      </w:r>
      <w:r w:rsidR="00A10699">
        <w:br w:type="page"/>
      </w:r>
    </w:p>
    <w:p w:rsidR="00B01865" w:rsidRPr="00655CC5" w:rsidRDefault="00B01865" w:rsidP="00655CC5">
      <w:pPr>
        <w:pStyle w:val="atitulo2"/>
        <w:spacing w:before="240"/>
        <w:rPr>
          <w:bCs w:val="0"/>
          <w:iCs w:val="0"/>
        </w:rPr>
      </w:pPr>
      <w:bookmarkStart w:id="68" w:name="_Toc463350250"/>
      <w:bookmarkStart w:id="69" w:name="_Toc494270384"/>
      <w:bookmarkStart w:id="70" w:name="_Toc525907440"/>
      <w:bookmarkStart w:id="71" w:name="_Toc530034668"/>
      <w:r w:rsidRPr="00655CC5">
        <w:rPr>
          <w:bCs w:val="0"/>
          <w:iCs w:val="0"/>
        </w:rPr>
        <w:lastRenderedPageBreak/>
        <w:t>V.3. Principios de estabilidad presupuestaria y sostenibilidad financiera.</w:t>
      </w:r>
      <w:bookmarkEnd w:id="68"/>
      <w:bookmarkEnd w:id="69"/>
      <w:bookmarkEnd w:id="70"/>
      <w:bookmarkEnd w:id="71"/>
    </w:p>
    <w:p w:rsidR="00B01865" w:rsidRPr="00B01865" w:rsidRDefault="00B01865" w:rsidP="00655CC5">
      <w:pPr>
        <w:pStyle w:val="texto"/>
      </w:pPr>
      <w:r w:rsidRPr="00B01865">
        <w:t>El Sector Administración Pública de la Comunidad Foral, delimitado en té</w:t>
      </w:r>
      <w:r w:rsidRPr="00B01865">
        <w:t>r</w:t>
      </w:r>
      <w:r w:rsidRPr="00B01865">
        <w:t>minos de contabilidad nacional (SEC´2010), estaba sujeto en 2017 al cumpl</w:t>
      </w:r>
      <w:r w:rsidRPr="00B01865">
        <w:t>i</w:t>
      </w:r>
      <w:r w:rsidRPr="00B01865">
        <w:t>miento de las siguientes reglas fiscales:</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Principios de estabilidad presupuestaria:</w:t>
      </w:r>
    </w:p>
    <w:p w:rsidR="00A10699" w:rsidRPr="00B01865" w:rsidRDefault="00B01865" w:rsidP="00A10699">
      <w:pPr>
        <w:pStyle w:val="texto"/>
      </w:pPr>
      <w:r w:rsidRPr="00B01865">
        <w:t xml:space="preserve">a) </w:t>
      </w:r>
      <w:r w:rsidR="00A10699" w:rsidRPr="00B01865">
        <w:t>Sus necesidades de financiación no superarán el 0,6 por ciento de su PIB, de acuerdo con lo pactado entre Navarra y el Estado.</w:t>
      </w:r>
    </w:p>
    <w:p w:rsidR="00A10699" w:rsidRPr="00B01865" w:rsidRDefault="00B01865" w:rsidP="00A10699">
      <w:pPr>
        <w:pStyle w:val="texto"/>
      </w:pPr>
      <w:r w:rsidRPr="00B01865">
        <w:t xml:space="preserve">b) </w:t>
      </w:r>
      <w:r w:rsidR="00A10699" w:rsidRPr="00B01865">
        <w:t>Regla de gasto: el gasto computable de 2017 no superará la tasa de ref</w:t>
      </w:r>
      <w:r w:rsidR="00A10699" w:rsidRPr="00B01865">
        <w:t>e</w:t>
      </w:r>
      <w:r w:rsidR="00A10699" w:rsidRPr="00B01865">
        <w:t>rencia del 2,1 por ciento de incremento sobre el gasto computable del año ant</w:t>
      </w:r>
      <w:r w:rsidR="00A10699" w:rsidRPr="00B01865">
        <w:t>e</w:t>
      </w:r>
      <w:r w:rsidR="00A10699" w:rsidRPr="00B01865">
        <w:t xml:space="preserve">rior. </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Principios de sostenibilidad financiera:</w:t>
      </w:r>
    </w:p>
    <w:p w:rsidR="00B01865" w:rsidRPr="00B01865" w:rsidRDefault="00B01865" w:rsidP="00655CC5">
      <w:pPr>
        <w:pStyle w:val="texto"/>
      </w:pPr>
      <w:r w:rsidRPr="00B01865">
        <w:t>a) Sostenibilidad del endeudamiento público. La capacidad máxima de e</w:t>
      </w:r>
      <w:r w:rsidRPr="00B01865">
        <w:t>n</w:t>
      </w:r>
      <w:r w:rsidRPr="00B01865">
        <w:t>deudamiento, calculada según la metodología del Protocolo del Déficit Exces</w:t>
      </w:r>
      <w:r w:rsidRPr="00B01865">
        <w:t>i</w:t>
      </w:r>
      <w:r w:rsidRPr="00B01865">
        <w:t xml:space="preserve">vo (PDE), no podrá superar, a 31 de diciembre de 2017, el 18,6 por ciento del PIB, de acuerdo con lo pactado entre Navarra y el Estado.  </w:t>
      </w:r>
    </w:p>
    <w:p w:rsidR="00B01865" w:rsidRPr="00B01865" w:rsidRDefault="00B01865" w:rsidP="00655CC5">
      <w:pPr>
        <w:pStyle w:val="texto"/>
      </w:pPr>
      <w:r w:rsidRPr="00B01865">
        <w:t>b) Sostenibilidad de la deuda comercial. El indicador de periodo medio de pago a proveedores no debe superar el plazo máximo de pago que fija la no</w:t>
      </w:r>
      <w:r w:rsidRPr="00B01865">
        <w:t>r</w:t>
      </w:r>
      <w:r w:rsidRPr="00B01865">
        <w:t>mativa de morosidad regulado en Ley 3/2004, de 29 de diciembre, por la que se establecen medidas de lucha contra la morosidad en las operaciones comerci</w:t>
      </w:r>
      <w:r w:rsidRPr="00B01865">
        <w:t>a</w:t>
      </w:r>
      <w:r w:rsidRPr="00B01865">
        <w:t>les. Con carácter general, ese plazo se fija en 30 días.</w:t>
      </w:r>
    </w:p>
    <w:p w:rsidR="00B01865" w:rsidRPr="00B01865" w:rsidRDefault="00B01865" w:rsidP="00655CC5">
      <w:pPr>
        <w:pStyle w:val="texto"/>
      </w:pPr>
      <w:r w:rsidRPr="00B01865">
        <w:t xml:space="preserve">c) Prudencia </w:t>
      </w:r>
      <w:r w:rsidR="00901DDB">
        <w:t xml:space="preserve">financiera </w:t>
      </w:r>
      <w:r w:rsidRPr="00B01865">
        <w:t>o conjunto de condiciones que deben cumplir las operaciones financieras para minimizar su riesgo y coste, que se materializa en:</w:t>
      </w:r>
    </w:p>
    <w:p w:rsidR="00B01865" w:rsidRPr="00B01865" w:rsidRDefault="00B01865" w:rsidP="00F86E91">
      <w:pPr>
        <w:pStyle w:val="texto"/>
        <w:ind w:firstLine="574"/>
      </w:pPr>
      <w:r w:rsidRPr="00B01865">
        <w:t>c.1) Pasivos financieros o endeudamiento. El coste total máximo de las operaciones de endeudamiento, incluyendo comisiones y otros gastos, no podrá superar el coste de financiación del Estado al plazo medio de la operación, i</w:t>
      </w:r>
      <w:r w:rsidRPr="00B01865">
        <w:t>n</w:t>
      </w:r>
      <w:r w:rsidRPr="00B01865">
        <w:t>crementado con unos determinados diferenciales, de acuerdo con la Resolución de 31 de julio de 2015 de la Secretaría General del Tesoro y Política Financi</w:t>
      </w:r>
      <w:r w:rsidRPr="00B01865">
        <w:t>e</w:t>
      </w:r>
      <w:r w:rsidRPr="00B01865">
        <w:t>ra, y la de 16 de septiembre de 2016</w:t>
      </w:r>
      <w:r w:rsidRPr="00F86E91">
        <w:rPr>
          <w:vertAlign w:val="superscript"/>
        </w:rPr>
        <w:footnoteReference w:id="5"/>
      </w:r>
      <w:r w:rsidRPr="00B01865">
        <w:t>.</w:t>
      </w:r>
    </w:p>
    <w:p w:rsidR="00B01865" w:rsidRPr="00B01865" w:rsidRDefault="00B01865" w:rsidP="00F86E91">
      <w:pPr>
        <w:pStyle w:val="texto"/>
        <w:ind w:firstLine="574"/>
      </w:pPr>
      <w:r w:rsidRPr="00B01865">
        <w:t xml:space="preserve">c.2) Avales, </w:t>
      </w:r>
      <w:proofErr w:type="spellStart"/>
      <w:r w:rsidRPr="00B01865">
        <w:t>reavales</w:t>
      </w:r>
      <w:proofErr w:type="spellEnd"/>
      <w:r w:rsidRPr="00B01865">
        <w:t xml:space="preserve"> u otra clase de garantías públicas. Se establecen, de acuerdo con la Resolución de 9 de septiembre de 2015, de la Secretaría General de Coordinación Autonómica y Local, dos límites para la concesión de avales a entidades no integrantes del perímetro de consolidación según SEC: por un l</w:t>
      </w:r>
      <w:r w:rsidRPr="00B01865">
        <w:t>a</w:t>
      </w:r>
      <w:r w:rsidRPr="00B01865">
        <w:t>do, un límite global de que, a 31 de diciembre, el importe total de avales y otras garantías concedidas más las autorizaciones previstas para el ejercicio siguiente no podrá superar el 1,5 por ciento del PIB de Navarra; por otro, un límite ind</w:t>
      </w:r>
      <w:r w:rsidRPr="00B01865">
        <w:t>i</w:t>
      </w:r>
      <w:r w:rsidRPr="00B01865">
        <w:lastRenderedPageBreak/>
        <w:t>vidual, por el cual un aval o garantía concedida no podrá superar los 25 mill</w:t>
      </w:r>
      <w:r w:rsidRPr="00B01865">
        <w:t>o</w:t>
      </w:r>
      <w:r w:rsidRPr="00B01865">
        <w:t>nes o el 0,1 por ciento del PIB</w:t>
      </w:r>
      <w:r w:rsidR="00901DDB">
        <w:t xml:space="preserve"> </w:t>
      </w:r>
      <w:r w:rsidRPr="00B01865">
        <w:t>de Navarra.</w:t>
      </w:r>
    </w:p>
    <w:p w:rsidR="00B01865" w:rsidRPr="00B01865" w:rsidRDefault="00B01865" w:rsidP="00F86E91">
      <w:pPr>
        <w:pStyle w:val="texto"/>
        <w:ind w:firstLine="574"/>
      </w:pPr>
      <w:r w:rsidRPr="00B01865">
        <w:t xml:space="preserve">c.3) Activos financieros. De acuerdo con la Resolución de 9 de septiembre citada y solo para las Comunidades Autónomas que incumplan el objetivo de deuda pública, </w:t>
      </w:r>
      <w:r w:rsidR="005D255D">
        <w:t>e</w:t>
      </w:r>
      <w:r w:rsidRPr="00B01865">
        <w:t>stas no podrán presentar una variación neta de activos financi</w:t>
      </w:r>
      <w:r w:rsidRPr="00B01865">
        <w:t>e</w:t>
      </w:r>
      <w:r w:rsidRPr="00B01865">
        <w:t>ros positiva al cierre del siguiente ejercicio presupuestario al del incumplimie</w:t>
      </w:r>
      <w:r w:rsidRPr="00B01865">
        <w:t>n</w:t>
      </w:r>
      <w:r w:rsidRPr="00B01865">
        <w:t>to. Dado que Navarra cumplió este objetivo en 2016, esta obligación no es apl</w:t>
      </w:r>
      <w:r w:rsidRPr="00B01865">
        <w:t>i</w:t>
      </w:r>
      <w:r w:rsidRPr="00B01865">
        <w:t>cable al ejercicio 2017.</w:t>
      </w:r>
    </w:p>
    <w:p w:rsidR="00B01865" w:rsidRPr="00B01865" w:rsidRDefault="00B01865" w:rsidP="00F86E91">
      <w:pPr>
        <w:pStyle w:val="texto"/>
      </w:pPr>
      <w:r w:rsidRPr="00B01865">
        <w:rPr>
          <w:lang w:val="es-ES"/>
        </w:rPr>
        <w:t>La</w:t>
      </w:r>
      <w:r w:rsidRPr="00B01865">
        <w:t xml:space="preserve"> Intervención General del Estado (IGAE) es el órgano competente para elaborar las cuentas económicas del Sector Administración Públicas y el Mini</w:t>
      </w:r>
      <w:r w:rsidRPr="00B01865">
        <w:t>s</w:t>
      </w:r>
      <w:r w:rsidRPr="00B01865">
        <w:t>terio de Hacienda es el encargado de pronunciarse de forma definitiva sobre el cumplimiento de los objetivos de estabilidad presupuestaria y sostenibilidad financiera.</w:t>
      </w:r>
    </w:p>
    <w:p w:rsidR="00655CC5" w:rsidRPr="00223EB3" w:rsidRDefault="00B01865" w:rsidP="007C238C">
      <w:pPr>
        <w:pStyle w:val="texto"/>
      </w:pPr>
      <w:r w:rsidRPr="00223EB3">
        <w:t>En octubre de 2018, el citado Ministerio ha publicado un informe en el que se pone de manifiesto el cumplimiento en 2017 del sector Administración P</w:t>
      </w:r>
      <w:r w:rsidRPr="00223EB3">
        <w:t>ú</w:t>
      </w:r>
      <w:r w:rsidRPr="00223EB3">
        <w:t>blica de Navarra del objetivo deuda pública y presenta capacidad de financi</w:t>
      </w:r>
      <w:r w:rsidRPr="00223EB3">
        <w:t>a</w:t>
      </w:r>
      <w:r w:rsidRPr="00223EB3">
        <w:t xml:space="preserve">ción, si bien incumple la regla de gasto. </w:t>
      </w:r>
    </w:p>
    <w:p w:rsidR="00B01865" w:rsidRPr="00B01865" w:rsidRDefault="00B01865" w:rsidP="00F86E91">
      <w:pPr>
        <w:pStyle w:val="texto"/>
      </w:pPr>
      <w:r w:rsidRPr="00B01865">
        <w:t xml:space="preserve">Analizamos a continuación el grado de cumplimiento de las anteriores reglas fiscales: </w:t>
      </w:r>
    </w:p>
    <w:p w:rsidR="00B01865" w:rsidRPr="00655CC5" w:rsidRDefault="00B01865" w:rsidP="00655CC5">
      <w:pPr>
        <w:pStyle w:val="atitulo3"/>
        <w:spacing w:before="240"/>
      </w:pPr>
      <w:r w:rsidRPr="00655CC5">
        <w:t>V.3.1. Estabilidad presupuestaria</w:t>
      </w:r>
    </w:p>
    <w:p w:rsidR="00901DDB" w:rsidRPr="00B01865" w:rsidRDefault="004857F7" w:rsidP="00901DDB">
      <w:pPr>
        <w:tabs>
          <w:tab w:val="center" w:pos="2835"/>
          <w:tab w:val="center" w:pos="3969"/>
          <w:tab w:val="center" w:pos="5103"/>
          <w:tab w:val="center" w:pos="6237"/>
          <w:tab w:val="center" w:pos="7371"/>
        </w:tabs>
        <w:spacing w:after="120"/>
        <w:ind w:firstLine="284"/>
        <w:rPr>
          <w:b/>
          <w:spacing w:val="6"/>
          <w:sz w:val="26"/>
          <w:szCs w:val="24"/>
        </w:rPr>
      </w:pPr>
      <w:r>
        <w:rPr>
          <w:b/>
          <w:spacing w:val="6"/>
          <w:sz w:val="26"/>
          <w:szCs w:val="24"/>
        </w:rPr>
        <w:t>1</w:t>
      </w:r>
      <w:r w:rsidR="00901DDB" w:rsidRPr="00B01865">
        <w:rPr>
          <w:b/>
          <w:spacing w:val="6"/>
          <w:sz w:val="26"/>
          <w:szCs w:val="24"/>
        </w:rPr>
        <w:t>.º Capacidad de financiación</w:t>
      </w:r>
    </w:p>
    <w:p w:rsidR="00223EB3" w:rsidRDefault="00223EB3" w:rsidP="00901DDB">
      <w:pPr>
        <w:pStyle w:val="texto"/>
      </w:pPr>
      <w:r>
        <w:t>La capacidad de financiación de Navarra en 2017 alcanzó los 221,3 millones de euros según la información contenida en la memoria de las Cuentas Gener</w:t>
      </w:r>
      <w:r>
        <w:t>a</w:t>
      </w:r>
      <w:r>
        <w:t>les; este importe representa el 1,11 por ciento sobre el PIB de Navarra, lo que supone el cumplimiento de esta regla.</w:t>
      </w:r>
    </w:p>
    <w:p w:rsidR="00223EB3" w:rsidRDefault="00223EB3" w:rsidP="00901DDB">
      <w:pPr>
        <w:pStyle w:val="texto"/>
      </w:pPr>
      <w:r>
        <w:t>Según la publicación del Ministerio de Hacienda de octubre de 2018, esta capacidad de financiación ascendió a 232 millo</w:t>
      </w:r>
      <w:r w:rsidR="006860D5">
        <w:t>nes, lo que mejora los cálculos realizados por Navarra y</w:t>
      </w:r>
      <w:r w:rsidR="005D255D">
        <w:t>,</w:t>
      </w:r>
      <w:r w:rsidR="006860D5">
        <w:t xml:space="preserve"> por lo tanto</w:t>
      </w:r>
      <w:r w:rsidR="005D255D">
        <w:t>,</w:t>
      </w:r>
      <w:r w:rsidR="006860D5">
        <w:t xml:space="preserve"> este objetivo se seguiría cumpliendo.</w:t>
      </w:r>
      <w:r>
        <w:t xml:space="preserve"> </w:t>
      </w:r>
    </w:p>
    <w:p w:rsidR="004857F7" w:rsidRDefault="006860D5" w:rsidP="00901DDB">
      <w:pPr>
        <w:pStyle w:val="texto"/>
      </w:pPr>
      <w:r>
        <w:t>En la página siguiente mostramos el desglose del cálculo de la capacidad de financiación teniendo en cuenta los datos incluidos por la ACFN en la memoria de las Cuentas Generales.</w:t>
      </w:r>
    </w:p>
    <w:p w:rsidR="004857F7" w:rsidRDefault="004857F7">
      <w:pPr>
        <w:spacing w:after="0"/>
        <w:ind w:firstLine="0"/>
        <w:jc w:val="left"/>
        <w:rPr>
          <w:spacing w:val="6"/>
          <w:sz w:val="26"/>
          <w:szCs w:val="24"/>
        </w:rPr>
      </w:pPr>
      <w:r>
        <w:br w:type="page"/>
      </w:r>
    </w:p>
    <w:tbl>
      <w:tblPr>
        <w:tblW w:w="8847" w:type="dxa"/>
        <w:tblInd w:w="70" w:type="dxa"/>
        <w:tblBorders>
          <w:top w:val="single" w:sz="4" w:space="0" w:color="000000"/>
          <w:bottom w:val="single" w:sz="4" w:space="0" w:color="000000"/>
        </w:tblBorders>
        <w:tblCellMar>
          <w:left w:w="70" w:type="dxa"/>
          <w:right w:w="70" w:type="dxa"/>
        </w:tblCellMar>
        <w:tblLook w:val="0000" w:firstRow="0" w:lastRow="0" w:firstColumn="0" w:lastColumn="0" w:noHBand="0" w:noVBand="0"/>
      </w:tblPr>
      <w:tblGrid>
        <w:gridCol w:w="7440"/>
        <w:gridCol w:w="1407"/>
      </w:tblGrid>
      <w:tr w:rsidR="00901DDB" w:rsidRPr="00B01865" w:rsidTr="009E512D">
        <w:trPr>
          <w:trHeight w:val="255"/>
        </w:trPr>
        <w:tc>
          <w:tcPr>
            <w:tcW w:w="8847" w:type="dxa"/>
            <w:gridSpan w:val="2"/>
            <w:tcBorders>
              <w:top w:val="nil"/>
              <w:bottom w:val="single" w:sz="4" w:space="0" w:color="000000"/>
            </w:tcBorders>
            <w:shd w:val="clear" w:color="auto" w:fill="auto"/>
            <w:noWrap/>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B01865">
              <w:rPr>
                <w:rFonts w:ascii="Arial" w:hAnsi="Arial" w:cs="Arial"/>
                <w:spacing w:val="6"/>
                <w:sz w:val="17"/>
                <w:szCs w:val="17"/>
              </w:rPr>
              <w:lastRenderedPageBreak/>
              <w:t>(en millones de euros)</w:t>
            </w:r>
          </w:p>
        </w:tc>
      </w:tr>
      <w:tr w:rsidR="00901DDB" w:rsidRPr="00B01865" w:rsidTr="009E512D">
        <w:trPr>
          <w:trHeight w:val="255"/>
        </w:trPr>
        <w:tc>
          <w:tcPr>
            <w:tcW w:w="7440" w:type="dxa"/>
            <w:tcBorders>
              <w:top w:val="single" w:sz="4" w:space="0" w:color="000000"/>
              <w:bottom w:val="single" w:sz="4" w:space="0" w:color="000000"/>
            </w:tcBorders>
            <w:shd w:val="clear" w:color="auto" w:fill="8DB3E2" w:themeFill="text2" w:themeFillTint="66"/>
            <w:noWrap/>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Déficit Sector Administración Pública de la Comunidad Foral de Navarra</w:t>
            </w:r>
          </w:p>
        </w:tc>
        <w:tc>
          <w:tcPr>
            <w:tcW w:w="1407" w:type="dxa"/>
            <w:tcBorders>
              <w:top w:val="single" w:sz="4" w:space="0" w:color="000000"/>
              <w:bottom w:val="single" w:sz="4" w:space="0" w:color="000000"/>
            </w:tcBorders>
            <w:shd w:val="clear" w:color="auto" w:fill="8DB3E2" w:themeFill="text2" w:themeFillTint="66"/>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2017</w:t>
            </w:r>
          </w:p>
        </w:tc>
      </w:tr>
      <w:tr w:rsidR="00901DDB" w:rsidRPr="00B01865" w:rsidTr="009E512D">
        <w:trPr>
          <w:trHeight w:val="255"/>
        </w:trPr>
        <w:tc>
          <w:tcPr>
            <w:tcW w:w="7440" w:type="dxa"/>
            <w:tcBorders>
              <w:top w:val="single" w:sz="4"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b/>
                <w:lang w:val="es-ES" w:eastAsia="es-ES"/>
              </w:rPr>
            </w:pPr>
            <w:r w:rsidRPr="00B01865">
              <w:rPr>
                <w:rFonts w:ascii="Arial Narrow" w:hAnsi="Arial Narrow" w:cs="Arial"/>
                <w:b/>
                <w:lang w:val="es-ES" w:eastAsia="es-ES"/>
              </w:rPr>
              <w:t xml:space="preserve">I. Saldo Presupuestario No Financiero </w:t>
            </w:r>
            <w:r w:rsidRPr="00B01865">
              <w:rPr>
                <w:rFonts w:ascii="Arial Narrow" w:hAnsi="Arial Narrow" w:cs="Arial"/>
                <w:lang w:val="es-ES" w:eastAsia="es-ES"/>
              </w:rPr>
              <w:t>(cap. 1 al 7 de ingresos menos cap.1 al 7 de gastos)</w:t>
            </w:r>
          </w:p>
        </w:tc>
        <w:tc>
          <w:tcPr>
            <w:tcW w:w="1407" w:type="dxa"/>
            <w:tcBorders>
              <w:top w:val="single" w:sz="4"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b/>
                <w:lang w:val="es-ES" w:eastAsia="es-ES"/>
              </w:rPr>
            </w:pPr>
            <w:r w:rsidRPr="00B01865">
              <w:rPr>
                <w:rFonts w:ascii="Arial Narrow" w:hAnsi="Arial Narrow" w:cs="Arial"/>
                <w:b/>
                <w:lang w:val="es-ES" w:eastAsia="es-ES"/>
              </w:rPr>
              <w:t>349,7</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De la Administración General y sus Organismos Autónomos</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350,9</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Del Parlamento, Defensor del Pueblo, Consejo de Navarra y Cámara de Comptos</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1,1</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De la Universidad Pública de Navarra</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-2,3</w:t>
            </w:r>
          </w:p>
        </w:tc>
      </w:tr>
      <w:tr w:rsidR="00901DDB" w:rsidRPr="00B01865" w:rsidTr="009E512D">
        <w:trPr>
          <w:trHeight w:val="255"/>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b/>
                <w:lang w:val="es-ES" w:eastAsia="es-ES"/>
              </w:rPr>
            </w:pPr>
            <w:r w:rsidRPr="00B01865">
              <w:rPr>
                <w:rFonts w:ascii="Arial Narrow" w:hAnsi="Arial Narrow" w:cs="Arial"/>
                <w:b/>
                <w:lang w:val="es-ES" w:eastAsia="es-ES"/>
              </w:rPr>
              <w:t xml:space="preserve">II. Ajustes al saldo presupuestario </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b/>
                <w:lang w:val="es-ES" w:eastAsia="es-ES"/>
              </w:rPr>
            </w:pPr>
            <w:r w:rsidRPr="00B01865">
              <w:rPr>
                <w:rFonts w:ascii="Arial Narrow" w:hAnsi="Arial Narrow" w:cs="Arial"/>
                <w:b/>
                <w:lang w:val="es-ES" w:eastAsia="es-ES"/>
              </w:rPr>
              <w:t>-113,5</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Aportación Convenio Económico</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0</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Transferencias de la Administración Central y de la Seguridad Social</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1,3</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Transferencias internas Universidad Pública de Navarra</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-0,2</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 xml:space="preserve">Transferencias de Fondos Comunitarios </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1,0</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 xml:space="preserve">Recaudación incierta </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-28,5</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Céntimo sanitario</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0</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Operaciones pendientes de aplicar al presupuesto</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-13,3</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Inversiones a través de Asociaciones Público-Privadas</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4,2</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Intereses devengados no vencidos</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3,5</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Anticipos de obras ADIF (TAV)</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0,9</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Avales ejecutados</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-0,5</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Acreedores por devolución de impuestos</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-65,0</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Aportaciones financieras empresas</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-15,1</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Activos fiscales diferidos</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-3,0</w:t>
            </w:r>
          </w:p>
        </w:tc>
      </w:tr>
      <w:tr w:rsidR="00901DDB" w:rsidRPr="00B01865" w:rsidTr="009E512D">
        <w:trPr>
          <w:trHeight w:val="198"/>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Cuotas globales asistencia sanitaria</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1,0</w:t>
            </w:r>
          </w:p>
        </w:tc>
      </w:tr>
      <w:tr w:rsidR="00901DDB" w:rsidRPr="00B01865" w:rsidTr="009E512D">
        <w:trPr>
          <w:trHeight w:val="255"/>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b/>
                <w:lang w:val="es-ES" w:eastAsia="es-ES"/>
              </w:rPr>
            </w:pPr>
            <w:r w:rsidRPr="00B01865">
              <w:rPr>
                <w:rFonts w:ascii="Arial Narrow" w:hAnsi="Arial Narrow" w:cs="Arial"/>
                <w:b/>
                <w:lang w:val="es-ES" w:eastAsia="es-ES"/>
              </w:rPr>
              <w:t>III. Otras unidades consideradas como AA.PP (sociedades y fundaciones públicas)</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b/>
                <w:lang w:val="es-ES" w:eastAsia="es-ES"/>
              </w:rPr>
            </w:pPr>
            <w:r w:rsidRPr="00B01865">
              <w:rPr>
                <w:rFonts w:ascii="Arial Narrow" w:hAnsi="Arial Narrow" w:cs="Arial"/>
                <w:b/>
                <w:lang w:val="es-ES" w:eastAsia="es-ES"/>
              </w:rPr>
              <w:t>-14,8</w:t>
            </w:r>
          </w:p>
        </w:tc>
      </w:tr>
      <w:tr w:rsidR="00901DDB" w:rsidRPr="00B01865" w:rsidTr="009E512D">
        <w:trPr>
          <w:trHeight w:val="255"/>
        </w:trPr>
        <w:tc>
          <w:tcPr>
            <w:tcW w:w="7440" w:type="dxa"/>
            <w:tcBorders>
              <w:top w:val="single" w:sz="2" w:space="0" w:color="000000"/>
              <w:bottom w:val="single" w:sz="2" w:space="0" w:color="000000"/>
            </w:tcBorders>
            <w:shd w:val="clear" w:color="auto" w:fill="auto"/>
            <w:vAlign w:val="center"/>
          </w:tcPr>
          <w:p w:rsidR="00901DDB" w:rsidRPr="00B01865" w:rsidRDefault="00901DDB" w:rsidP="009E512D">
            <w:pPr>
              <w:spacing w:after="0"/>
              <w:ind w:firstLine="0"/>
              <w:jc w:val="left"/>
              <w:rPr>
                <w:rFonts w:ascii="Arial Narrow" w:hAnsi="Arial Narrow" w:cs="Arial"/>
                <w:b/>
                <w:lang w:val="es-ES" w:eastAsia="es-ES"/>
              </w:rPr>
            </w:pPr>
            <w:r w:rsidRPr="00B01865">
              <w:rPr>
                <w:rFonts w:ascii="Arial Narrow" w:hAnsi="Arial Narrow" w:cs="Arial"/>
                <w:b/>
                <w:lang w:val="es-ES" w:eastAsia="es-ES"/>
              </w:rPr>
              <w:t xml:space="preserve">IV. Capacidad financiación a efectos cumplimiento objetivo de </w:t>
            </w:r>
            <w:proofErr w:type="spellStart"/>
            <w:r w:rsidRPr="00B01865">
              <w:rPr>
                <w:rFonts w:ascii="Arial Narrow" w:hAnsi="Arial Narrow" w:cs="Arial"/>
                <w:b/>
                <w:lang w:val="es-ES" w:eastAsia="es-ES"/>
              </w:rPr>
              <w:t>Estab</w:t>
            </w:r>
            <w:proofErr w:type="spellEnd"/>
            <w:r w:rsidRPr="00B01865">
              <w:rPr>
                <w:rFonts w:ascii="Arial Narrow" w:hAnsi="Arial Narrow" w:cs="Arial"/>
                <w:b/>
                <w:lang w:val="es-ES" w:eastAsia="es-ES"/>
              </w:rPr>
              <w:t>. Presupuestaria (I a III)</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b/>
                <w:lang w:val="es-ES" w:eastAsia="es-ES"/>
              </w:rPr>
            </w:pPr>
            <w:r w:rsidRPr="00B01865">
              <w:rPr>
                <w:rFonts w:ascii="Arial Narrow" w:hAnsi="Arial Narrow" w:cs="Arial"/>
                <w:b/>
                <w:lang w:val="es-ES" w:eastAsia="es-ES"/>
              </w:rPr>
              <w:t>221,3</w:t>
            </w:r>
          </w:p>
        </w:tc>
      </w:tr>
      <w:tr w:rsidR="00901DDB" w:rsidRPr="00B01865" w:rsidTr="00B702C6">
        <w:trPr>
          <w:trHeight w:val="255"/>
        </w:trPr>
        <w:tc>
          <w:tcPr>
            <w:tcW w:w="7440" w:type="dxa"/>
            <w:tcBorders>
              <w:top w:val="single" w:sz="2" w:space="0" w:color="000000"/>
              <w:bottom w:val="single" w:sz="2" w:space="0" w:color="000000"/>
            </w:tcBorders>
            <w:shd w:val="clear" w:color="auto" w:fill="auto"/>
            <w:noWrap/>
            <w:vAlign w:val="center"/>
          </w:tcPr>
          <w:p w:rsidR="00901DDB" w:rsidRPr="00B01865" w:rsidRDefault="00901DDB" w:rsidP="009E512D">
            <w:pPr>
              <w:spacing w:after="0"/>
              <w:ind w:firstLine="0"/>
              <w:jc w:val="left"/>
              <w:rPr>
                <w:rFonts w:ascii="Arial Narrow" w:hAnsi="Arial Narrow" w:cs="Arial"/>
                <w:b/>
                <w:lang w:val="es-ES" w:eastAsia="es-ES"/>
              </w:rPr>
            </w:pPr>
            <w:r w:rsidRPr="00B01865">
              <w:rPr>
                <w:rFonts w:ascii="Arial Narrow" w:hAnsi="Arial Narrow" w:cs="Arial"/>
                <w:b/>
                <w:lang w:val="es-ES" w:eastAsia="es-ES"/>
              </w:rPr>
              <w:t>Porcentaje de las necesidades de finan</w:t>
            </w:r>
            <w:r w:rsidR="004857F7">
              <w:rPr>
                <w:rFonts w:ascii="Arial Narrow" w:hAnsi="Arial Narrow" w:cs="Arial"/>
                <w:b/>
                <w:lang w:val="es-ES" w:eastAsia="es-ES"/>
              </w:rPr>
              <w:t xml:space="preserve">ciación sobre PIB de Navarra </w:t>
            </w:r>
          </w:p>
        </w:tc>
        <w:tc>
          <w:tcPr>
            <w:tcW w:w="1407" w:type="dxa"/>
            <w:tcBorders>
              <w:top w:val="single" w:sz="2" w:space="0" w:color="000000"/>
              <w:bottom w:val="single" w:sz="2" w:space="0" w:color="000000"/>
            </w:tcBorders>
            <w:vAlign w:val="center"/>
          </w:tcPr>
          <w:p w:rsidR="00901DDB" w:rsidRPr="00B01865" w:rsidRDefault="00901DDB" w:rsidP="009E512D">
            <w:pPr>
              <w:spacing w:after="0"/>
              <w:ind w:firstLine="0"/>
              <w:jc w:val="right"/>
              <w:rPr>
                <w:rFonts w:ascii="Arial Narrow" w:hAnsi="Arial Narrow" w:cs="Arial"/>
                <w:b/>
                <w:lang w:val="es-ES" w:eastAsia="es-ES"/>
              </w:rPr>
            </w:pPr>
            <w:r w:rsidRPr="00B01865">
              <w:rPr>
                <w:rFonts w:ascii="Arial Narrow" w:hAnsi="Arial Narrow" w:cs="Arial"/>
                <w:b/>
                <w:lang w:val="es-ES" w:eastAsia="es-ES"/>
              </w:rPr>
              <w:t>1,12</w:t>
            </w:r>
          </w:p>
        </w:tc>
      </w:tr>
      <w:tr w:rsidR="00901DDB" w:rsidRPr="00B01865" w:rsidTr="00B702C6">
        <w:trPr>
          <w:trHeight w:val="255"/>
        </w:trPr>
        <w:tc>
          <w:tcPr>
            <w:tcW w:w="7440" w:type="dxa"/>
            <w:tcBorders>
              <w:top w:val="single" w:sz="2" w:space="0" w:color="000000"/>
              <w:bottom w:val="single" w:sz="4" w:space="0" w:color="000000"/>
            </w:tcBorders>
            <w:shd w:val="clear" w:color="auto" w:fill="auto"/>
            <w:noWrap/>
            <w:vAlign w:val="center"/>
          </w:tcPr>
          <w:p w:rsidR="00901DDB" w:rsidRPr="00B01865" w:rsidRDefault="00901DDB" w:rsidP="009E512D">
            <w:pPr>
              <w:spacing w:after="0"/>
              <w:ind w:firstLine="0"/>
              <w:jc w:val="left"/>
              <w:rPr>
                <w:rFonts w:ascii="Arial Narrow" w:hAnsi="Arial Narrow" w:cs="Arial"/>
                <w:b/>
                <w:i/>
                <w:lang w:val="es-ES" w:eastAsia="es-ES"/>
              </w:rPr>
            </w:pPr>
            <w:r w:rsidRPr="00B01865">
              <w:rPr>
                <w:rFonts w:ascii="Arial Narrow" w:hAnsi="Arial Narrow" w:cs="Arial"/>
                <w:b/>
                <w:i/>
                <w:lang w:val="es-ES" w:eastAsia="es-ES"/>
              </w:rPr>
              <w:t>Objetivo pactado en porcentaje sobre el PIB de Navarra</w:t>
            </w:r>
          </w:p>
        </w:tc>
        <w:tc>
          <w:tcPr>
            <w:tcW w:w="1407" w:type="dxa"/>
            <w:tcBorders>
              <w:top w:val="single" w:sz="2" w:space="0" w:color="000000"/>
              <w:bottom w:val="single" w:sz="4" w:space="0" w:color="000000"/>
            </w:tcBorders>
            <w:vAlign w:val="center"/>
          </w:tcPr>
          <w:p w:rsidR="00901DDB" w:rsidRPr="00B01865" w:rsidRDefault="00901DDB" w:rsidP="009E512D">
            <w:pPr>
              <w:spacing w:after="0"/>
              <w:ind w:firstLine="0"/>
              <w:jc w:val="right"/>
              <w:rPr>
                <w:rFonts w:ascii="Arial Narrow" w:hAnsi="Arial Narrow" w:cs="Arial"/>
                <w:b/>
                <w:i/>
                <w:lang w:val="es-ES" w:eastAsia="es-ES"/>
              </w:rPr>
            </w:pPr>
            <w:r w:rsidRPr="00B01865">
              <w:rPr>
                <w:rFonts w:ascii="Arial Narrow" w:hAnsi="Arial Narrow" w:cs="Arial"/>
                <w:b/>
                <w:i/>
                <w:lang w:val="es-ES" w:eastAsia="es-ES"/>
              </w:rPr>
              <w:t>-0,6</w:t>
            </w:r>
          </w:p>
        </w:tc>
      </w:tr>
    </w:tbl>
    <w:p w:rsidR="00901DDB" w:rsidRPr="00B01865" w:rsidRDefault="00901DDB" w:rsidP="00901DDB">
      <w:pPr>
        <w:spacing w:before="60" w:after="0"/>
        <w:ind w:firstLine="0"/>
        <w:jc w:val="left"/>
        <w:rPr>
          <w:rFonts w:ascii="Arial" w:hAnsi="Arial" w:cs="Arial"/>
          <w:sz w:val="16"/>
          <w:szCs w:val="16"/>
          <w:lang w:val="es-ES" w:eastAsia="es-ES"/>
        </w:rPr>
      </w:pPr>
      <w:r w:rsidRPr="00B01865">
        <w:rPr>
          <w:rFonts w:ascii="Arial" w:hAnsi="Arial" w:cs="Arial"/>
          <w:sz w:val="16"/>
          <w:szCs w:val="16"/>
          <w:lang w:val="es-ES" w:eastAsia="es-ES"/>
        </w:rPr>
        <w:t>Fuente: Gobierno de Navarra.</w:t>
      </w:r>
    </w:p>
    <w:p w:rsidR="00901DDB" w:rsidRPr="00B01865" w:rsidRDefault="00901DDB" w:rsidP="00901DDB">
      <w:pPr>
        <w:spacing w:after="0"/>
        <w:ind w:firstLine="0"/>
        <w:jc w:val="left"/>
        <w:rPr>
          <w:rFonts w:ascii="Arial" w:hAnsi="Arial" w:cs="Arial"/>
          <w:sz w:val="16"/>
          <w:szCs w:val="16"/>
          <w:lang w:val="es-ES" w:eastAsia="es-ES"/>
        </w:rPr>
      </w:pPr>
    </w:p>
    <w:p w:rsidR="00901DDB" w:rsidRPr="00B01865" w:rsidRDefault="00901DDB" w:rsidP="006C75A2">
      <w:pPr>
        <w:pStyle w:val="texto"/>
        <w:spacing w:before="120"/>
      </w:pPr>
      <w:r w:rsidRPr="00B01865">
        <w:t>Destacamos que la ACFN presenta capacidad de financiación por primera vez en los últimos años (valor positivo), ya que anteriormente había reflejado necesidad de financiación (valor negativo) tal y como mostramos a continu</w:t>
      </w:r>
      <w:r w:rsidRPr="00B01865">
        <w:t>a</w:t>
      </w:r>
      <w:r w:rsidRPr="00B01865">
        <w:t>ción:</w:t>
      </w:r>
    </w:p>
    <w:tbl>
      <w:tblPr>
        <w:tblW w:w="8828" w:type="dxa"/>
        <w:jc w:val="center"/>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686"/>
        <w:gridCol w:w="671"/>
        <w:gridCol w:w="671"/>
        <w:gridCol w:w="844"/>
        <w:gridCol w:w="843"/>
        <w:gridCol w:w="984"/>
        <w:gridCol w:w="843"/>
        <w:gridCol w:w="844"/>
        <w:gridCol w:w="771"/>
        <w:gridCol w:w="671"/>
      </w:tblGrid>
      <w:tr w:rsidR="00901DDB" w:rsidRPr="00B01865" w:rsidTr="009E512D">
        <w:trPr>
          <w:trHeight w:val="198"/>
          <w:jc w:val="center"/>
        </w:trPr>
        <w:tc>
          <w:tcPr>
            <w:tcW w:w="8828" w:type="dxa"/>
            <w:gridSpan w:val="10"/>
            <w:tcBorders>
              <w:top w:val="nil"/>
              <w:bottom w:val="single" w:sz="4" w:space="0" w:color="000000"/>
            </w:tcBorders>
            <w:shd w:val="clear" w:color="auto" w:fill="auto"/>
            <w:noWrap/>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B01865">
              <w:rPr>
                <w:rFonts w:ascii="Arial" w:hAnsi="Arial" w:cs="Arial"/>
                <w:spacing w:val="6"/>
                <w:sz w:val="17"/>
                <w:szCs w:val="17"/>
              </w:rPr>
              <w:t>(en millones de euros)</w:t>
            </w:r>
          </w:p>
        </w:tc>
      </w:tr>
      <w:tr w:rsidR="00901DDB" w:rsidRPr="00B01865" w:rsidTr="009E512D">
        <w:trPr>
          <w:trHeight w:val="255"/>
          <w:jc w:val="center"/>
        </w:trPr>
        <w:tc>
          <w:tcPr>
            <w:tcW w:w="1686" w:type="dxa"/>
            <w:tcBorders>
              <w:bottom w:val="single" w:sz="4" w:space="0" w:color="000000"/>
            </w:tcBorders>
            <w:shd w:val="clear" w:color="auto" w:fill="8DB3E2" w:themeFill="text2" w:themeFillTint="66"/>
            <w:noWrap/>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Capacidad de financiación</w:t>
            </w:r>
          </w:p>
        </w:tc>
        <w:tc>
          <w:tcPr>
            <w:tcW w:w="671" w:type="dxa"/>
            <w:tcBorders>
              <w:bottom w:val="single" w:sz="4" w:space="0" w:color="000000"/>
            </w:tcBorders>
            <w:shd w:val="clear" w:color="auto" w:fill="8DB3E2" w:themeFill="text2" w:themeFillTint="66"/>
            <w:noWrap/>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2009</w:t>
            </w:r>
          </w:p>
        </w:tc>
        <w:tc>
          <w:tcPr>
            <w:tcW w:w="671" w:type="dxa"/>
            <w:tcBorders>
              <w:bottom w:val="single" w:sz="4" w:space="0" w:color="000000"/>
            </w:tcBorders>
            <w:shd w:val="clear" w:color="auto" w:fill="8DB3E2" w:themeFill="text2" w:themeFillTint="66"/>
            <w:noWrap/>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2010</w:t>
            </w:r>
          </w:p>
        </w:tc>
        <w:tc>
          <w:tcPr>
            <w:tcW w:w="844" w:type="dxa"/>
            <w:tcBorders>
              <w:bottom w:val="single" w:sz="4" w:space="0" w:color="000000"/>
            </w:tcBorders>
            <w:shd w:val="clear" w:color="auto" w:fill="8DB3E2" w:themeFill="text2" w:themeFillTint="66"/>
            <w:noWrap/>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2011</w:t>
            </w:r>
          </w:p>
        </w:tc>
        <w:tc>
          <w:tcPr>
            <w:tcW w:w="843" w:type="dxa"/>
            <w:tcBorders>
              <w:bottom w:val="single" w:sz="4" w:space="0" w:color="000000"/>
            </w:tcBorders>
            <w:shd w:val="clear" w:color="auto" w:fill="8DB3E2" w:themeFill="text2" w:themeFillTint="66"/>
            <w:noWrap/>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2012</w:t>
            </w:r>
          </w:p>
        </w:tc>
        <w:tc>
          <w:tcPr>
            <w:tcW w:w="984" w:type="dxa"/>
            <w:tcBorders>
              <w:bottom w:val="single" w:sz="4" w:space="0" w:color="000000"/>
            </w:tcBorders>
            <w:shd w:val="clear" w:color="auto" w:fill="8DB3E2" w:themeFill="text2" w:themeFillTint="66"/>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2013</w:t>
            </w:r>
          </w:p>
        </w:tc>
        <w:tc>
          <w:tcPr>
            <w:tcW w:w="843" w:type="dxa"/>
            <w:tcBorders>
              <w:bottom w:val="single" w:sz="4" w:space="0" w:color="000000"/>
            </w:tcBorders>
            <w:shd w:val="clear" w:color="auto" w:fill="8DB3E2" w:themeFill="text2" w:themeFillTint="66"/>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2014</w:t>
            </w:r>
          </w:p>
        </w:tc>
        <w:tc>
          <w:tcPr>
            <w:tcW w:w="844" w:type="dxa"/>
            <w:tcBorders>
              <w:bottom w:val="single" w:sz="4" w:space="0" w:color="000000"/>
            </w:tcBorders>
            <w:shd w:val="clear" w:color="auto" w:fill="8DB3E2" w:themeFill="text2" w:themeFillTint="66"/>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2015</w:t>
            </w:r>
          </w:p>
        </w:tc>
        <w:tc>
          <w:tcPr>
            <w:tcW w:w="771" w:type="dxa"/>
            <w:tcBorders>
              <w:bottom w:val="single" w:sz="4" w:space="0" w:color="000000"/>
            </w:tcBorders>
            <w:shd w:val="clear" w:color="auto" w:fill="8DB3E2" w:themeFill="text2" w:themeFillTint="66"/>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2016</w:t>
            </w:r>
          </w:p>
        </w:tc>
        <w:tc>
          <w:tcPr>
            <w:tcW w:w="671" w:type="dxa"/>
            <w:tcBorders>
              <w:bottom w:val="single" w:sz="4" w:space="0" w:color="000000"/>
            </w:tcBorders>
            <w:shd w:val="clear" w:color="auto" w:fill="8DB3E2" w:themeFill="text2" w:themeFillTint="66"/>
            <w:vAlign w:val="center"/>
          </w:tcPr>
          <w:p w:rsidR="00901DDB" w:rsidRPr="00B01865" w:rsidRDefault="00901DDB" w:rsidP="009E512D">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2017</w:t>
            </w:r>
          </w:p>
        </w:tc>
      </w:tr>
      <w:tr w:rsidR="00901DDB" w:rsidRPr="00B01865" w:rsidTr="009E512D">
        <w:trPr>
          <w:trHeight w:val="198"/>
          <w:jc w:val="center"/>
        </w:trPr>
        <w:tc>
          <w:tcPr>
            <w:tcW w:w="1686" w:type="dxa"/>
            <w:tcBorders>
              <w:bottom w:val="single" w:sz="2" w:space="0" w:color="000000"/>
            </w:tcBorders>
            <w:shd w:val="clear" w:color="auto" w:fill="auto"/>
            <w:noWrap/>
            <w:vAlign w:val="center"/>
          </w:tcPr>
          <w:p w:rsidR="00901DDB" w:rsidRPr="00B01865" w:rsidRDefault="00901DDB"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Importe</w:t>
            </w:r>
          </w:p>
        </w:tc>
        <w:tc>
          <w:tcPr>
            <w:tcW w:w="671" w:type="dxa"/>
            <w:tcBorders>
              <w:bottom w:val="single" w:sz="2" w:space="0" w:color="000000"/>
            </w:tcBorders>
            <w:shd w:val="clear" w:color="auto" w:fill="auto"/>
            <w:noWrap/>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-477</w:t>
            </w:r>
          </w:p>
        </w:tc>
        <w:tc>
          <w:tcPr>
            <w:tcW w:w="671" w:type="dxa"/>
            <w:tcBorders>
              <w:bottom w:val="single" w:sz="2" w:space="0" w:color="000000"/>
            </w:tcBorders>
            <w:shd w:val="clear" w:color="auto" w:fill="auto"/>
            <w:noWrap/>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-564</w:t>
            </w:r>
          </w:p>
        </w:tc>
        <w:tc>
          <w:tcPr>
            <w:tcW w:w="844" w:type="dxa"/>
            <w:tcBorders>
              <w:bottom w:val="single" w:sz="2" w:space="0" w:color="000000"/>
            </w:tcBorders>
            <w:shd w:val="clear" w:color="auto" w:fill="auto"/>
            <w:noWrap/>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-368</w:t>
            </w:r>
          </w:p>
        </w:tc>
        <w:tc>
          <w:tcPr>
            <w:tcW w:w="843" w:type="dxa"/>
            <w:tcBorders>
              <w:bottom w:val="single" w:sz="2" w:space="0" w:color="000000"/>
            </w:tcBorders>
            <w:shd w:val="clear" w:color="auto" w:fill="auto"/>
            <w:noWrap/>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-311</w:t>
            </w:r>
          </w:p>
        </w:tc>
        <w:tc>
          <w:tcPr>
            <w:tcW w:w="984" w:type="dxa"/>
            <w:tcBorders>
              <w:bottom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-255</w:t>
            </w:r>
          </w:p>
        </w:tc>
        <w:tc>
          <w:tcPr>
            <w:tcW w:w="843" w:type="dxa"/>
            <w:tcBorders>
              <w:bottom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-149</w:t>
            </w:r>
          </w:p>
        </w:tc>
        <w:tc>
          <w:tcPr>
            <w:tcW w:w="844" w:type="dxa"/>
            <w:tcBorders>
              <w:bottom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-270</w:t>
            </w:r>
          </w:p>
        </w:tc>
        <w:tc>
          <w:tcPr>
            <w:tcW w:w="771" w:type="dxa"/>
            <w:tcBorders>
              <w:bottom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-136</w:t>
            </w:r>
          </w:p>
        </w:tc>
        <w:tc>
          <w:tcPr>
            <w:tcW w:w="671" w:type="dxa"/>
            <w:tcBorders>
              <w:bottom w:val="single" w:sz="2" w:space="0" w:color="000000"/>
            </w:tcBorders>
            <w:vAlign w:val="center"/>
          </w:tcPr>
          <w:p w:rsidR="00901DDB" w:rsidRPr="00B01865" w:rsidRDefault="00223EB3" w:rsidP="009E512D">
            <w:pPr>
              <w:spacing w:after="0"/>
              <w:ind w:firstLine="0"/>
              <w:jc w:val="right"/>
              <w:rPr>
                <w:rFonts w:ascii="Arial Narrow" w:hAnsi="Arial Narrow" w:cs="Arial"/>
                <w:lang w:val="es-ES" w:eastAsia="es-ES"/>
              </w:rPr>
            </w:pPr>
            <w:r>
              <w:rPr>
                <w:rFonts w:ascii="Arial Narrow" w:hAnsi="Arial Narrow" w:cs="Arial"/>
                <w:lang w:val="es-ES" w:eastAsia="es-ES"/>
              </w:rPr>
              <w:t>221</w:t>
            </w:r>
          </w:p>
        </w:tc>
      </w:tr>
      <w:tr w:rsidR="00901DDB" w:rsidRPr="00B01865" w:rsidTr="009E512D">
        <w:trPr>
          <w:trHeight w:val="198"/>
          <w:jc w:val="center"/>
        </w:trPr>
        <w:tc>
          <w:tcPr>
            <w:tcW w:w="1686" w:type="dxa"/>
            <w:tcBorders>
              <w:top w:val="single" w:sz="2" w:space="0" w:color="000000"/>
            </w:tcBorders>
            <w:shd w:val="clear" w:color="auto" w:fill="auto"/>
            <w:noWrap/>
            <w:vAlign w:val="center"/>
          </w:tcPr>
          <w:p w:rsidR="00901DDB" w:rsidRPr="00B01865" w:rsidRDefault="00901DDB" w:rsidP="009E512D">
            <w:pPr>
              <w:spacing w:after="0"/>
              <w:ind w:firstLine="0"/>
              <w:jc w:val="left"/>
              <w:rPr>
                <w:rFonts w:ascii="Arial Narrow" w:hAnsi="Arial Narrow" w:cs="Arial"/>
                <w:lang w:val="es-ES" w:eastAsia="es-ES"/>
              </w:rPr>
            </w:pPr>
            <w:r w:rsidRPr="00B01865">
              <w:rPr>
                <w:rFonts w:ascii="Arial Narrow" w:hAnsi="Arial Narrow" w:cs="Arial"/>
                <w:lang w:val="es-ES" w:eastAsia="es-ES"/>
              </w:rPr>
              <w:t>% PIB Navarra</w:t>
            </w:r>
          </w:p>
        </w:tc>
        <w:tc>
          <w:tcPr>
            <w:tcW w:w="671" w:type="dxa"/>
            <w:tcBorders>
              <w:top w:val="single" w:sz="2" w:space="0" w:color="000000"/>
            </w:tcBorders>
            <w:shd w:val="clear" w:color="auto" w:fill="auto"/>
            <w:noWrap/>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-2,62</w:t>
            </w:r>
          </w:p>
        </w:tc>
        <w:tc>
          <w:tcPr>
            <w:tcW w:w="671" w:type="dxa"/>
            <w:tcBorders>
              <w:top w:val="single" w:sz="2" w:space="0" w:color="000000"/>
            </w:tcBorders>
            <w:shd w:val="clear" w:color="auto" w:fill="auto"/>
            <w:noWrap/>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-3,03</w:t>
            </w:r>
          </w:p>
        </w:tc>
        <w:tc>
          <w:tcPr>
            <w:tcW w:w="844" w:type="dxa"/>
            <w:tcBorders>
              <w:top w:val="single" w:sz="2" w:space="0" w:color="000000"/>
            </w:tcBorders>
            <w:shd w:val="clear" w:color="auto" w:fill="auto"/>
            <w:noWrap/>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-1,97</w:t>
            </w:r>
          </w:p>
        </w:tc>
        <w:tc>
          <w:tcPr>
            <w:tcW w:w="843" w:type="dxa"/>
            <w:tcBorders>
              <w:top w:val="single" w:sz="2" w:space="0" w:color="000000"/>
            </w:tcBorders>
            <w:shd w:val="clear" w:color="auto" w:fill="auto"/>
            <w:noWrap/>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-1,72</w:t>
            </w:r>
          </w:p>
        </w:tc>
        <w:tc>
          <w:tcPr>
            <w:tcW w:w="984" w:type="dxa"/>
            <w:tcBorders>
              <w:top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-1,45</w:t>
            </w:r>
          </w:p>
        </w:tc>
        <w:tc>
          <w:tcPr>
            <w:tcW w:w="843" w:type="dxa"/>
            <w:tcBorders>
              <w:top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-0,84</w:t>
            </w:r>
          </w:p>
        </w:tc>
        <w:tc>
          <w:tcPr>
            <w:tcW w:w="844" w:type="dxa"/>
            <w:tcBorders>
              <w:top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-1,48</w:t>
            </w:r>
          </w:p>
        </w:tc>
        <w:tc>
          <w:tcPr>
            <w:tcW w:w="771" w:type="dxa"/>
            <w:tcBorders>
              <w:top w:val="single" w:sz="2" w:space="0" w:color="000000"/>
            </w:tcBorders>
            <w:vAlign w:val="center"/>
          </w:tcPr>
          <w:p w:rsidR="00901DDB" w:rsidRPr="00B01865" w:rsidRDefault="00901DDB" w:rsidP="009E512D">
            <w:pPr>
              <w:spacing w:after="0"/>
              <w:ind w:firstLine="0"/>
              <w:jc w:val="right"/>
              <w:rPr>
                <w:rFonts w:ascii="Arial Narrow" w:hAnsi="Arial Narrow" w:cs="Arial"/>
                <w:lang w:val="es-ES" w:eastAsia="es-ES"/>
              </w:rPr>
            </w:pPr>
            <w:r w:rsidRPr="00B01865">
              <w:rPr>
                <w:rFonts w:ascii="Arial Narrow" w:hAnsi="Arial Narrow" w:cs="Arial"/>
                <w:lang w:val="es-ES" w:eastAsia="es-ES"/>
              </w:rPr>
              <w:t>-0,70</w:t>
            </w:r>
          </w:p>
        </w:tc>
        <w:tc>
          <w:tcPr>
            <w:tcW w:w="671" w:type="dxa"/>
            <w:tcBorders>
              <w:top w:val="single" w:sz="2" w:space="0" w:color="000000"/>
            </w:tcBorders>
            <w:vAlign w:val="center"/>
          </w:tcPr>
          <w:p w:rsidR="00901DDB" w:rsidRPr="00B01865" w:rsidRDefault="00901DDB" w:rsidP="00223EB3">
            <w:pPr>
              <w:spacing w:after="0"/>
              <w:ind w:firstLine="0"/>
              <w:jc w:val="right"/>
              <w:rPr>
                <w:rFonts w:ascii="Arial Narrow" w:hAnsi="Arial Narrow" w:cs="Arial"/>
                <w:lang w:val="es-ES" w:eastAsia="es-ES"/>
              </w:rPr>
            </w:pPr>
            <w:r w:rsidRPr="00B01865">
              <w:rPr>
                <w:rFonts w:ascii="Arial Narrow" w:hAnsi="Arial Narrow" w:cs="Arial"/>
                <w:lang w:val="es-ES" w:eastAsia="es-ES"/>
              </w:rPr>
              <w:t>1,1</w:t>
            </w:r>
            <w:r w:rsidR="00223EB3">
              <w:rPr>
                <w:rFonts w:ascii="Arial Narrow" w:hAnsi="Arial Narrow" w:cs="Arial"/>
                <w:lang w:val="es-ES" w:eastAsia="es-ES"/>
              </w:rPr>
              <w:t>1</w:t>
            </w:r>
          </w:p>
        </w:tc>
      </w:tr>
    </w:tbl>
    <w:p w:rsidR="00901DDB" w:rsidRPr="00B01865" w:rsidRDefault="00901DDB" w:rsidP="00901DDB">
      <w:pPr>
        <w:pStyle w:val="texto"/>
        <w:spacing w:before="240"/>
        <w:rPr>
          <w:lang w:val="es-ES"/>
        </w:rPr>
      </w:pPr>
      <w:r w:rsidRPr="00B01865">
        <w:rPr>
          <w:lang w:val="es-ES"/>
        </w:rPr>
        <w:t>Por lo tanto</w:t>
      </w:r>
      <w:r w:rsidR="005D255D">
        <w:rPr>
          <w:lang w:val="es-ES"/>
        </w:rPr>
        <w:t>,</w:t>
      </w:r>
      <w:r w:rsidRPr="00B01865">
        <w:rPr>
          <w:lang w:val="es-ES"/>
        </w:rPr>
        <w:t xml:space="preserve"> se ha experimentado una clara mejoría en el cumplimiento de este objetivo.</w:t>
      </w:r>
    </w:p>
    <w:p w:rsidR="00901DDB" w:rsidRPr="00F86E91" w:rsidRDefault="00901DDB" w:rsidP="00901DDB">
      <w:pPr>
        <w:pStyle w:val="texto"/>
      </w:pPr>
      <w:r w:rsidRPr="00B01865">
        <w:rPr>
          <w:lang w:val="es-ES"/>
        </w:rPr>
        <w:t>Respecto a este objetivo de estabilidad presupuestaria en su conjunto dest</w:t>
      </w:r>
      <w:r w:rsidRPr="00B01865">
        <w:rPr>
          <w:lang w:val="es-ES"/>
        </w:rPr>
        <w:t>a</w:t>
      </w:r>
      <w:r w:rsidRPr="00B01865">
        <w:rPr>
          <w:lang w:val="es-ES"/>
        </w:rPr>
        <w:t xml:space="preserve">camos que, de </w:t>
      </w:r>
      <w:r w:rsidRPr="00B01865">
        <w:rPr>
          <w:rFonts w:cs="Arial"/>
        </w:rPr>
        <w:t xml:space="preserve">acuerdo a los datos disponibles, se ha cumplido con </w:t>
      </w:r>
      <w:r w:rsidR="004857F7">
        <w:rPr>
          <w:rFonts w:cs="Arial"/>
        </w:rPr>
        <w:t>la</w:t>
      </w:r>
      <w:r w:rsidRPr="00B01865">
        <w:rPr>
          <w:rFonts w:cs="Arial"/>
        </w:rPr>
        <w:t xml:space="preserve"> previsi</w:t>
      </w:r>
      <w:r w:rsidR="004857F7">
        <w:rPr>
          <w:rFonts w:cs="Arial"/>
        </w:rPr>
        <w:t>ón</w:t>
      </w:r>
      <w:r w:rsidRPr="00B01865">
        <w:rPr>
          <w:rFonts w:cs="Arial"/>
        </w:rPr>
        <w:t xml:space="preserve"> del informe de julio de 2017 de la Autoridad Independiente de Responsabilidad Fiscal, que consideraba factible el cumplimiento por la Administración de la </w:t>
      </w:r>
      <w:r w:rsidRPr="00F86E91">
        <w:rPr>
          <w:rFonts w:cs="Arial"/>
        </w:rPr>
        <w:t>Comunidad Foral de los</w:t>
      </w:r>
      <w:r w:rsidR="004857F7">
        <w:rPr>
          <w:rFonts w:cs="Arial"/>
        </w:rPr>
        <w:t xml:space="preserve"> objetivos de déficit para 2017, si bien no se ha cumpl</w:t>
      </w:r>
      <w:r w:rsidR="004857F7">
        <w:rPr>
          <w:rFonts w:cs="Arial"/>
        </w:rPr>
        <w:t>i</w:t>
      </w:r>
      <w:r w:rsidR="004857F7">
        <w:rPr>
          <w:rFonts w:cs="Arial"/>
        </w:rPr>
        <w:t xml:space="preserve">do </w:t>
      </w:r>
      <w:r w:rsidR="006C75A2">
        <w:rPr>
          <w:rFonts w:cs="Arial"/>
        </w:rPr>
        <w:t xml:space="preserve">con </w:t>
      </w:r>
      <w:r w:rsidR="004857F7">
        <w:rPr>
          <w:rFonts w:cs="Arial"/>
        </w:rPr>
        <w:t>la referida a</w:t>
      </w:r>
      <w:r w:rsidRPr="00F86E91">
        <w:rPr>
          <w:rFonts w:cs="Arial"/>
        </w:rPr>
        <w:t xml:space="preserve"> la regla de gasto para 2017.</w:t>
      </w:r>
    </w:p>
    <w:p w:rsidR="006860D5" w:rsidRDefault="006860D5">
      <w:pPr>
        <w:spacing w:after="0"/>
        <w:ind w:firstLine="0"/>
        <w:jc w:val="left"/>
        <w:rPr>
          <w:b/>
          <w:spacing w:val="6"/>
          <w:sz w:val="26"/>
          <w:szCs w:val="24"/>
        </w:rPr>
      </w:pPr>
      <w:r>
        <w:rPr>
          <w:b/>
          <w:spacing w:val="6"/>
          <w:sz w:val="26"/>
          <w:szCs w:val="24"/>
        </w:rPr>
        <w:br w:type="page"/>
      </w:r>
    </w:p>
    <w:p w:rsidR="00B01865" w:rsidRPr="00B01865" w:rsidRDefault="004857F7" w:rsidP="00B01865">
      <w:pPr>
        <w:tabs>
          <w:tab w:val="center" w:pos="2835"/>
          <w:tab w:val="center" w:pos="3969"/>
          <w:tab w:val="center" w:pos="5103"/>
          <w:tab w:val="center" w:pos="6237"/>
          <w:tab w:val="center" w:pos="7371"/>
        </w:tabs>
        <w:spacing w:after="120"/>
        <w:ind w:firstLine="284"/>
        <w:rPr>
          <w:b/>
          <w:spacing w:val="6"/>
          <w:sz w:val="26"/>
          <w:szCs w:val="24"/>
        </w:rPr>
      </w:pPr>
      <w:r>
        <w:rPr>
          <w:b/>
          <w:spacing w:val="6"/>
          <w:sz w:val="26"/>
          <w:szCs w:val="24"/>
        </w:rPr>
        <w:lastRenderedPageBreak/>
        <w:t>2</w:t>
      </w:r>
      <w:r w:rsidR="00B01865" w:rsidRPr="00B01865">
        <w:rPr>
          <w:b/>
          <w:spacing w:val="6"/>
          <w:sz w:val="26"/>
          <w:szCs w:val="24"/>
        </w:rPr>
        <w:t>.º Regla de gasto</w:t>
      </w:r>
    </w:p>
    <w:p w:rsidR="00B01865" w:rsidRPr="00223EB3" w:rsidRDefault="00B01865" w:rsidP="006C75A2">
      <w:pPr>
        <w:pStyle w:val="texto"/>
        <w:spacing w:after="240"/>
      </w:pPr>
      <w:r w:rsidRPr="00B01865">
        <w:t xml:space="preserve">De acuerdo con los datos calculados por el Ministerio de Hacienda </w:t>
      </w:r>
      <w:r w:rsidRPr="00223EB3">
        <w:t>en oct</w:t>
      </w:r>
      <w:r w:rsidRPr="00223EB3">
        <w:t>u</w:t>
      </w:r>
      <w:r w:rsidRPr="00223EB3">
        <w:t>bre de 2018, el Sector Administración Pública de la Comunidad Foral no ha cumplido con la regla de gasto, dado que su gasto computable en 2017 ha a</w:t>
      </w:r>
      <w:r w:rsidRPr="00223EB3">
        <w:t>u</w:t>
      </w:r>
      <w:r w:rsidRPr="00223EB3">
        <w:t xml:space="preserve">mentado en un </w:t>
      </w:r>
      <w:r w:rsidR="006860D5">
        <w:t>3,2</w:t>
      </w:r>
      <w:r w:rsidRPr="00223EB3">
        <w:t xml:space="preserve"> por ciento respecto al ejercicio anterior, cuando la tasa de incremento se fijó en el 2,1 por ciento. Así:</w:t>
      </w:r>
    </w:p>
    <w:tbl>
      <w:tblPr>
        <w:tblW w:w="8780" w:type="dxa"/>
        <w:jc w:val="center"/>
        <w:tblLayout w:type="fixed"/>
        <w:tblLook w:val="01E0" w:firstRow="1" w:lastRow="1" w:firstColumn="1" w:lastColumn="1" w:noHBand="0" w:noVBand="0"/>
      </w:tblPr>
      <w:tblGrid>
        <w:gridCol w:w="3257"/>
        <w:gridCol w:w="1701"/>
        <w:gridCol w:w="1060"/>
        <w:gridCol w:w="1381"/>
        <w:gridCol w:w="1381"/>
      </w:tblGrid>
      <w:tr w:rsidR="00223EB3" w:rsidRPr="00223EB3" w:rsidTr="00B01865">
        <w:trPr>
          <w:trHeight w:val="255"/>
          <w:jc w:val="center"/>
        </w:trPr>
        <w:tc>
          <w:tcPr>
            <w:tcW w:w="3257" w:type="dxa"/>
            <w:tcBorders>
              <w:top w:val="single" w:sz="4" w:space="0" w:color="auto"/>
              <w:bottom w:val="single" w:sz="4" w:space="0" w:color="auto"/>
            </w:tcBorders>
            <w:shd w:val="clear" w:color="auto" w:fill="8DB3E2" w:themeFill="text2" w:themeFillTint="66"/>
            <w:vAlign w:val="center"/>
          </w:tcPr>
          <w:p w:rsidR="00B01865" w:rsidRPr="00223EB3"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223EB3">
              <w:rPr>
                <w:rFonts w:ascii="Arial" w:hAnsi="Arial"/>
                <w:spacing w:val="6"/>
                <w:sz w:val="18"/>
                <w:szCs w:val="24"/>
              </w:rPr>
              <w:t>Regla de gasto- Gasto computable</w:t>
            </w:r>
          </w:p>
        </w:tc>
        <w:tc>
          <w:tcPr>
            <w:tcW w:w="1701" w:type="dxa"/>
            <w:tcBorders>
              <w:top w:val="single" w:sz="4" w:space="0" w:color="auto"/>
              <w:bottom w:val="single" w:sz="4" w:space="0" w:color="auto"/>
            </w:tcBorders>
            <w:shd w:val="clear" w:color="auto" w:fill="8DB3E2" w:themeFill="text2" w:themeFillTint="66"/>
            <w:vAlign w:val="center"/>
          </w:tcPr>
          <w:p w:rsidR="00B01865" w:rsidRPr="00223EB3"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223EB3">
              <w:rPr>
                <w:rFonts w:ascii="Arial" w:hAnsi="Arial"/>
                <w:spacing w:val="6"/>
                <w:sz w:val="18"/>
                <w:szCs w:val="24"/>
              </w:rPr>
              <w:t>2016</w:t>
            </w:r>
          </w:p>
        </w:tc>
        <w:tc>
          <w:tcPr>
            <w:tcW w:w="1060" w:type="dxa"/>
            <w:tcBorders>
              <w:top w:val="single" w:sz="4" w:space="0" w:color="auto"/>
              <w:bottom w:val="single" w:sz="4" w:space="0" w:color="auto"/>
            </w:tcBorders>
            <w:shd w:val="clear" w:color="auto" w:fill="8DB3E2" w:themeFill="text2" w:themeFillTint="66"/>
            <w:vAlign w:val="center"/>
          </w:tcPr>
          <w:p w:rsidR="00B01865" w:rsidRPr="00223EB3"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223EB3">
              <w:rPr>
                <w:rFonts w:ascii="Arial" w:hAnsi="Arial"/>
                <w:spacing w:val="6"/>
                <w:sz w:val="18"/>
                <w:szCs w:val="24"/>
              </w:rPr>
              <w:t>2017</w:t>
            </w:r>
          </w:p>
        </w:tc>
        <w:tc>
          <w:tcPr>
            <w:tcW w:w="1381" w:type="dxa"/>
            <w:tcBorders>
              <w:top w:val="single" w:sz="4" w:space="0" w:color="auto"/>
              <w:bottom w:val="single" w:sz="4" w:space="0" w:color="auto"/>
            </w:tcBorders>
            <w:shd w:val="clear" w:color="auto" w:fill="8DB3E2" w:themeFill="text2" w:themeFillTint="66"/>
            <w:vAlign w:val="center"/>
          </w:tcPr>
          <w:p w:rsidR="00B01865" w:rsidRPr="00223EB3"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223EB3">
              <w:rPr>
                <w:rFonts w:ascii="Arial" w:hAnsi="Arial"/>
                <w:spacing w:val="6"/>
                <w:sz w:val="18"/>
                <w:szCs w:val="24"/>
              </w:rPr>
              <w:t xml:space="preserve">% variación </w:t>
            </w:r>
          </w:p>
          <w:p w:rsidR="00B01865" w:rsidRPr="00223EB3"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223EB3">
              <w:rPr>
                <w:rFonts w:ascii="Arial" w:hAnsi="Arial"/>
                <w:spacing w:val="6"/>
                <w:sz w:val="18"/>
                <w:szCs w:val="24"/>
              </w:rPr>
              <w:t>realizado</w:t>
            </w:r>
          </w:p>
        </w:tc>
        <w:tc>
          <w:tcPr>
            <w:tcW w:w="1381" w:type="dxa"/>
            <w:tcBorders>
              <w:top w:val="single" w:sz="4" w:space="0" w:color="auto"/>
              <w:bottom w:val="single" w:sz="4" w:space="0" w:color="auto"/>
            </w:tcBorders>
            <w:shd w:val="clear" w:color="auto" w:fill="8DB3E2" w:themeFill="text2" w:themeFillTint="66"/>
            <w:vAlign w:val="center"/>
          </w:tcPr>
          <w:p w:rsidR="00B01865" w:rsidRPr="00223EB3"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223EB3">
              <w:rPr>
                <w:rFonts w:ascii="Arial" w:hAnsi="Arial"/>
                <w:spacing w:val="6"/>
                <w:sz w:val="18"/>
                <w:szCs w:val="24"/>
              </w:rPr>
              <w:t>% variación</w:t>
            </w:r>
          </w:p>
          <w:p w:rsidR="00B01865" w:rsidRPr="00223EB3"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223EB3">
              <w:rPr>
                <w:rFonts w:ascii="Arial" w:hAnsi="Arial"/>
                <w:spacing w:val="6"/>
                <w:sz w:val="18"/>
                <w:szCs w:val="24"/>
              </w:rPr>
              <w:t xml:space="preserve"> objetivo</w:t>
            </w:r>
          </w:p>
        </w:tc>
      </w:tr>
      <w:tr w:rsidR="00223EB3" w:rsidRPr="00223EB3" w:rsidTr="00655CC5">
        <w:trPr>
          <w:trHeight w:val="198"/>
          <w:jc w:val="center"/>
        </w:trPr>
        <w:tc>
          <w:tcPr>
            <w:tcW w:w="3257" w:type="dxa"/>
            <w:tcBorders>
              <w:top w:val="single" w:sz="2" w:space="0" w:color="auto"/>
              <w:bottom w:val="single" w:sz="4" w:space="0" w:color="auto"/>
            </w:tcBorders>
            <w:vAlign w:val="center"/>
            <w:hideMark/>
          </w:tcPr>
          <w:p w:rsidR="00B01865" w:rsidRPr="00223EB3"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223EB3">
              <w:rPr>
                <w:rFonts w:ascii="Arial Narrow" w:hAnsi="Arial Narrow"/>
                <w:spacing w:val="6"/>
              </w:rPr>
              <w:t>Importe (en millones)</w:t>
            </w:r>
          </w:p>
        </w:tc>
        <w:tc>
          <w:tcPr>
            <w:tcW w:w="1701" w:type="dxa"/>
            <w:tcBorders>
              <w:top w:val="single" w:sz="2" w:space="0" w:color="auto"/>
              <w:bottom w:val="single" w:sz="4" w:space="0" w:color="auto"/>
            </w:tcBorders>
            <w:vAlign w:val="center"/>
          </w:tcPr>
          <w:p w:rsidR="00B01865" w:rsidRPr="00223EB3" w:rsidRDefault="00B01865" w:rsidP="006860D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223EB3">
              <w:rPr>
                <w:rFonts w:ascii="Arial Narrow" w:hAnsi="Arial Narrow"/>
                <w:spacing w:val="6"/>
              </w:rPr>
              <w:t>2.63</w:t>
            </w:r>
            <w:r w:rsidR="006860D5">
              <w:rPr>
                <w:rFonts w:ascii="Arial Narrow" w:hAnsi="Arial Narrow"/>
                <w:spacing w:val="6"/>
              </w:rPr>
              <w:t>4</w:t>
            </w:r>
          </w:p>
        </w:tc>
        <w:tc>
          <w:tcPr>
            <w:tcW w:w="1060" w:type="dxa"/>
            <w:tcBorders>
              <w:top w:val="single" w:sz="2" w:space="0" w:color="auto"/>
              <w:bottom w:val="single" w:sz="4" w:space="0" w:color="auto"/>
            </w:tcBorders>
            <w:vAlign w:val="center"/>
          </w:tcPr>
          <w:p w:rsidR="00B01865" w:rsidRPr="00223EB3" w:rsidRDefault="006860D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2.717</w:t>
            </w:r>
          </w:p>
        </w:tc>
        <w:tc>
          <w:tcPr>
            <w:tcW w:w="1381" w:type="dxa"/>
            <w:tcBorders>
              <w:top w:val="single" w:sz="2" w:space="0" w:color="auto"/>
              <w:bottom w:val="single" w:sz="4" w:space="0" w:color="auto"/>
            </w:tcBorders>
            <w:vAlign w:val="center"/>
          </w:tcPr>
          <w:p w:rsidR="00B01865" w:rsidRPr="00223EB3" w:rsidRDefault="006860D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3,2</w:t>
            </w:r>
          </w:p>
        </w:tc>
        <w:tc>
          <w:tcPr>
            <w:tcW w:w="1381" w:type="dxa"/>
            <w:tcBorders>
              <w:top w:val="single" w:sz="2" w:space="0" w:color="auto"/>
              <w:bottom w:val="single" w:sz="4" w:space="0" w:color="auto"/>
            </w:tcBorders>
            <w:vAlign w:val="center"/>
          </w:tcPr>
          <w:p w:rsidR="00B01865" w:rsidRPr="00223EB3"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223EB3">
              <w:rPr>
                <w:rFonts w:ascii="Arial Narrow" w:hAnsi="Arial Narrow"/>
                <w:spacing w:val="6"/>
              </w:rPr>
              <w:t>2,1</w:t>
            </w:r>
          </w:p>
        </w:tc>
      </w:tr>
    </w:tbl>
    <w:p w:rsidR="00B01865" w:rsidRPr="00223EB3" w:rsidRDefault="00B01865" w:rsidP="00B01865">
      <w:pPr>
        <w:spacing w:before="60" w:after="0"/>
        <w:ind w:firstLine="0"/>
        <w:jc w:val="left"/>
        <w:rPr>
          <w:rFonts w:ascii="Arial" w:hAnsi="Arial" w:cs="Arial"/>
          <w:sz w:val="16"/>
          <w:szCs w:val="16"/>
          <w:lang w:val="es-ES" w:eastAsia="es-ES"/>
        </w:rPr>
      </w:pPr>
      <w:r w:rsidRPr="00223EB3">
        <w:rPr>
          <w:rFonts w:ascii="Arial" w:hAnsi="Arial" w:cs="Arial"/>
          <w:sz w:val="16"/>
          <w:szCs w:val="16"/>
          <w:lang w:val="es-ES" w:eastAsia="es-ES"/>
        </w:rPr>
        <w:t>Fuente: Ministerio de Hacienda.</w:t>
      </w:r>
    </w:p>
    <w:p w:rsidR="00901DDB" w:rsidRPr="00223EB3" w:rsidRDefault="00B01865" w:rsidP="006C75A2">
      <w:pPr>
        <w:pStyle w:val="texto"/>
        <w:spacing w:before="120"/>
      </w:pPr>
      <w:r w:rsidRPr="00223EB3">
        <w:t xml:space="preserve">Es decir, el gasto computable fue </w:t>
      </w:r>
      <w:r w:rsidR="006860D5">
        <w:t>83</w:t>
      </w:r>
      <w:r w:rsidRPr="00223EB3">
        <w:t xml:space="preserve"> millones superior al de 2016, frente al aumento permitido del 2,1 por ciento que permitía un incremento de 55 mill</w:t>
      </w:r>
      <w:r w:rsidRPr="00223EB3">
        <w:t>o</w:t>
      </w:r>
      <w:r w:rsidRPr="00223EB3">
        <w:t>nes.</w:t>
      </w:r>
    </w:p>
    <w:p w:rsidR="00B01865" w:rsidRPr="00B01865" w:rsidRDefault="00B01865" w:rsidP="00E76B3D">
      <w:pPr>
        <w:pStyle w:val="atitulo3"/>
      </w:pPr>
      <w:r w:rsidRPr="00B01865">
        <w:t>V.3.2. Sostenibilidad financiera</w:t>
      </w:r>
    </w:p>
    <w:p w:rsidR="00B01865" w:rsidRPr="00B01865" w:rsidRDefault="00B01865" w:rsidP="00B01865">
      <w:pPr>
        <w:tabs>
          <w:tab w:val="center" w:pos="2835"/>
          <w:tab w:val="center" w:pos="3969"/>
          <w:tab w:val="center" w:pos="5103"/>
          <w:tab w:val="center" w:pos="6237"/>
          <w:tab w:val="center" w:pos="7371"/>
        </w:tabs>
        <w:spacing w:after="120"/>
        <w:ind w:firstLine="284"/>
        <w:rPr>
          <w:b/>
          <w:spacing w:val="6"/>
          <w:sz w:val="26"/>
          <w:szCs w:val="24"/>
        </w:rPr>
      </w:pPr>
      <w:r w:rsidRPr="00B01865">
        <w:rPr>
          <w:b/>
          <w:spacing w:val="6"/>
          <w:sz w:val="26"/>
          <w:szCs w:val="24"/>
        </w:rPr>
        <w:t>1.º Sostenibilidad de la deuda pública</w:t>
      </w:r>
      <w:r w:rsidR="006C75A2">
        <w:rPr>
          <w:b/>
          <w:spacing w:val="6"/>
          <w:sz w:val="26"/>
          <w:szCs w:val="24"/>
        </w:rPr>
        <w:t xml:space="preserve"> y prudencia financiera</w:t>
      </w:r>
    </w:p>
    <w:p w:rsidR="00B01865" w:rsidRPr="00B01865" w:rsidRDefault="00B01865" w:rsidP="00E76B3D">
      <w:pPr>
        <w:pStyle w:val="texto"/>
        <w:rPr>
          <w:lang w:val="es-ES"/>
        </w:rPr>
      </w:pPr>
      <w:r w:rsidRPr="00B01865">
        <w:rPr>
          <w:lang w:val="es-ES"/>
        </w:rPr>
        <w:t>El objetivo de deuda pública para el año 2017, calculado conforme a la m</w:t>
      </w:r>
      <w:r w:rsidRPr="00B01865">
        <w:rPr>
          <w:lang w:val="es-ES"/>
        </w:rPr>
        <w:t>e</w:t>
      </w:r>
      <w:r w:rsidRPr="00B01865">
        <w:rPr>
          <w:lang w:val="es-ES"/>
        </w:rPr>
        <w:t>todología del PDE, se pactó entre el Estado y la Comunidad Foral en el 18,2 por ciento del PIB regional, si bien este límite se amplió hasta el 18,6 por cie</w:t>
      </w:r>
      <w:r w:rsidRPr="00B01865">
        <w:rPr>
          <w:lang w:val="es-ES"/>
        </w:rPr>
        <w:t>n</w:t>
      </w:r>
      <w:r w:rsidRPr="00B01865">
        <w:rPr>
          <w:lang w:val="es-ES"/>
        </w:rPr>
        <w:t xml:space="preserve">to al incluir ciertas excepciones y ajustes. </w:t>
      </w:r>
    </w:p>
    <w:p w:rsidR="00B01865" w:rsidRPr="00B01865" w:rsidRDefault="00B01865" w:rsidP="00E76B3D">
      <w:pPr>
        <w:pStyle w:val="texto"/>
        <w:rPr>
          <w:lang w:val="es-ES"/>
        </w:rPr>
      </w:pPr>
      <w:r w:rsidRPr="00B01865">
        <w:rPr>
          <w:lang w:val="es-ES"/>
        </w:rPr>
        <w:t>Según el PDE se entiende por deuda pública el valor nominal de las oblig</w:t>
      </w:r>
      <w:r w:rsidRPr="00B01865">
        <w:rPr>
          <w:lang w:val="es-ES"/>
        </w:rPr>
        <w:t>a</w:t>
      </w:r>
      <w:r w:rsidRPr="00B01865">
        <w:rPr>
          <w:lang w:val="es-ES"/>
        </w:rPr>
        <w:t>ciones brutas del sector administración pública pendientes a final de año, esto es, la emisión de moneda metálica, obligaciones y bonos, préstamos y créditos. No se incluyen los derivados financieros, los créditos comerciales ni los pas</w:t>
      </w:r>
      <w:r w:rsidRPr="00B01865">
        <w:rPr>
          <w:lang w:val="es-ES"/>
        </w:rPr>
        <w:t>i</w:t>
      </w:r>
      <w:r w:rsidRPr="00B01865">
        <w:rPr>
          <w:lang w:val="es-ES"/>
        </w:rPr>
        <w:t>vos de la Administración Pública en poder de otras administraciones públicas.</w:t>
      </w:r>
    </w:p>
    <w:p w:rsidR="00B01865" w:rsidRPr="00B01865" w:rsidRDefault="00B01865" w:rsidP="00E76B3D">
      <w:pPr>
        <w:pStyle w:val="texto"/>
        <w:rPr>
          <w:lang w:val="es-ES"/>
        </w:rPr>
      </w:pPr>
      <w:r w:rsidRPr="00B01865">
        <w:rPr>
          <w:lang w:val="es-ES"/>
        </w:rPr>
        <w:t>El cálculo de la deuda pública lo realiza el Banco de España, según el cual, a 31 de diciembre de 2017, el endeudamiento total del Sector Administración Pública de Navarra ascendía a 3.628 millones, un 18,3 por ciento del PIB r</w:t>
      </w:r>
      <w:r w:rsidRPr="00B01865">
        <w:rPr>
          <w:lang w:val="es-ES"/>
        </w:rPr>
        <w:t>e</w:t>
      </w:r>
      <w:r w:rsidRPr="00B01865">
        <w:rPr>
          <w:lang w:val="es-ES"/>
        </w:rPr>
        <w:t xml:space="preserve">gional, importe que no supera el límite establecido. </w:t>
      </w:r>
    </w:p>
    <w:p w:rsidR="00B01865" w:rsidRPr="00B01865" w:rsidRDefault="00B01865" w:rsidP="00E76B3D">
      <w:pPr>
        <w:pStyle w:val="texto"/>
        <w:spacing w:after="0"/>
        <w:rPr>
          <w:lang w:val="es-ES"/>
        </w:rPr>
      </w:pPr>
      <w:r w:rsidRPr="00B01865">
        <w:rPr>
          <w:lang w:val="es-ES"/>
        </w:rPr>
        <w:t xml:space="preserve">Este importe, que hemos contrastado con la información del Gobierno de Navarra, se desglosa en: </w:t>
      </w:r>
    </w:p>
    <w:tbl>
      <w:tblPr>
        <w:tblW w:w="8781" w:type="dxa"/>
        <w:jc w:val="center"/>
        <w:tblBorders>
          <w:top w:val="single" w:sz="4" w:space="0" w:color="000000"/>
          <w:bottom w:val="single" w:sz="4" w:space="0" w:color="000000"/>
        </w:tblBorders>
        <w:tblLayout w:type="fixed"/>
        <w:tblLook w:val="01E0" w:firstRow="1" w:lastRow="1" w:firstColumn="1" w:lastColumn="1" w:noHBand="0" w:noVBand="0"/>
      </w:tblPr>
      <w:tblGrid>
        <w:gridCol w:w="7259"/>
        <w:gridCol w:w="1522"/>
      </w:tblGrid>
      <w:tr w:rsidR="00B01865" w:rsidRPr="00B01865" w:rsidTr="00AA133D">
        <w:trPr>
          <w:trHeight w:val="255"/>
          <w:jc w:val="center"/>
        </w:trPr>
        <w:tc>
          <w:tcPr>
            <w:tcW w:w="8781" w:type="dxa"/>
            <w:gridSpan w:val="2"/>
            <w:tcBorders>
              <w:top w:val="nil"/>
              <w:bottom w:val="single" w:sz="4" w:space="0" w:color="000000"/>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60"/>
              <w:ind w:firstLine="0"/>
              <w:jc w:val="right"/>
              <w:rPr>
                <w:rFonts w:ascii="Arial" w:hAnsi="Arial"/>
                <w:spacing w:val="6"/>
                <w:sz w:val="17"/>
                <w:szCs w:val="17"/>
                <w:lang w:val="es-ES"/>
              </w:rPr>
            </w:pPr>
            <w:r w:rsidRPr="00B01865">
              <w:rPr>
                <w:rFonts w:ascii="Arial" w:hAnsi="Arial"/>
                <w:spacing w:val="6"/>
                <w:sz w:val="17"/>
                <w:szCs w:val="17"/>
                <w:lang w:val="es-ES"/>
              </w:rPr>
              <w:t xml:space="preserve"> (en millones de euros)</w:t>
            </w:r>
          </w:p>
        </w:tc>
      </w:tr>
      <w:tr w:rsidR="00B01865" w:rsidRPr="00B01865" w:rsidTr="00AA133D">
        <w:trPr>
          <w:trHeight w:val="255"/>
          <w:jc w:val="center"/>
        </w:trPr>
        <w:tc>
          <w:tcPr>
            <w:tcW w:w="7259"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lang w:val="es-ES"/>
              </w:rPr>
            </w:pPr>
            <w:r w:rsidRPr="00B01865">
              <w:rPr>
                <w:rFonts w:ascii="Arial" w:hAnsi="Arial"/>
                <w:spacing w:val="6"/>
                <w:sz w:val="18"/>
                <w:szCs w:val="24"/>
                <w:lang w:val="es-ES"/>
              </w:rPr>
              <w:t>Sector Administración Pública de Navarra--deuda según PDE 2017</w:t>
            </w:r>
          </w:p>
        </w:tc>
        <w:tc>
          <w:tcPr>
            <w:tcW w:w="1522"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w:hAnsi="Arial"/>
                <w:spacing w:val="6"/>
                <w:sz w:val="18"/>
                <w:szCs w:val="24"/>
                <w:lang w:val="es-ES"/>
              </w:rPr>
            </w:pPr>
            <w:r w:rsidRPr="00B01865">
              <w:rPr>
                <w:rFonts w:ascii="Arial" w:hAnsi="Arial"/>
                <w:spacing w:val="6"/>
                <w:sz w:val="18"/>
                <w:szCs w:val="24"/>
                <w:lang w:val="es-ES"/>
              </w:rPr>
              <w:t>Total</w:t>
            </w:r>
          </w:p>
        </w:tc>
      </w:tr>
      <w:tr w:rsidR="00B01865" w:rsidRPr="00B01865" w:rsidTr="00AA133D">
        <w:trPr>
          <w:trHeight w:val="198"/>
          <w:jc w:val="center"/>
        </w:trPr>
        <w:tc>
          <w:tcPr>
            <w:tcW w:w="7259" w:type="dxa"/>
            <w:tcBorders>
              <w:top w:val="single" w:sz="4"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 xml:space="preserve">Deuda Pública </w:t>
            </w:r>
          </w:p>
        </w:tc>
        <w:tc>
          <w:tcPr>
            <w:tcW w:w="1522" w:type="dxa"/>
            <w:tcBorders>
              <w:top w:val="single" w:sz="4" w:space="0" w:color="000000"/>
              <w:bottom w:val="single" w:sz="2" w:space="0" w:color="000000"/>
            </w:tcBorders>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sidRPr="00B01865">
              <w:rPr>
                <w:rFonts w:ascii="Arial Narrow" w:hAnsi="Arial Narrow"/>
                <w:spacing w:val="6"/>
              </w:rPr>
              <w:t>1.604</w:t>
            </w:r>
          </w:p>
        </w:tc>
      </w:tr>
      <w:tr w:rsidR="00B01865" w:rsidRPr="00B01865" w:rsidTr="00B01865">
        <w:trPr>
          <w:trHeight w:val="198"/>
          <w:jc w:val="center"/>
        </w:trPr>
        <w:tc>
          <w:tcPr>
            <w:tcW w:w="725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 xml:space="preserve">Préstamos con entidades financieras </w:t>
            </w:r>
          </w:p>
        </w:tc>
        <w:tc>
          <w:tcPr>
            <w:tcW w:w="1522" w:type="dxa"/>
            <w:tcBorders>
              <w:top w:val="single" w:sz="2" w:space="0" w:color="000000"/>
              <w:bottom w:val="single" w:sz="2" w:space="0" w:color="000000"/>
            </w:tcBorders>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sidRPr="00B01865">
              <w:rPr>
                <w:rFonts w:ascii="Arial Narrow" w:hAnsi="Arial Narrow"/>
                <w:spacing w:val="6"/>
              </w:rPr>
              <w:t>1.148</w:t>
            </w:r>
          </w:p>
        </w:tc>
      </w:tr>
      <w:tr w:rsidR="00B01865" w:rsidRPr="00B01865" w:rsidTr="00B01865">
        <w:trPr>
          <w:trHeight w:val="198"/>
          <w:jc w:val="center"/>
        </w:trPr>
        <w:tc>
          <w:tcPr>
            <w:tcW w:w="725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Préstamos con el BEI</w:t>
            </w:r>
          </w:p>
        </w:tc>
        <w:tc>
          <w:tcPr>
            <w:tcW w:w="1522" w:type="dxa"/>
            <w:tcBorders>
              <w:top w:val="single" w:sz="2" w:space="0" w:color="000000"/>
              <w:bottom w:val="single" w:sz="2" w:space="0" w:color="000000"/>
            </w:tcBorders>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sidRPr="00B01865">
              <w:rPr>
                <w:rFonts w:ascii="Arial Narrow" w:hAnsi="Arial Narrow"/>
                <w:spacing w:val="6"/>
              </w:rPr>
              <w:t>546</w:t>
            </w:r>
          </w:p>
        </w:tc>
      </w:tr>
      <w:tr w:rsidR="00B01865" w:rsidRPr="00B01865" w:rsidTr="00B01865">
        <w:trPr>
          <w:trHeight w:val="198"/>
          <w:jc w:val="center"/>
        </w:trPr>
        <w:tc>
          <w:tcPr>
            <w:tcW w:w="725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sidRPr="00B01865">
              <w:rPr>
                <w:rFonts w:ascii="Arial Narrow" w:hAnsi="Arial Narrow"/>
                <w:spacing w:val="6"/>
              </w:rPr>
              <w:t>Factoring</w:t>
            </w:r>
            <w:proofErr w:type="spellEnd"/>
            <w:r w:rsidRPr="00B01865">
              <w:rPr>
                <w:rFonts w:ascii="Arial Narrow" w:hAnsi="Arial Narrow"/>
                <w:spacing w:val="6"/>
              </w:rPr>
              <w:t xml:space="preserve"> sin recurso</w:t>
            </w:r>
          </w:p>
        </w:tc>
        <w:tc>
          <w:tcPr>
            <w:tcW w:w="1522" w:type="dxa"/>
            <w:tcBorders>
              <w:top w:val="single" w:sz="2" w:space="0" w:color="000000"/>
              <w:bottom w:val="single" w:sz="2" w:space="0" w:color="000000"/>
            </w:tcBorders>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sidRPr="00B01865">
              <w:rPr>
                <w:rFonts w:ascii="Arial Narrow" w:hAnsi="Arial Narrow"/>
                <w:spacing w:val="6"/>
              </w:rPr>
              <w:t>20</w:t>
            </w:r>
          </w:p>
        </w:tc>
      </w:tr>
      <w:tr w:rsidR="00B01865" w:rsidRPr="00B01865" w:rsidTr="00AA133D">
        <w:trPr>
          <w:trHeight w:val="198"/>
          <w:jc w:val="center"/>
        </w:trPr>
        <w:tc>
          <w:tcPr>
            <w:tcW w:w="7259" w:type="dxa"/>
            <w:tcBorders>
              <w:top w:val="single" w:sz="2" w:space="0" w:color="000000"/>
              <w:bottom w:val="single" w:sz="4"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Autovía del Pirineo y Canal de Navarra</w:t>
            </w:r>
          </w:p>
        </w:tc>
        <w:tc>
          <w:tcPr>
            <w:tcW w:w="1522" w:type="dxa"/>
            <w:tcBorders>
              <w:top w:val="single" w:sz="2" w:space="0" w:color="000000"/>
              <w:bottom w:val="single" w:sz="4" w:space="0" w:color="000000"/>
            </w:tcBorders>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sidRPr="00B01865">
              <w:rPr>
                <w:rFonts w:ascii="Arial Narrow" w:hAnsi="Arial Narrow"/>
                <w:spacing w:val="6"/>
              </w:rPr>
              <w:t>310</w:t>
            </w:r>
          </w:p>
        </w:tc>
      </w:tr>
      <w:tr w:rsidR="00B01865" w:rsidRPr="00B01865" w:rsidTr="00AA133D">
        <w:trPr>
          <w:trHeight w:val="255"/>
          <w:jc w:val="center"/>
        </w:trPr>
        <w:tc>
          <w:tcPr>
            <w:tcW w:w="7259"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A53690">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Total endeudamiento a 31</w:t>
            </w:r>
            <w:r w:rsidR="00A53690">
              <w:rPr>
                <w:rFonts w:ascii="Arial" w:hAnsi="Arial" w:cs="Arial"/>
                <w:spacing w:val="6"/>
                <w:sz w:val="18"/>
                <w:szCs w:val="18"/>
              </w:rPr>
              <w:t>/</w:t>
            </w:r>
            <w:r w:rsidRPr="00B01865">
              <w:rPr>
                <w:rFonts w:ascii="Arial" w:hAnsi="Arial" w:cs="Arial"/>
                <w:spacing w:val="6"/>
                <w:sz w:val="18"/>
                <w:szCs w:val="18"/>
              </w:rPr>
              <w:t>12</w:t>
            </w:r>
            <w:r w:rsidR="00A53690">
              <w:rPr>
                <w:rFonts w:ascii="Arial" w:hAnsi="Arial" w:cs="Arial"/>
                <w:spacing w:val="6"/>
                <w:sz w:val="18"/>
                <w:szCs w:val="18"/>
              </w:rPr>
              <w:t>/</w:t>
            </w:r>
            <w:r w:rsidRPr="00B01865">
              <w:rPr>
                <w:rFonts w:ascii="Arial" w:hAnsi="Arial" w:cs="Arial"/>
                <w:spacing w:val="6"/>
                <w:sz w:val="18"/>
                <w:szCs w:val="18"/>
              </w:rPr>
              <w:t>2017</w:t>
            </w:r>
          </w:p>
        </w:tc>
        <w:tc>
          <w:tcPr>
            <w:tcW w:w="1522"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w:hAnsi="Arial" w:cs="Arial"/>
                <w:spacing w:val="6"/>
                <w:sz w:val="18"/>
                <w:szCs w:val="18"/>
              </w:rPr>
            </w:pPr>
            <w:r w:rsidRPr="00B01865">
              <w:rPr>
                <w:rFonts w:ascii="Arial" w:hAnsi="Arial" w:cs="Arial"/>
                <w:spacing w:val="6"/>
                <w:sz w:val="18"/>
                <w:szCs w:val="18"/>
              </w:rPr>
              <w:t>3.628</w:t>
            </w:r>
          </w:p>
        </w:tc>
      </w:tr>
      <w:tr w:rsidR="00B01865" w:rsidRPr="00B01865" w:rsidTr="00AA133D">
        <w:trPr>
          <w:trHeight w:val="255"/>
          <w:jc w:val="center"/>
        </w:trPr>
        <w:tc>
          <w:tcPr>
            <w:tcW w:w="7259" w:type="dxa"/>
            <w:tcBorders>
              <w:top w:val="single" w:sz="4"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b/>
                <w:i/>
                <w:spacing w:val="6"/>
              </w:rPr>
            </w:pPr>
            <w:r w:rsidRPr="00B01865">
              <w:rPr>
                <w:rFonts w:ascii="Arial Narrow" w:hAnsi="Arial Narrow"/>
                <w:b/>
                <w:i/>
                <w:spacing w:val="6"/>
              </w:rPr>
              <w:t>Porcentaje sobre el PIB de Navarra</w:t>
            </w:r>
          </w:p>
        </w:tc>
        <w:tc>
          <w:tcPr>
            <w:tcW w:w="1522" w:type="dxa"/>
            <w:tcBorders>
              <w:top w:val="single" w:sz="4" w:space="0" w:color="000000"/>
              <w:bottom w:val="single" w:sz="2" w:space="0" w:color="000000"/>
            </w:tcBorders>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Narrow" w:hAnsi="Arial Narrow"/>
                <w:b/>
                <w:i/>
                <w:spacing w:val="6"/>
              </w:rPr>
            </w:pPr>
            <w:r w:rsidRPr="00B01865">
              <w:rPr>
                <w:rFonts w:ascii="Arial Narrow" w:hAnsi="Arial Narrow"/>
                <w:b/>
                <w:i/>
                <w:spacing w:val="6"/>
              </w:rPr>
              <w:t>18,3</w:t>
            </w:r>
          </w:p>
        </w:tc>
      </w:tr>
      <w:tr w:rsidR="00B01865" w:rsidRPr="00B01865" w:rsidTr="00F86E91">
        <w:trPr>
          <w:trHeight w:val="198"/>
          <w:jc w:val="center"/>
        </w:trPr>
        <w:tc>
          <w:tcPr>
            <w:tcW w:w="725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i/>
                <w:spacing w:val="6"/>
              </w:rPr>
            </w:pPr>
            <w:r w:rsidRPr="00B01865">
              <w:rPr>
                <w:rFonts w:ascii="Arial Narrow" w:hAnsi="Arial Narrow"/>
                <w:i/>
                <w:spacing w:val="6"/>
              </w:rPr>
              <w:t>Porcentaje objetivo sobre el PIB de Navarra</w:t>
            </w:r>
          </w:p>
        </w:tc>
        <w:tc>
          <w:tcPr>
            <w:tcW w:w="1522" w:type="dxa"/>
            <w:tcBorders>
              <w:top w:val="single" w:sz="2" w:space="0" w:color="000000"/>
              <w:bottom w:val="single" w:sz="2" w:space="0" w:color="000000"/>
            </w:tcBorders>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Narrow" w:hAnsi="Arial Narrow"/>
                <w:i/>
                <w:spacing w:val="6"/>
              </w:rPr>
            </w:pPr>
            <w:r w:rsidRPr="00B01865">
              <w:rPr>
                <w:rFonts w:ascii="Arial Narrow" w:hAnsi="Arial Narrow"/>
                <w:i/>
                <w:spacing w:val="6"/>
              </w:rPr>
              <w:t>18,6</w:t>
            </w:r>
          </w:p>
        </w:tc>
      </w:tr>
      <w:tr w:rsidR="00B01865" w:rsidRPr="00B01865" w:rsidTr="00F86E91">
        <w:trPr>
          <w:trHeight w:val="198"/>
          <w:jc w:val="center"/>
        </w:trPr>
        <w:tc>
          <w:tcPr>
            <w:tcW w:w="7259" w:type="dxa"/>
            <w:tcBorders>
              <w:top w:val="single" w:sz="2" w:space="0" w:color="000000"/>
              <w:bottom w:val="single" w:sz="4"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Deuda por habitante (en euros)</w:t>
            </w:r>
          </w:p>
        </w:tc>
        <w:tc>
          <w:tcPr>
            <w:tcW w:w="1522" w:type="dxa"/>
            <w:tcBorders>
              <w:top w:val="single" w:sz="2" w:space="0" w:color="000000"/>
              <w:bottom w:val="single" w:sz="4" w:space="0" w:color="000000"/>
            </w:tcBorders>
            <w:vAlign w:val="center"/>
          </w:tcPr>
          <w:p w:rsidR="00B01865" w:rsidRPr="00B01865" w:rsidRDefault="00B01865" w:rsidP="00734A6D">
            <w:pPr>
              <w:keepLines/>
              <w:tabs>
                <w:tab w:val="right" w:pos="2835"/>
                <w:tab w:val="right" w:pos="3969"/>
                <w:tab w:val="right" w:pos="5103"/>
                <w:tab w:val="right" w:pos="6237"/>
                <w:tab w:val="right" w:pos="7371"/>
              </w:tabs>
              <w:spacing w:after="0"/>
              <w:ind w:right="-44" w:firstLine="0"/>
              <w:jc w:val="right"/>
              <w:rPr>
                <w:rFonts w:ascii="Arial Narrow" w:hAnsi="Arial Narrow"/>
                <w:spacing w:val="6"/>
              </w:rPr>
            </w:pPr>
            <w:r w:rsidRPr="00B01865">
              <w:rPr>
                <w:rFonts w:ascii="Arial Narrow" w:hAnsi="Arial Narrow"/>
                <w:spacing w:val="6"/>
              </w:rPr>
              <w:t>5.640</w:t>
            </w:r>
          </w:p>
        </w:tc>
      </w:tr>
    </w:tbl>
    <w:p w:rsidR="00B01865" w:rsidRPr="00B01865" w:rsidRDefault="00B01865" w:rsidP="00B01865">
      <w:pPr>
        <w:spacing w:before="60" w:after="0"/>
        <w:ind w:firstLine="0"/>
        <w:jc w:val="left"/>
        <w:rPr>
          <w:rFonts w:ascii="Arial" w:hAnsi="Arial" w:cs="Arial"/>
          <w:sz w:val="16"/>
          <w:szCs w:val="16"/>
          <w:lang w:val="es-ES" w:eastAsia="es-ES"/>
        </w:rPr>
      </w:pPr>
      <w:r w:rsidRPr="00B01865">
        <w:rPr>
          <w:rFonts w:ascii="Arial" w:hAnsi="Arial" w:cs="Arial"/>
          <w:sz w:val="16"/>
          <w:szCs w:val="16"/>
          <w:lang w:val="es-ES" w:eastAsia="es-ES"/>
        </w:rPr>
        <w:t>Fuente: Banco de España y Gobierno de Navarra.</w:t>
      </w:r>
    </w:p>
    <w:p w:rsidR="006C75A2" w:rsidRPr="00B01865" w:rsidRDefault="006C75A2" w:rsidP="004564A5">
      <w:pPr>
        <w:pStyle w:val="texto"/>
        <w:spacing w:after="120"/>
        <w:rPr>
          <w:lang w:val="es-ES"/>
        </w:rPr>
      </w:pPr>
      <w:r w:rsidRPr="00B01865">
        <w:rPr>
          <w:lang w:val="es-ES"/>
        </w:rPr>
        <w:lastRenderedPageBreak/>
        <w:t>Hemos verificado que el coste total máximo de las operaciones de endeud</w:t>
      </w:r>
      <w:r w:rsidRPr="00B01865">
        <w:rPr>
          <w:lang w:val="es-ES"/>
        </w:rPr>
        <w:t>a</w:t>
      </w:r>
      <w:r w:rsidRPr="00B01865">
        <w:rPr>
          <w:lang w:val="es-ES"/>
        </w:rPr>
        <w:t xml:space="preserve">miento no ha superado los límites establecidos por </w:t>
      </w:r>
      <w:r w:rsidR="004564A5">
        <w:rPr>
          <w:lang w:val="es-ES"/>
        </w:rPr>
        <w:t>e</w:t>
      </w:r>
      <w:r w:rsidRPr="00B01865">
        <w:rPr>
          <w:lang w:val="es-ES"/>
        </w:rPr>
        <w:t>l Estado.</w:t>
      </w:r>
    </w:p>
    <w:p w:rsidR="008E6EE6" w:rsidRDefault="00B01865" w:rsidP="004338C4">
      <w:pPr>
        <w:pStyle w:val="texto"/>
        <w:spacing w:before="120" w:after="120"/>
        <w:rPr>
          <w:lang w:val="es-ES"/>
        </w:rPr>
      </w:pPr>
      <w:r w:rsidRPr="00B01865">
        <w:rPr>
          <w:lang w:val="es-ES"/>
        </w:rPr>
        <w:t>En conclusión</w:t>
      </w:r>
      <w:r w:rsidR="005D255D">
        <w:rPr>
          <w:lang w:val="es-ES"/>
        </w:rPr>
        <w:t>:</w:t>
      </w:r>
      <w:r w:rsidRPr="00B01865">
        <w:rPr>
          <w:lang w:val="es-ES"/>
        </w:rPr>
        <w:t xml:space="preserve"> se ha cumplido con el objetivo de sostenibilidad financiera para el endeudamiento público.</w:t>
      </w:r>
    </w:p>
    <w:p w:rsidR="00B01865" w:rsidRPr="00B01865" w:rsidRDefault="004338C4" w:rsidP="004564A5">
      <w:pPr>
        <w:pStyle w:val="texto"/>
        <w:spacing w:after="100"/>
        <w:rPr>
          <w:lang w:val="es-ES"/>
        </w:rPr>
      </w:pPr>
      <w:r>
        <w:rPr>
          <w:lang w:val="es-ES"/>
        </w:rPr>
        <w:t>L</w:t>
      </w:r>
      <w:r w:rsidR="00B01865" w:rsidRPr="00B01865">
        <w:rPr>
          <w:lang w:val="es-ES"/>
        </w:rPr>
        <w:t xml:space="preserve">a anterior deuda se distribuye de acuerdo </w:t>
      </w:r>
      <w:r>
        <w:rPr>
          <w:lang w:val="es-ES"/>
        </w:rPr>
        <w:t>al</w:t>
      </w:r>
      <w:r w:rsidR="00B01865" w:rsidRPr="00B01865">
        <w:rPr>
          <w:lang w:val="es-ES"/>
        </w:rPr>
        <w:t xml:space="preserve"> siguiente cuadro:</w:t>
      </w:r>
    </w:p>
    <w:tbl>
      <w:tblPr>
        <w:tblW w:w="8825" w:type="dxa"/>
        <w:jc w:val="center"/>
        <w:tblBorders>
          <w:top w:val="single" w:sz="4" w:space="0" w:color="000000"/>
          <w:bottom w:val="single" w:sz="4" w:space="0" w:color="000000"/>
        </w:tblBorders>
        <w:tblLayout w:type="fixed"/>
        <w:tblLook w:val="01E0" w:firstRow="1" w:lastRow="1" w:firstColumn="1" w:lastColumn="1" w:noHBand="0" w:noVBand="0"/>
      </w:tblPr>
      <w:tblGrid>
        <w:gridCol w:w="7312"/>
        <w:gridCol w:w="1513"/>
      </w:tblGrid>
      <w:tr w:rsidR="00B01865" w:rsidRPr="00B01865" w:rsidTr="00F86E91">
        <w:trPr>
          <w:trHeight w:val="255"/>
          <w:jc w:val="center"/>
        </w:trPr>
        <w:tc>
          <w:tcPr>
            <w:tcW w:w="8825" w:type="dxa"/>
            <w:gridSpan w:val="2"/>
            <w:tcBorders>
              <w:top w:val="nil"/>
              <w:bottom w:val="single" w:sz="4" w:space="0" w:color="000000"/>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7"/>
                <w:szCs w:val="17"/>
                <w:lang w:val="es-ES"/>
              </w:rPr>
            </w:pPr>
            <w:r w:rsidRPr="00B01865">
              <w:rPr>
                <w:rFonts w:ascii="Arial" w:hAnsi="Arial"/>
                <w:spacing w:val="6"/>
                <w:sz w:val="17"/>
                <w:szCs w:val="17"/>
                <w:lang w:val="es-ES"/>
              </w:rPr>
              <w:t>(en millones de euros)</w:t>
            </w:r>
          </w:p>
        </w:tc>
      </w:tr>
      <w:tr w:rsidR="00B01865" w:rsidRPr="00B01865" w:rsidTr="00AA133D">
        <w:trPr>
          <w:trHeight w:val="255"/>
          <w:jc w:val="center"/>
        </w:trPr>
        <w:tc>
          <w:tcPr>
            <w:tcW w:w="7312"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lang w:val="es-ES"/>
              </w:rPr>
            </w:pPr>
            <w:r w:rsidRPr="00B01865">
              <w:rPr>
                <w:rFonts w:ascii="Arial" w:hAnsi="Arial"/>
                <w:spacing w:val="6"/>
                <w:sz w:val="18"/>
                <w:szCs w:val="24"/>
                <w:lang w:val="es-ES"/>
              </w:rPr>
              <w:t>Sector Administración Pública de Navarra-Deuda según PDE-2017</w:t>
            </w:r>
          </w:p>
        </w:tc>
        <w:tc>
          <w:tcPr>
            <w:tcW w:w="1513"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lang w:val="es-ES"/>
              </w:rPr>
            </w:pPr>
            <w:r w:rsidRPr="00B01865">
              <w:rPr>
                <w:rFonts w:ascii="Arial" w:hAnsi="Arial"/>
                <w:spacing w:val="6"/>
                <w:sz w:val="18"/>
                <w:szCs w:val="24"/>
                <w:lang w:val="es-ES"/>
              </w:rPr>
              <w:t>Total</w:t>
            </w:r>
          </w:p>
        </w:tc>
      </w:tr>
      <w:tr w:rsidR="00B01865" w:rsidRPr="00B01865" w:rsidTr="004338C4">
        <w:trPr>
          <w:trHeight w:val="170"/>
          <w:jc w:val="center"/>
        </w:trPr>
        <w:tc>
          <w:tcPr>
            <w:tcW w:w="7312" w:type="dxa"/>
            <w:tcBorders>
              <w:top w:val="single" w:sz="4"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Gobierno de Navarra</w:t>
            </w:r>
          </w:p>
        </w:tc>
        <w:tc>
          <w:tcPr>
            <w:tcW w:w="1513" w:type="dxa"/>
            <w:tcBorders>
              <w:top w:val="single" w:sz="4"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3.208</w:t>
            </w:r>
          </w:p>
        </w:tc>
      </w:tr>
      <w:tr w:rsidR="00B01865" w:rsidRPr="00B01865" w:rsidTr="004338C4">
        <w:trPr>
          <w:trHeight w:val="170"/>
          <w:jc w:val="center"/>
        </w:trPr>
        <w:tc>
          <w:tcPr>
            <w:tcW w:w="7312"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Colaboración Público-Privada Gobierno de Navarra</w:t>
            </w:r>
          </w:p>
        </w:tc>
        <w:tc>
          <w:tcPr>
            <w:tcW w:w="1513"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310</w:t>
            </w:r>
          </w:p>
        </w:tc>
      </w:tr>
      <w:tr w:rsidR="00B01865" w:rsidRPr="00B01865" w:rsidTr="004338C4">
        <w:trPr>
          <w:trHeight w:val="170"/>
          <w:jc w:val="center"/>
        </w:trPr>
        <w:tc>
          <w:tcPr>
            <w:tcW w:w="7312"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Sociedades Públicas</w:t>
            </w:r>
          </w:p>
        </w:tc>
        <w:tc>
          <w:tcPr>
            <w:tcW w:w="1513"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105</w:t>
            </w:r>
          </w:p>
        </w:tc>
      </w:tr>
      <w:tr w:rsidR="00B01865" w:rsidRPr="00B01865" w:rsidTr="004338C4">
        <w:trPr>
          <w:trHeight w:val="170"/>
          <w:jc w:val="center"/>
        </w:trPr>
        <w:tc>
          <w:tcPr>
            <w:tcW w:w="7312" w:type="dxa"/>
            <w:tcBorders>
              <w:top w:val="single" w:sz="2" w:space="0" w:color="000000"/>
              <w:bottom w:val="single" w:sz="4"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Fundaciones Públicas</w:t>
            </w:r>
          </w:p>
        </w:tc>
        <w:tc>
          <w:tcPr>
            <w:tcW w:w="1513" w:type="dxa"/>
            <w:tcBorders>
              <w:top w:val="single" w:sz="2" w:space="0" w:color="000000"/>
              <w:bottom w:val="single" w:sz="4"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w:t>
            </w:r>
          </w:p>
        </w:tc>
      </w:tr>
      <w:tr w:rsidR="00B01865" w:rsidRPr="00B01865" w:rsidTr="00AA133D">
        <w:trPr>
          <w:trHeight w:val="255"/>
          <w:jc w:val="center"/>
        </w:trPr>
        <w:tc>
          <w:tcPr>
            <w:tcW w:w="7312"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Total endeudamiento a 31 de diciembre de 2017</w:t>
            </w:r>
          </w:p>
        </w:tc>
        <w:tc>
          <w:tcPr>
            <w:tcW w:w="1513"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3.628</w:t>
            </w:r>
          </w:p>
        </w:tc>
      </w:tr>
    </w:tbl>
    <w:p w:rsidR="00B01865" w:rsidRPr="00B01865" w:rsidRDefault="00B01865" w:rsidP="004564A5">
      <w:pPr>
        <w:pStyle w:val="texto"/>
        <w:spacing w:before="200" w:after="100"/>
        <w:rPr>
          <w:lang w:val="es-ES"/>
        </w:rPr>
      </w:pPr>
      <w:r w:rsidRPr="00B01865">
        <w:rPr>
          <w:lang w:val="es-ES"/>
        </w:rPr>
        <w:t>Finalmente, la evolución de este endeudamiento para el periodo 2010-2017 es la que se refleja en el siguiente cuadro:</w:t>
      </w:r>
    </w:p>
    <w:tbl>
      <w:tblPr>
        <w:tblW w:w="8859" w:type="dxa"/>
        <w:jc w:val="center"/>
        <w:tblBorders>
          <w:top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948"/>
        <w:gridCol w:w="771"/>
        <w:gridCol w:w="881"/>
        <w:gridCol w:w="851"/>
        <w:gridCol w:w="850"/>
        <w:gridCol w:w="993"/>
        <w:gridCol w:w="850"/>
        <w:gridCol w:w="851"/>
        <w:gridCol w:w="864"/>
      </w:tblGrid>
      <w:tr w:rsidR="00B01865" w:rsidRPr="00B01865" w:rsidTr="004338C4">
        <w:trPr>
          <w:trHeight w:val="255"/>
          <w:jc w:val="center"/>
        </w:trPr>
        <w:tc>
          <w:tcPr>
            <w:tcW w:w="8859" w:type="dxa"/>
            <w:gridSpan w:val="9"/>
            <w:tcBorders>
              <w:top w:val="nil"/>
              <w:bottom w:val="single" w:sz="4" w:space="0" w:color="000000"/>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B01865">
              <w:rPr>
                <w:rFonts w:ascii="Arial" w:hAnsi="Arial" w:cs="Arial"/>
                <w:spacing w:val="6"/>
                <w:sz w:val="17"/>
                <w:szCs w:val="17"/>
              </w:rPr>
              <w:t>(en millones de euros)</w:t>
            </w:r>
          </w:p>
        </w:tc>
      </w:tr>
      <w:tr w:rsidR="00B01865" w:rsidRPr="00B01865" w:rsidTr="00AA133D">
        <w:trPr>
          <w:trHeight w:val="255"/>
          <w:jc w:val="center"/>
        </w:trPr>
        <w:tc>
          <w:tcPr>
            <w:tcW w:w="1948" w:type="dxa"/>
            <w:tcBorders>
              <w:bottom w:val="single" w:sz="4" w:space="0" w:color="000000"/>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Endeudamiento PDE</w:t>
            </w:r>
          </w:p>
        </w:tc>
        <w:tc>
          <w:tcPr>
            <w:tcW w:w="771" w:type="dxa"/>
            <w:tcBorders>
              <w:bottom w:val="single" w:sz="4" w:space="0" w:color="000000"/>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2010</w:t>
            </w:r>
          </w:p>
        </w:tc>
        <w:tc>
          <w:tcPr>
            <w:tcW w:w="881" w:type="dxa"/>
            <w:tcBorders>
              <w:bottom w:val="single" w:sz="4" w:space="0" w:color="000000"/>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2011</w:t>
            </w:r>
          </w:p>
        </w:tc>
        <w:tc>
          <w:tcPr>
            <w:tcW w:w="851" w:type="dxa"/>
            <w:tcBorders>
              <w:bottom w:val="single" w:sz="4" w:space="0" w:color="000000"/>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2012</w:t>
            </w:r>
          </w:p>
        </w:tc>
        <w:tc>
          <w:tcPr>
            <w:tcW w:w="850" w:type="dxa"/>
            <w:tcBorders>
              <w:bottom w:val="single" w:sz="4" w:space="0" w:color="000000"/>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2013</w:t>
            </w:r>
          </w:p>
        </w:tc>
        <w:tc>
          <w:tcPr>
            <w:tcW w:w="993" w:type="dxa"/>
            <w:tcBorders>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2014</w:t>
            </w:r>
          </w:p>
        </w:tc>
        <w:tc>
          <w:tcPr>
            <w:tcW w:w="850" w:type="dxa"/>
            <w:tcBorders>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2015</w:t>
            </w:r>
          </w:p>
        </w:tc>
        <w:tc>
          <w:tcPr>
            <w:tcW w:w="851" w:type="dxa"/>
            <w:tcBorders>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2016</w:t>
            </w:r>
          </w:p>
        </w:tc>
        <w:tc>
          <w:tcPr>
            <w:tcW w:w="864" w:type="dxa"/>
            <w:tcBorders>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2017</w:t>
            </w:r>
          </w:p>
        </w:tc>
      </w:tr>
      <w:tr w:rsidR="00B01865" w:rsidRPr="00B01865" w:rsidTr="00AA133D">
        <w:trPr>
          <w:cantSplit/>
          <w:trHeight w:val="198"/>
          <w:jc w:val="center"/>
        </w:trPr>
        <w:tc>
          <w:tcPr>
            <w:tcW w:w="1948" w:type="dxa"/>
            <w:tcBorders>
              <w:bottom w:val="single" w:sz="2" w:space="0" w:color="000000"/>
            </w:tcBorders>
            <w:shd w:val="clear" w:color="auto" w:fill="auto"/>
            <w:noWrap/>
            <w:vAlign w:val="center"/>
          </w:tcPr>
          <w:p w:rsidR="00B01865" w:rsidRPr="00B01865" w:rsidRDefault="00B01865"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Importe</w:t>
            </w:r>
          </w:p>
        </w:tc>
        <w:tc>
          <w:tcPr>
            <w:tcW w:w="771" w:type="dxa"/>
            <w:tcBorders>
              <w:bottom w:val="single" w:sz="2"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1.692</w:t>
            </w:r>
          </w:p>
        </w:tc>
        <w:tc>
          <w:tcPr>
            <w:tcW w:w="881" w:type="dxa"/>
            <w:tcBorders>
              <w:bottom w:val="single" w:sz="2"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2.443</w:t>
            </w:r>
          </w:p>
        </w:tc>
        <w:tc>
          <w:tcPr>
            <w:tcW w:w="851" w:type="dxa"/>
            <w:tcBorders>
              <w:bottom w:val="single" w:sz="2"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2.857</w:t>
            </w:r>
          </w:p>
        </w:tc>
        <w:tc>
          <w:tcPr>
            <w:tcW w:w="850" w:type="dxa"/>
            <w:tcBorders>
              <w:bottom w:val="single" w:sz="2"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3.134</w:t>
            </w:r>
          </w:p>
        </w:tc>
        <w:tc>
          <w:tcPr>
            <w:tcW w:w="993" w:type="dxa"/>
            <w:tcBorders>
              <w:bottom w:val="single" w:sz="2" w:space="0" w:color="000000"/>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3.197</w:t>
            </w:r>
          </w:p>
        </w:tc>
        <w:tc>
          <w:tcPr>
            <w:tcW w:w="850" w:type="dxa"/>
            <w:tcBorders>
              <w:bottom w:val="single" w:sz="2" w:space="0" w:color="000000"/>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3.322</w:t>
            </w:r>
          </w:p>
        </w:tc>
        <w:tc>
          <w:tcPr>
            <w:tcW w:w="851" w:type="dxa"/>
            <w:tcBorders>
              <w:bottom w:val="single" w:sz="2" w:space="0" w:color="000000"/>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3.461</w:t>
            </w:r>
          </w:p>
        </w:tc>
        <w:tc>
          <w:tcPr>
            <w:tcW w:w="864" w:type="dxa"/>
            <w:tcBorders>
              <w:bottom w:val="single" w:sz="2" w:space="0" w:color="000000"/>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3.628</w:t>
            </w:r>
          </w:p>
        </w:tc>
      </w:tr>
      <w:tr w:rsidR="00B01865" w:rsidRPr="00B01865" w:rsidTr="00AA133D">
        <w:trPr>
          <w:cantSplit/>
          <w:trHeight w:val="198"/>
          <w:jc w:val="center"/>
        </w:trPr>
        <w:tc>
          <w:tcPr>
            <w:tcW w:w="1948" w:type="dxa"/>
            <w:tcBorders>
              <w:top w:val="single" w:sz="2" w:space="0" w:color="000000"/>
            </w:tcBorders>
            <w:shd w:val="clear" w:color="auto" w:fill="auto"/>
            <w:noWrap/>
            <w:vAlign w:val="center"/>
          </w:tcPr>
          <w:p w:rsidR="00B01865" w:rsidRPr="00B01865" w:rsidRDefault="00B01865"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 PIB de Navarra</w:t>
            </w:r>
          </w:p>
        </w:tc>
        <w:tc>
          <w:tcPr>
            <w:tcW w:w="771" w:type="dxa"/>
            <w:tcBorders>
              <w:top w:val="single" w:sz="2"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9,10</w:t>
            </w:r>
          </w:p>
        </w:tc>
        <w:tc>
          <w:tcPr>
            <w:tcW w:w="881" w:type="dxa"/>
            <w:tcBorders>
              <w:top w:val="single" w:sz="2"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13,05</w:t>
            </w:r>
          </w:p>
        </w:tc>
        <w:tc>
          <w:tcPr>
            <w:tcW w:w="851" w:type="dxa"/>
            <w:tcBorders>
              <w:top w:val="single" w:sz="2"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15,76</w:t>
            </w:r>
          </w:p>
        </w:tc>
        <w:tc>
          <w:tcPr>
            <w:tcW w:w="850" w:type="dxa"/>
            <w:tcBorders>
              <w:top w:val="single" w:sz="2" w:space="0" w:color="000000"/>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17,85</w:t>
            </w:r>
          </w:p>
        </w:tc>
        <w:tc>
          <w:tcPr>
            <w:tcW w:w="993" w:type="dxa"/>
            <w:tcBorders>
              <w:top w:val="single" w:sz="2" w:space="0" w:color="000000"/>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17,9</w:t>
            </w:r>
          </w:p>
        </w:tc>
        <w:tc>
          <w:tcPr>
            <w:tcW w:w="850" w:type="dxa"/>
            <w:tcBorders>
              <w:top w:val="single" w:sz="2" w:space="0" w:color="000000"/>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18,2</w:t>
            </w:r>
          </w:p>
        </w:tc>
        <w:tc>
          <w:tcPr>
            <w:tcW w:w="851" w:type="dxa"/>
            <w:tcBorders>
              <w:top w:val="single" w:sz="2" w:space="0" w:color="000000"/>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18,1</w:t>
            </w:r>
          </w:p>
        </w:tc>
        <w:tc>
          <w:tcPr>
            <w:tcW w:w="864" w:type="dxa"/>
            <w:tcBorders>
              <w:top w:val="single" w:sz="2" w:space="0" w:color="000000"/>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18,3</w:t>
            </w:r>
          </w:p>
        </w:tc>
      </w:tr>
    </w:tbl>
    <w:p w:rsidR="00B01865" w:rsidRPr="00B01865" w:rsidRDefault="004564A5" w:rsidP="004564A5">
      <w:pPr>
        <w:pStyle w:val="texto"/>
        <w:spacing w:before="200"/>
        <w:rPr>
          <w:lang w:val="es-ES"/>
        </w:rPr>
      </w:pPr>
      <w:r>
        <w:rPr>
          <w:lang w:val="es-ES"/>
        </w:rPr>
        <w:t>E</w:t>
      </w:r>
      <w:r w:rsidR="00B01865" w:rsidRPr="00B01865">
        <w:rPr>
          <w:lang w:val="es-ES"/>
        </w:rPr>
        <w:t>l porcentaje de deuda sobre el PIB se incremen</w:t>
      </w:r>
      <w:r w:rsidR="004338C4">
        <w:rPr>
          <w:lang w:val="es-ES"/>
        </w:rPr>
        <w:t>tó de forma significativa en el periodo 2010-2013, si bien en los años siguientes prácticamente se mantiene constante</w:t>
      </w:r>
      <w:r w:rsidR="00B01865" w:rsidRPr="00B01865">
        <w:rPr>
          <w:lang w:val="es-ES"/>
        </w:rPr>
        <w:t>, alcanzando en 2017 el 18,3 por ciento.</w:t>
      </w:r>
    </w:p>
    <w:p w:rsidR="00B01865" w:rsidRPr="00B01865" w:rsidRDefault="00B01865" w:rsidP="00B01865">
      <w:pPr>
        <w:tabs>
          <w:tab w:val="center" w:pos="2835"/>
          <w:tab w:val="center" w:pos="3969"/>
          <w:tab w:val="center" w:pos="5103"/>
          <w:tab w:val="center" w:pos="6237"/>
          <w:tab w:val="center" w:pos="7371"/>
        </w:tabs>
        <w:spacing w:after="120"/>
        <w:ind w:firstLine="284"/>
        <w:rPr>
          <w:b/>
          <w:spacing w:val="6"/>
          <w:sz w:val="26"/>
          <w:szCs w:val="24"/>
        </w:rPr>
      </w:pPr>
      <w:r w:rsidRPr="00B01865">
        <w:rPr>
          <w:b/>
          <w:spacing w:val="6"/>
          <w:sz w:val="26"/>
          <w:szCs w:val="24"/>
        </w:rPr>
        <w:t>2.º Sostenibilidad de la deuda comercial</w:t>
      </w:r>
    </w:p>
    <w:p w:rsidR="00B01865" w:rsidRPr="00B01865" w:rsidRDefault="004564A5" w:rsidP="00E76B3D">
      <w:pPr>
        <w:pStyle w:val="texto"/>
        <w:rPr>
          <w:lang w:val="es-ES"/>
        </w:rPr>
      </w:pPr>
      <w:r>
        <w:rPr>
          <w:lang w:val="es-ES"/>
        </w:rPr>
        <w:t xml:space="preserve">Este objetivo se cumple si </w:t>
      </w:r>
      <w:r w:rsidR="00B01865" w:rsidRPr="00B01865">
        <w:rPr>
          <w:lang w:val="es-ES"/>
        </w:rPr>
        <w:t>el indicador del período medio de pago a los pr</w:t>
      </w:r>
      <w:r w:rsidR="00B01865" w:rsidRPr="00B01865">
        <w:rPr>
          <w:lang w:val="es-ES"/>
        </w:rPr>
        <w:t>o</w:t>
      </w:r>
      <w:r w:rsidR="00B01865" w:rsidRPr="00B01865">
        <w:rPr>
          <w:lang w:val="es-ES"/>
        </w:rPr>
        <w:t>veedo</w:t>
      </w:r>
      <w:r>
        <w:rPr>
          <w:lang w:val="es-ES"/>
        </w:rPr>
        <w:t>res no supera</w:t>
      </w:r>
      <w:r w:rsidR="00B01865" w:rsidRPr="00B01865">
        <w:rPr>
          <w:lang w:val="es-ES"/>
        </w:rPr>
        <w:t xml:space="preserve"> el plazo máximo previsto en la normativa sobre morosidad, plazo que para el año 2017 y con carácter general es de 30 días.</w:t>
      </w:r>
      <w:r w:rsidR="00B01865" w:rsidRPr="00B01865">
        <w:rPr>
          <w:spacing w:val="-6"/>
          <w:lang w:val="es-ES"/>
        </w:rPr>
        <w:t xml:space="preserve"> </w:t>
      </w:r>
    </w:p>
    <w:p w:rsidR="00B01865" w:rsidRPr="00B01865" w:rsidRDefault="00B01865" w:rsidP="00E76B3D">
      <w:pPr>
        <w:pStyle w:val="texto"/>
        <w:rPr>
          <w:lang w:val="es-ES"/>
        </w:rPr>
      </w:pPr>
      <w:r w:rsidRPr="00B01865">
        <w:rPr>
          <w:lang w:val="es-ES"/>
        </w:rPr>
        <w:t>El Gobierno de Navarra publica mensualmente el valor del indicador sobre el periodo medio de pago del Sector Administración Pública, de acuerdo con la metodología establecida en el Real Decreto 635/2014, de 25 de julio.</w:t>
      </w:r>
    </w:p>
    <w:p w:rsidR="00B01865" w:rsidRPr="00B01865" w:rsidRDefault="00B01865" w:rsidP="004564A5">
      <w:pPr>
        <w:pStyle w:val="texto"/>
        <w:spacing w:after="200"/>
        <w:rPr>
          <w:lang w:val="es-ES"/>
        </w:rPr>
      </w:pPr>
      <w:r w:rsidRPr="00B01865">
        <w:rPr>
          <w:lang w:val="es-ES"/>
        </w:rPr>
        <w:t>El periodo medio de pago mensual en 2017 se refleja en el cuadro siguiente:</w:t>
      </w:r>
    </w:p>
    <w:tbl>
      <w:tblPr>
        <w:tblW w:w="8773" w:type="dxa"/>
        <w:jc w:val="center"/>
        <w:tblLayout w:type="fixed"/>
        <w:tblLook w:val="01E0" w:firstRow="1" w:lastRow="1" w:firstColumn="1" w:lastColumn="1" w:noHBand="0" w:noVBand="0"/>
      </w:tblPr>
      <w:tblGrid>
        <w:gridCol w:w="4956"/>
        <w:gridCol w:w="3817"/>
      </w:tblGrid>
      <w:tr w:rsidR="00B01865" w:rsidRPr="00B01865" w:rsidTr="00AA133D">
        <w:trPr>
          <w:trHeight w:val="255"/>
          <w:jc w:val="center"/>
        </w:trPr>
        <w:tc>
          <w:tcPr>
            <w:tcW w:w="4956"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lang w:val="es-ES"/>
              </w:rPr>
            </w:pPr>
            <w:r w:rsidRPr="00B01865">
              <w:rPr>
                <w:rFonts w:ascii="Arial" w:hAnsi="Arial"/>
                <w:spacing w:val="6"/>
                <w:sz w:val="18"/>
                <w:szCs w:val="24"/>
                <w:lang w:val="es-ES"/>
              </w:rPr>
              <w:t>Ejercicio 2017</w:t>
            </w:r>
          </w:p>
        </w:tc>
        <w:tc>
          <w:tcPr>
            <w:tcW w:w="3817"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Periodo medio de pago (días)</w:t>
            </w:r>
          </w:p>
        </w:tc>
      </w:tr>
      <w:tr w:rsidR="00B01865" w:rsidRPr="00B01865" w:rsidTr="00AA133D">
        <w:trPr>
          <w:trHeight w:val="170"/>
          <w:jc w:val="center"/>
        </w:trPr>
        <w:tc>
          <w:tcPr>
            <w:tcW w:w="4956" w:type="dxa"/>
            <w:tcBorders>
              <w:top w:val="single" w:sz="4"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B01865">
              <w:rPr>
                <w:rFonts w:ascii="Arial Narrow" w:hAnsi="Arial Narrow"/>
                <w:spacing w:val="6"/>
              </w:rPr>
              <w:t>Enero</w:t>
            </w:r>
          </w:p>
        </w:tc>
        <w:tc>
          <w:tcPr>
            <w:tcW w:w="3817" w:type="dxa"/>
            <w:tcBorders>
              <w:top w:val="single" w:sz="4"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B01865">
              <w:rPr>
                <w:rFonts w:ascii="Arial Narrow" w:hAnsi="Arial Narrow"/>
                <w:spacing w:val="6"/>
              </w:rPr>
              <w:t>-3,45</w:t>
            </w:r>
          </w:p>
        </w:tc>
      </w:tr>
      <w:tr w:rsidR="00B01865" w:rsidRPr="00B01865" w:rsidTr="00AA133D">
        <w:trPr>
          <w:trHeight w:val="170"/>
          <w:jc w:val="center"/>
        </w:trPr>
        <w:tc>
          <w:tcPr>
            <w:tcW w:w="4956"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B01865">
              <w:rPr>
                <w:rFonts w:ascii="Arial Narrow" w:hAnsi="Arial Narrow"/>
                <w:spacing w:val="6"/>
              </w:rPr>
              <w:t>Febrero</w:t>
            </w:r>
          </w:p>
        </w:tc>
        <w:tc>
          <w:tcPr>
            <w:tcW w:w="3817"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B01865">
              <w:rPr>
                <w:rFonts w:ascii="Arial Narrow" w:hAnsi="Arial Narrow"/>
                <w:spacing w:val="6"/>
              </w:rPr>
              <w:t xml:space="preserve">-5,19 </w:t>
            </w:r>
          </w:p>
        </w:tc>
      </w:tr>
      <w:tr w:rsidR="00B01865" w:rsidRPr="00B01865" w:rsidTr="00AA133D">
        <w:trPr>
          <w:trHeight w:val="170"/>
          <w:jc w:val="center"/>
        </w:trPr>
        <w:tc>
          <w:tcPr>
            <w:tcW w:w="4956"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B01865">
              <w:rPr>
                <w:rFonts w:ascii="Arial Narrow" w:hAnsi="Arial Narrow"/>
                <w:spacing w:val="6"/>
              </w:rPr>
              <w:t>Marzo</w:t>
            </w:r>
          </w:p>
        </w:tc>
        <w:tc>
          <w:tcPr>
            <w:tcW w:w="3817"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B01865">
              <w:rPr>
                <w:rFonts w:ascii="Arial Narrow" w:hAnsi="Arial Narrow"/>
                <w:spacing w:val="6"/>
              </w:rPr>
              <w:t xml:space="preserve">-2,96 </w:t>
            </w:r>
          </w:p>
        </w:tc>
      </w:tr>
      <w:tr w:rsidR="00B01865" w:rsidRPr="00B01865" w:rsidTr="00AA133D">
        <w:trPr>
          <w:trHeight w:val="170"/>
          <w:jc w:val="center"/>
        </w:trPr>
        <w:tc>
          <w:tcPr>
            <w:tcW w:w="4956"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B01865">
              <w:rPr>
                <w:rFonts w:ascii="Arial Narrow" w:hAnsi="Arial Narrow"/>
                <w:spacing w:val="6"/>
              </w:rPr>
              <w:t>Abril</w:t>
            </w:r>
          </w:p>
        </w:tc>
        <w:tc>
          <w:tcPr>
            <w:tcW w:w="3817"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B01865">
              <w:rPr>
                <w:rFonts w:ascii="Arial Narrow" w:hAnsi="Arial Narrow"/>
                <w:spacing w:val="6"/>
              </w:rPr>
              <w:t xml:space="preserve">-1,58 </w:t>
            </w:r>
          </w:p>
        </w:tc>
      </w:tr>
      <w:tr w:rsidR="00B01865" w:rsidRPr="00B01865" w:rsidTr="00AA133D">
        <w:trPr>
          <w:trHeight w:val="170"/>
          <w:jc w:val="center"/>
        </w:trPr>
        <w:tc>
          <w:tcPr>
            <w:tcW w:w="4956"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B01865">
              <w:rPr>
                <w:rFonts w:ascii="Arial Narrow" w:hAnsi="Arial Narrow"/>
                <w:spacing w:val="6"/>
              </w:rPr>
              <w:t>Mayo</w:t>
            </w:r>
          </w:p>
        </w:tc>
        <w:tc>
          <w:tcPr>
            <w:tcW w:w="3817"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B01865">
              <w:rPr>
                <w:rFonts w:ascii="Arial Narrow" w:hAnsi="Arial Narrow"/>
                <w:spacing w:val="6"/>
              </w:rPr>
              <w:t xml:space="preserve">-1,67 </w:t>
            </w:r>
          </w:p>
        </w:tc>
      </w:tr>
      <w:tr w:rsidR="00B01865" w:rsidRPr="00B01865" w:rsidTr="00AA133D">
        <w:trPr>
          <w:trHeight w:val="170"/>
          <w:jc w:val="center"/>
        </w:trPr>
        <w:tc>
          <w:tcPr>
            <w:tcW w:w="4956"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B01865">
              <w:rPr>
                <w:rFonts w:ascii="Arial Narrow" w:hAnsi="Arial Narrow"/>
                <w:spacing w:val="6"/>
              </w:rPr>
              <w:t>Junio</w:t>
            </w:r>
          </w:p>
        </w:tc>
        <w:tc>
          <w:tcPr>
            <w:tcW w:w="3817"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B01865">
              <w:rPr>
                <w:rFonts w:ascii="Arial Narrow" w:hAnsi="Arial Narrow"/>
                <w:spacing w:val="6"/>
              </w:rPr>
              <w:t xml:space="preserve">-2,60 </w:t>
            </w:r>
          </w:p>
        </w:tc>
      </w:tr>
      <w:tr w:rsidR="00B01865" w:rsidRPr="00B01865" w:rsidTr="00AA133D">
        <w:trPr>
          <w:trHeight w:val="170"/>
          <w:jc w:val="center"/>
        </w:trPr>
        <w:tc>
          <w:tcPr>
            <w:tcW w:w="4956"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B01865">
              <w:rPr>
                <w:rFonts w:ascii="Arial Narrow" w:hAnsi="Arial Narrow"/>
                <w:spacing w:val="6"/>
              </w:rPr>
              <w:t>Julio</w:t>
            </w:r>
          </w:p>
        </w:tc>
        <w:tc>
          <w:tcPr>
            <w:tcW w:w="3817"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B01865">
              <w:rPr>
                <w:rFonts w:ascii="Arial Narrow" w:hAnsi="Arial Narrow"/>
                <w:spacing w:val="6"/>
              </w:rPr>
              <w:t xml:space="preserve">-2,33 </w:t>
            </w:r>
          </w:p>
        </w:tc>
      </w:tr>
      <w:tr w:rsidR="00B01865" w:rsidRPr="00B01865" w:rsidTr="00AA133D">
        <w:trPr>
          <w:trHeight w:val="170"/>
          <w:jc w:val="center"/>
        </w:trPr>
        <w:tc>
          <w:tcPr>
            <w:tcW w:w="4956"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B01865">
              <w:rPr>
                <w:rFonts w:ascii="Arial Narrow" w:hAnsi="Arial Narrow"/>
                <w:spacing w:val="6"/>
              </w:rPr>
              <w:t>Agosto</w:t>
            </w:r>
          </w:p>
        </w:tc>
        <w:tc>
          <w:tcPr>
            <w:tcW w:w="3817"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B01865">
              <w:rPr>
                <w:rFonts w:ascii="Arial Narrow" w:hAnsi="Arial Narrow"/>
                <w:spacing w:val="6"/>
              </w:rPr>
              <w:t xml:space="preserve">-1,42 </w:t>
            </w:r>
          </w:p>
        </w:tc>
      </w:tr>
      <w:tr w:rsidR="00B01865" w:rsidRPr="00B01865" w:rsidTr="00AA133D">
        <w:trPr>
          <w:trHeight w:val="170"/>
          <w:jc w:val="center"/>
        </w:trPr>
        <w:tc>
          <w:tcPr>
            <w:tcW w:w="4956"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B01865">
              <w:rPr>
                <w:rFonts w:ascii="Arial Narrow" w:hAnsi="Arial Narrow"/>
                <w:spacing w:val="6"/>
              </w:rPr>
              <w:t>Septiembre</w:t>
            </w:r>
          </w:p>
        </w:tc>
        <w:tc>
          <w:tcPr>
            <w:tcW w:w="3817"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B01865">
              <w:rPr>
                <w:rFonts w:ascii="Arial Narrow" w:hAnsi="Arial Narrow"/>
                <w:spacing w:val="6"/>
              </w:rPr>
              <w:t xml:space="preserve">-2,55 </w:t>
            </w:r>
          </w:p>
        </w:tc>
      </w:tr>
      <w:tr w:rsidR="00B01865" w:rsidRPr="00B01865" w:rsidTr="00AA133D">
        <w:trPr>
          <w:trHeight w:val="170"/>
          <w:jc w:val="center"/>
        </w:trPr>
        <w:tc>
          <w:tcPr>
            <w:tcW w:w="4956"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B01865">
              <w:rPr>
                <w:rFonts w:ascii="Arial Narrow" w:hAnsi="Arial Narrow"/>
                <w:spacing w:val="6"/>
              </w:rPr>
              <w:t>Octubre</w:t>
            </w:r>
          </w:p>
        </w:tc>
        <w:tc>
          <w:tcPr>
            <w:tcW w:w="3817"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B01865">
              <w:rPr>
                <w:rFonts w:ascii="Arial Narrow" w:hAnsi="Arial Narrow"/>
                <w:spacing w:val="6"/>
              </w:rPr>
              <w:t xml:space="preserve">-2,74 </w:t>
            </w:r>
          </w:p>
        </w:tc>
      </w:tr>
      <w:tr w:rsidR="00B01865" w:rsidRPr="00B01865" w:rsidTr="00AA133D">
        <w:trPr>
          <w:trHeight w:val="170"/>
          <w:jc w:val="center"/>
        </w:trPr>
        <w:tc>
          <w:tcPr>
            <w:tcW w:w="4956"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B01865">
              <w:rPr>
                <w:rFonts w:ascii="Arial Narrow" w:hAnsi="Arial Narrow"/>
                <w:spacing w:val="6"/>
              </w:rPr>
              <w:t>Noviembre</w:t>
            </w:r>
          </w:p>
        </w:tc>
        <w:tc>
          <w:tcPr>
            <w:tcW w:w="3817"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B01865">
              <w:rPr>
                <w:rFonts w:ascii="Arial Narrow" w:hAnsi="Arial Narrow"/>
                <w:spacing w:val="6"/>
              </w:rPr>
              <w:t xml:space="preserve">-2,41 </w:t>
            </w:r>
          </w:p>
        </w:tc>
      </w:tr>
      <w:tr w:rsidR="00B01865" w:rsidRPr="00B01865" w:rsidTr="00AA133D">
        <w:trPr>
          <w:trHeight w:val="170"/>
          <w:jc w:val="center"/>
        </w:trPr>
        <w:tc>
          <w:tcPr>
            <w:tcW w:w="4956" w:type="dxa"/>
            <w:tcBorders>
              <w:top w:val="single" w:sz="2" w:space="0" w:color="auto"/>
              <w:bottom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Narrow" w:hAnsi="Arial Narrow"/>
                <w:spacing w:val="6"/>
              </w:rPr>
            </w:pPr>
            <w:r w:rsidRPr="00B01865">
              <w:rPr>
                <w:rFonts w:ascii="Arial Narrow" w:hAnsi="Arial Narrow"/>
                <w:spacing w:val="6"/>
              </w:rPr>
              <w:t>Diciembre</w:t>
            </w:r>
          </w:p>
        </w:tc>
        <w:tc>
          <w:tcPr>
            <w:tcW w:w="3817" w:type="dxa"/>
            <w:tcBorders>
              <w:top w:val="single" w:sz="2" w:space="0" w:color="auto"/>
              <w:bottom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Narrow" w:hAnsi="Arial Narrow"/>
                <w:spacing w:val="6"/>
              </w:rPr>
            </w:pPr>
            <w:r w:rsidRPr="00B01865">
              <w:rPr>
                <w:rFonts w:ascii="Arial Narrow" w:hAnsi="Arial Narrow"/>
                <w:spacing w:val="6"/>
              </w:rPr>
              <w:t xml:space="preserve">-5,88 </w:t>
            </w:r>
          </w:p>
        </w:tc>
      </w:tr>
    </w:tbl>
    <w:p w:rsidR="00B01865" w:rsidRPr="00B01865" w:rsidRDefault="00B01865" w:rsidP="00B01865">
      <w:pPr>
        <w:spacing w:before="60" w:after="0"/>
        <w:ind w:firstLine="0"/>
        <w:jc w:val="left"/>
        <w:rPr>
          <w:rFonts w:ascii="Arial Narrow" w:hAnsi="Arial Narrow" w:cs="Arial"/>
          <w:sz w:val="16"/>
          <w:szCs w:val="16"/>
          <w:lang w:val="es-ES" w:eastAsia="es-ES"/>
        </w:rPr>
      </w:pPr>
      <w:r w:rsidRPr="00B01865">
        <w:rPr>
          <w:rFonts w:ascii="Arial Narrow" w:hAnsi="Arial Narrow" w:cs="Arial"/>
          <w:sz w:val="16"/>
          <w:szCs w:val="16"/>
          <w:lang w:val="es-ES" w:eastAsia="es-ES"/>
        </w:rPr>
        <w:t>Fuente: Gobierno de Navarra.</w:t>
      </w:r>
    </w:p>
    <w:p w:rsidR="00B01865" w:rsidRPr="00B01865" w:rsidRDefault="00B01865" w:rsidP="00E76B3D">
      <w:pPr>
        <w:pStyle w:val="texto"/>
        <w:spacing w:before="240"/>
        <w:rPr>
          <w:lang w:val="es-ES"/>
        </w:rPr>
      </w:pPr>
      <w:r w:rsidRPr="00B01865">
        <w:rPr>
          <w:lang w:val="es-ES"/>
        </w:rPr>
        <w:lastRenderedPageBreak/>
        <w:t>El valor negativo indica que se paga a los proveedores, como promedio, con anterioridad al citado plazo máximo previsto.</w:t>
      </w:r>
    </w:p>
    <w:p w:rsidR="00B01865" w:rsidRPr="00B01865" w:rsidRDefault="00B01865" w:rsidP="00E76B3D">
      <w:pPr>
        <w:pStyle w:val="texto"/>
        <w:rPr>
          <w:lang w:val="es-ES"/>
        </w:rPr>
      </w:pPr>
      <w:r w:rsidRPr="00B01865">
        <w:rPr>
          <w:lang w:val="es-ES"/>
        </w:rPr>
        <w:t xml:space="preserve">En consecuencia, el Sector Administración Pública de la Comunidad Foral en 2017 ha cumplido con el principio de sostenibilidad de la deuda comercial, sin que hayan existido retrasos en pagos a proveedores que hayan originado gastos por intereses de demora. </w:t>
      </w:r>
    </w:p>
    <w:p w:rsidR="00B01865" w:rsidRPr="00B01865" w:rsidRDefault="00B01865" w:rsidP="00B01865">
      <w:pPr>
        <w:tabs>
          <w:tab w:val="center" w:pos="2835"/>
          <w:tab w:val="center" w:pos="3969"/>
          <w:tab w:val="center" w:pos="5103"/>
          <w:tab w:val="center" w:pos="6237"/>
          <w:tab w:val="center" w:pos="7371"/>
        </w:tabs>
        <w:spacing w:after="120"/>
        <w:ind w:firstLine="284"/>
        <w:rPr>
          <w:b/>
          <w:spacing w:val="6"/>
          <w:sz w:val="26"/>
          <w:szCs w:val="24"/>
        </w:rPr>
      </w:pPr>
      <w:r w:rsidRPr="00B01865">
        <w:rPr>
          <w:b/>
          <w:spacing w:val="6"/>
          <w:sz w:val="26"/>
          <w:szCs w:val="24"/>
        </w:rPr>
        <w:t xml:space="preserve">3.º Prudencia en avales y otras garantías </w:t>
      </w:r>
    </w:p>
    <w:p w:rsidR="00B01865" w:rsidRPr="00E76B3D" w:rsidRDefault="00B01865" w:rsidP="00E76B3D">
      <w:pPr>
        <w:pStyle w:val="texto"/>
      </w:pPr>
      <w:r w:rsidRPr="00E76B3D">
        <w:t>A estos efectos, la Comunidad Foral presenta a 31 de diciembre de 2017, un volumen de avales y otras garantías cifrado en 165,84 millones concedidos a personas físicas y/o jurídicas distintas de las que integran el Sector Administr</w:t>
      </w:r>
      <w:r w:rsidRPr="00E76B3D">
        <w:t>a</w:t>
      </w:r>
      <w:r w:rsidRPr="00E76B3D">
        <w:t>ción Pública definido según el SEC´2010; así mismo, la Ley Foral de Pres</w:t>
      </w:r>
      <w:r w:rsidRPr="00E76B3D">
        <w:t>u</w:t>
      </w:r>
      <w:r w:rsidRPr="00E76B3D">
        <w:t xml:space="preserve">puestos Generales de Navarra de 2018 estima unas previsiones de concesión de avales de 51 millones. </w:t>
      </w:r>
    </w:p>
    <w:p w:rsidR="00B01865" w:rsidRPr="00E76B3D" w:rsidRDefault="00B01865" w:rsidP="00E76B3D">
      <w:pPr>
        <w:pStyle w:val="texto"/>
      </w:pPr>
      <w:r w:rsidRPr="00E76B3D">
        <w:t>Por tanto, el importe de avales asciende a 216,84 millones, valor que repr</w:t>
      </w:r>
      <w:r w:rsidRPr="00E76B3D">
        <w:t>e</w:t>
      </w:r>
      <w:r w:rsidRPr="00E76B3D">
        <w:t>senta el 1,09 por ciento del PIB de Navarra; este porcentaje es inferior al límite del 1,5 por ciento que señala la legislación, por lo que se ha cumplido con esta norma.</w:t>
      </w:r>
    </w:p>
    <w:p w:rsidR="00B01865" w:rsidRPr="00E76B3D" w:rsidRDefault="00B01865" w:rsidP="00E76B3D">
      <w:pPr>
        <w:pStyle w:val="texto"/>
      </w:pPr>
      <w:r w:rsidRPr="00E76B3D">
        <w:t>Por otra parte, no consta que ningún tercero haya obtenido avales u otras g</w:t>
      </w:r>
      <w:r w:rsidRPr="00E76B3D">
        <w:t>a</w:t>
      </w:r>
      <w:r w:rsidRPr="00E76B3D">
        <w:t>rantías por importe individual superior a 25 millones o al 0,1 por ciento del PIB de Navarra.</w:t>
      </w:r>
    </w:p>
    <w:p w:rsidR="00B01865" w:rsidRPr="006860D5" w:rsidRDefault="00B01865" w:rsidP="00E76B3D">
      <w:pPr>
        <w:pStyle w:val="texto"/>
      </w:pPr>
      <w:r w:rsidRPr="006860D5">
        <w:t xml:space="preserve">En </w:t>
      </w:r>
      <w:r w:rsidRPr="006860D5">
        <w:rPr>
          <w:b/>
        </w:rPr>
        <w:t>conclusión</w:t>
      </w:r>
      <w:r w:rsidRPr="006860D5">
        <w:t xml:space="preserve">, el Sector Administración Pública de la Comunidad Foral en el ejercicio 2017 ha cumplido con el objetivo relacionado con el volumen de necesidades de financiación y con el de sostenibilidad financiera, incumpliendo el relativo a la regla de gasto. </w:t>
      </w:r>
    </w:p>
    <w:p w:rsidR="00B01865" w:rsidRPr="00757D0D" w:rsidRDefault="00B01865" w:rsidP="00757D0D">
      <w:pPr>
        <w:pStyle w:val="atitulo2"/>
        <w:spacing w:before="240"/>
        <w:rPr>
          <w:bCs w:val="0"/>
          <w:iCs w:val="0"/>
        </w:rPr>
      </w:pPr>
      <w:bookmarkStart w:id="72" w:name="_Toc463350251"/>
      <w:bookmarkStart w:id="73" w:name="_Toc494270385"/>
      <w:bookmarkStart w:id="74" w:name="_Toc525907441"/>
      <w:bookmarkStart w:id="75" w:name="_Toc530034669"/>
      <w:r w:rsidRPr="00757D0D">
        <w:rPr>
          <w:bCs w:val="0"/>
          <w:iCs w:val="0"/>
        </w:rPr>
        <w:t>V.4. Cumplimiento de recomendaciones emitidas en informes anteriores de esta Cámara de Comptos</w:t>
      </w:r>
      <w:bookmarkEnd w:id="72"/>
      <w:bookmarkEnd w:id="73"/>
      <w:bookmarkEnd w:id="74"/>
      <w:bookmarkEnd w:id="75"/>
    </w:p>
    <w:p w:rsidR="00B01865" w:rsidRPr="00B01865" w:rsidRDefault="00B01865" w:rsidP="00757D0D">
      <w:pPr>
        <w:pStyle w:val="texto"/>
      </w:pPr>
      <w:r w:rsidRPr="00B01865">
        <w:t>Del informe de esta Cámara sobre las Cuentas Generales de 2016, se han i</w:t>
      </w:r>
      <w:r w:rsidRPr="00B01865">
        <w:t>m</w:t>
      </w:r>
      <w:r w:rsidRPr="00B01865">
        <w:t>plantado o están en fase de implantación las siguientes recomendaciones:</w:t>
      </w:r>
    </w:p>
    <w:p w:rsidR="00B01865" w:rsidRPr="00B01865"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B01865">
        <w:rPr>
          <w:rFonts w:cs="Arial"/>
          <w:i/>
        </w:rPr>
        <w:t>Se está trabajando en la adaptación de los sistemas contables de la HTN para obtener la información del desarrollo del presupuesto de ingresos según los procedimientos contables del PGCP y no desde informes preparados con métodos estadísticos.</w:t>
      </w:r>
    </w:p>
    <w:p w:rsidR="00B01865" w:rsidRPr="00B01865"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B01865">
        <w:rPr>
          <w:rFonts w:cs="Arial"/>
          <w:i/>
        </w:rPr>
        <w:t>Se ha incorporado a la memoria de las Cuentas Generales información c</w:t>
      </w:r>
      <w:r w:rsidRPr="00B01865">
        <w:rPr>
          <w:rFonts w:cs="Arial"/>
          <w:i/>
        </w:rPr>
        <w:t>o</w:t>
      </w:r>
      <w:r w:rsidRPr="00B01865">
        <w:rPr>
          <w:rFonts w:cs="Arial"/>
          <w:i/>
        </w:rPr>
        <w:t>rrespondiente a la regla del gasto dentro del apartado de estabilidad pres</w:t>
      </w:r>
      <w:r w:rsidRPr="00B01865">
        <w:rPr>
          <w:rFonts w:cs="Arial"/>
          <w:i/>
        </w:rPr>
        <w:t>u</w:t>
      </w:r>
      <w:r w:rsidRPr="00B01865">
        <w:rPr>
          <w:rFonts w:cs="Arial"/>
          <w:i/>
        </w:rPr>
        <w:t>puestaria.</w:t>
      </w:r>
    </w:p>
    <w:p w:rsidR="006860D5" w:rsidRDefault="006860D5">
      <w:pPr>
        <w:spacing w:after="0"/>
        <w:ind w:firstLine="0"/>
        <w:jc w:val="left"/>
        <w:rPr>
          <w:spacing w:val="6"/>
          <w:sz w:val="26"/>
          <w:szCs w:val="24"/>
        </w:rPr>
      </w:pPr>
      <w:r>
        <w:br w:type="page"/>
      </w:r>
    </w:p>
    <w:p w:rsidR="00B01865" w:rsidRPr="00B01865" w:rsidRDefault="00B01865" w:rsidP="008E6EE6">
      <w:pPr>
        <w:pStyle w:val="texto"/>
      </w:pPr>
      <w:r w:rsidRPr="00B01865">
        <w:lastRenderedPageBreak/>
        <w:t>Siguen vigentes las siguientes recomendaciones básicas emitidas por esta Cámara en informes de ejercicios anteriores:</w:t>
      </w:r>
    </w:p>
    <w:p w:rsidR="00B01865" w:rsidRPr="008E6EE6"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8E6EE6">
        <w:rPr>
          <w:rFonts w:cs="Arial"/>
          <w:i/>
        </w:rPr>
        <w:t>Aprobar de manera urgente el Plan General de Contabilidad Pública de la Comunidad Foral y en su defecto, aplicar en toda su extensión el Plan General de Contabilidad Pública, vigente desde el 1 de enero de 2011.</w:t>
      </w:r>
    </w:p>
    <w:p w:rsidR="00B01865" w:rsidRPr="008E6EE6"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8E6EE6">
        <w:rPr>
          <w:rFonts w:cs="Arial"/>
          <w:i/>
        </w:rPr>
        <w:t>Reflejar en el balance las obligaciones actuariales derivadas de los der</w:t>
      </w:r>
      <w:r w:rsidRPr="008E6EE6">
        <w:rPr>
          <w:rFonts w:cs="Arial"/>
          <w:i/>
        </w:rPr>
        <w:t>e</w:t>
      </w:r>
      <w:r w:rsidRPr="008E6EE6">
        <w:rPr>
          <w:rFonts w:cs="Arial"/>
          <w:i/>
        </w:rPr>
        <w:t>chos pasivos de los funcionarios forales.</w:t>
      </w:r>
    </w:p>
    <w:p w:rsidR="00B01865" w:rsidRPr="008E6EE6"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8E6EE6">
        <w:rPr>
          <w:rFonts w:cs="Arial"/>
          <w:i/>
        </w:rPr>
        <w:t>Elaborar un inventario valorado de todos los bienes y derechos de la C</w:t>
      </w:r>
      <w:r w:rsidRPr="008E6EE6">
        <w:rPr>
          <w:rFonts w:cs="Arial"/>
          <w:i/>
        </w:rPr>
        <w:t>o</w:t>
      </w:r>
      <w:r w:rsidRPr="008E6EE6">
        <w:rPr>
          <w:rFonts w:cs="Arial"/>
          <w:i/>
        </w:rPr>
        <w:t>munidad Foral que respalde los saldos contables del inmovilizado de acuerdo a las exigencias del Plan General de Contabilidad Pública. Este inventario d</w:t>
      </w:r>
      <w:r w:rsidRPr="008E6EE6">
        <w:rPr>
          <w:rFonts w:cs="Arial"/>
          <w:i/>
        </w:rPr>
        <w:t>e</w:t>
      </w:r>
      <w:r w:rsidRPr="008E6EE6">
        <w:rPr>
          <w:rFonts w:cs="Arial"/>
          <w:i/>
        </w:rPr>
        <w:t>be incorporarse o adjuntarse a la memoria del ejercicio.</w:t>
      </w:r>
    </w:p>
    <w:p w:rsidR="00B01865" w:rsidRPr="008E6EE6"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8E6EE6">
        <w:rPr>
          <w:rFonts w:cs="Arial"/>
          <w:i/>
        </w:rPr>
        <w:t>Desarrollar el procedimiento de prórroga presupuestaria regulado en la Ley de Hacienda Pública, analizando su adecuación y contemplando las ex</w:t>
      </w:r>
      <w:r w:rsidRPr="008E6EE6">
        <w:rPr>
          <w:rFonts w:cs="Arial"/>
          <w:i/>
        </w:rPr>
        <w:t>i</w:t>
      </w:r>
      <w:r w:rsidRPr="008E6EE6">
        <w:rPr>
          <w:rFonts w:cs="Arial"/>
          <w:i/>
        </w:rPr>
        <w:t>gencias de la Ley de Estabilidad Presupuestaria y Sostenibilidad Financiera.</w:t>
      </w:r>
    </w:p>
    <w:p w:rsidR="00B01865" w:rsidRPr="008E6EE6"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8E6EE6">
        <w:rPr>
          <w:rFonts w:cs="Arial"/>
          <w:i/>
        </w:rPr>
        <w:t>Incluir en la memoria de las Cuentas Generales los hechos posteriores más relevantes al cierre del ejercicio.</w:t>
      </w:r>
    </w:p>
    <w:p w:rsidR="00B01865" w:rsidRPr="008E6EE6" w:rsidRDefault="00B01865" w:rsidP="008E6EE6">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8E6EE6">
        <w:rPr>
          <w:rFonts w:cs="Arial"/>
          <w:i/>
        </w:rPr>
        <w:t>Desarrollar el sistema contable de manera que suministre información p</w:t>
      </w:r>
      <w:r w:rsidRPr="008E6EE6">
        <w:rPr>
          <w:rFonts w:cs="Arial"/>
          <w:i/>
        </w:rPr>
        <w:t>a</w:t>
      </w:r>
      <w:r w:rsidRPr="008E6EE6">
        <w:rPr>
          <w:rFonts w:cs="Arial"/>
          <w:i/>
        </w:rPr>
        <w:t>ra determinar el coste de los servicios públicos.</w:t>
      </w:r>
    </w:p>
    <w:p w:rsidR="00B01865" w:rsidRPr="00B01865" w:rsidRDefault="00B01865" w:rsidP="008E6EE6">
      <w:pPr>
        <w:pStyle w:val="atitulo2"/>
        <w:spacing w:before="240"/>
      </w:pPr>
      <w:bookmarkStart w:id="76" w:name="_Toc494270386"/>
      <w:bookmarkStart w:id="77" w:name="_Toc525907442"/>
      <w:bookmarkStart w:id="78" w:name="_Toc530034670"/>
      <w:r w:rsidRPr="00B01865">
        <w:t>V.5. Gastos de personal</w:t>
      </w:r>
      <w:bookmarkEnd w:id="76"/>
      <w:bookmarkEnd w:id="77"/>
      <w:bookmarkEnd w:id="78"/>
    </w:p>
    <w:p w:rsidR="00B01865" w:rsidRPr="00B01865" w:rsidRDefault="00B01865" w:rsidP="00757D0D">
      <w:pPr>
        <w:pStyle w:val="texto"/>
        <w:rPr>
          <w:lang w:val="es-ES"/>
        </w:rPr>
      </w:pPr>
      <w:r w:rsidRPr="00B01865">
        <w:rPr>
          <w:lang w:val="es-ES"/>
        </w:rPr>
        <w:t>Los gastos de personal en 2017 ascendieron a 1.237,58 millones de euros y representan el 31 por ciento del total del gasto. El 43 por ciento corresponde al Departamento de Salud, el 30 por ciento a Educación y el 17 por ciento al D</w:t>
      </w:r>
      <w:r w:rsidRPr="00B01865">
        <w:rPr>
          <w:lang w:val="es-ES"/>
        </w:rPr>
        <w:t>e</w:t>
      </w:r>
      <w:r w:rsidRPr="00B01865">
        <w:rPr>
          <w:lang w:val="es-ES"/>
        </w:rPr>
        <w:t>partamento de Presidencia, Justicia e Interior.</w:t>
      </w:r>
    </w:p>
    <w:p w:rsidR="00B01865" w:rsidRPr="00B01865" w:rsidRDefault="00B01865" w:rsidP="00757D0D">
      <w:pPr>
        <w:pStyle w:val="texto"/>
        <w:rPr>
          <w:lang w:val="es-ES"/>
        </w:rPr>
      </w:pPr>
      <w:r w:rsidRPr="00B01865">
        <w:rPr>
          <w:lang w:val="es-ES"/>
        </w:rPr>
        <w:t xml:space="preserve">Su distribución por conceptos económicos es la siguiente: </w:t>
      </w:r>
    </w:p>
    <w:tbl>
      <w:tblPr>
        <w:tblW w:w="8808" w:type="dxa"/>
        <w:jc w:val="center"/>
        <w:tblCellMar>
          <w:left w:w="70" w:type="dxa"/>
          <w:right w:w="70" w:type="dxa"/>
        </w:tblCellMar>
        <w:tblLook w:val="04A0" w:firstRow="1" w:lastRow="0" w:firstColumn="1" w:lastColumn="0" w:noHBand="0" w:noVBand="1"/>
      </w:tblPr>
      <w:tblGrid>
        <w:gridCol w:w="3880"/>
        <w:gridCol w:w="1998"/>
        <w:gridCol w:w="1493"/>
        <w:gridCol w:w="1437"/>
      </w:tblGrid>
      <w:tr w:rsidR="00B01865" w:rsidRPr="00B01865" w:rsidTr="00734A6D">
        <w:trPr>
          <w:trHeight w:val="255"/>
          <w:jc w:val="center"/>
        </w:trPr>
        <w:tc>
          <w:tcPr>
            <w:tcW w:w="8808" w:type="dxa"/>
            <w:gridSpan w:val="4"/>
            <w:tcBorders>
              <w:left w:val="nil"/>
              <w:bottom w:val="single" w:sz="4" w:space="0" w:color="auto"/>
              <w:right w:val="nil"/>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sidRPr="00B01865">
              <w:rPr>
                <w:rFonts w:ascii="Arial" w:hAnsi="Arial"/>
                <w:spacing w:val="6"/>
                <w:sz w:val="17"/>
                <w:szCs w:val="17"/>
              </w:rPr>
              <w:t>(en miles de euros)</w:t>
            </w:r>
          </w:p>
        </w:tc>
      </w:tr>
      <w:tr w:rsidR="00B01865" w:rsidRPr="00B01865" w:rsidTr="00734A6D">
        <w:trPr>
          <w:trHeight w:val="255"/>
          <w:jc w:val="center"/>
        </w:trPr>
        <w:tc>
          <w:tcPr>
            <w:tcW w:w="3880"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B01865">
              <w:rPr>
                <w:rFonts w:ascii="Arial" w:hAnsi="Arial"/>
                <w:spacing w:val="6"/>
                <w:sz w:val="18"/>
                <w:szCs w:val="24"/>
              </w:rPr>
              <w:t>Gastos de personal</w:t>
            </w:r>
          </w:p>
        </w:tc>
        <w:tc>
          <w:tcPr>
            <w:tcW w:w="1998"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2016</w:t>
            </w:r>
          </w:p>
        </w:tc>
        <w:tc>
          <w:tcPr>
            <w:tcW w:w="1493"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2017</w:t>
            </w:r>
          </w:p>
        </w:tc>
        <w:tc>
          <w:tcPr>
            <w:tcW w:w="1437"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 variación  2017/2016</w:t>
            </w:r>
          </w:p>
        </w:tc>
      </w:tr>
      <w:tr w:rsidR="00B01865" w:rsidRPr="00B01865" w:rsidTr="00734A6D">
        <w:trPr>
          <w:trHeight w:val="198"/>
          <w:jc w:val="center"/>
        </w:trPr>
        <w:tc>
          <w:tcPr>
            <w:tcW w:w="3880" w:type="dxa"/>
            <w:tcBorders>
              <w:top w:val="single" w:sz="4"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Altos cargos</w:t>
            </w:r>
          </w:p>
        </w:tc>
        <w:tc>
          <w:tcPr>
            <w:tcW w:w="1998"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3.886</w:t>
            </w:r>
          </w:p>
        </w:tc>
        <w:tc>
          <w:tcPr>
            <w:tcW w:w="1493"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3.310</w:t>
            </w:r>
          </w:p>
        </w:tc>
        <w:tc>
          <w:tcPr>
            <w:tcW w:w="1437" w:type="dxa"/>
            <w:tcBorders>
              <w:top w:val="single" w:sz="4"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-15</w:t>
            </w:r>
          </w:p>
        </w:tc>
      </w:tr>
      <w:tr w:rsidR="00B01865" w:rsidRPr="00B01865" w:rsidTr="00B10751">
        <w:trPr>
          <w:trHeight w:val="198"/>
          <w:jc w:val="center"/>
        </w:trPr>
        <w:tc>
          <w:tcPr>
            <w:tcW w:w="3880"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319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Personal eventual</w:t>
            </w:r>
          </w:p>
        </w:tc>
        <w:tc>
          <w:tcPr>
            <w:tcW w:w="1998"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2.423</w:t>
            </w:r>
          </w:p>
        </w:tc>
        <w:tc>
          <w:tcPr>
            <w:tcW w:w="1493"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2.658</w:t>
            </w:r>
          </w:p>
        </w:tc>
        <w:tc>
          <w:tcPr>
            <w:tcW w:w="1437"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10</w:t>
            </w:r>
          </w:p>
        </w:tc>
      </w:tr>
      <w:tr w:rsidR="00B01865" w:rsidRPr="00B01865" w:rsidTr="00B10751">
        <w:trPr>
          <w:trHeight w:val="198"/>
          <w:jc w:val="center"/>
        </w:trPr>
        <w:tc>
          <w:tcPr>
            <w:tcW w:w="3880"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Retribuciones del puesto</w:t>
            </w:r>
          </w:p>
        </w:tc>
        <w:tc>
          <w:tcPr>
            <w:tcW w:w="1998"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719.600</w:t>
            </w:r>
          </w:p>
        </w:tc>
        <w:tc>
          <w:tcPr>
            <w:tcW w:w="1493"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744.749</w:t>
            </w:r>
          </w:p>
        </w:tc>
        <w:tc>
          <w:tcPr>
            <w:tcW w:w="1437"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w:t>
            </w:r>
          </w:p>
        </w:tc>
      </w:tr>
      <w:tr w:rsidR="00B01865" w:rsidRPr="00B01865" w:rsidTr="00B10751">
        <w:trPr>
          <w:trHeight w:val="198"/>
          <w:jc w:val="center"/>
        </w:trPr>
        <w:tc>
          <w:tcPr>
            <w:tcW w:w="3880"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Retribuciones personales</w:t>
            </w:r>
          </w:p>
        </w:tc>
        <w:tc>
          <w:tcPr>
            <w:tcW w:w="1998"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119.689</w:t>
            </w:r>
          </w:p>
        </w:tc>
        <w:tc>
          <w:tcPr>
            <w:tcW w:w="1493"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122.311</w:t>
            </w:r>
          </w:p>
        </w:tc>
        <w:tc>
          <w:tcPr>
            <w:tcW w:w="1437"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w:t>
            </w:r>
          </w:p>
        </w:tc>
      </w:tr>
      <w:tr w:rsidR="00B01865" w:rsidRPr="00B01865" w:rsidTr="00B10751">
        <w:trPr>
          <w:trHeight w:val="198"/>
          <w:jc w:val="center"/>
        </w:trPr>
        <w:tc>
          <w:tcPr>
            <w:tcW w:w="3880"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Cuotas, prestaciones y gastos sociales</w:t>
            </w:r>
          </w:p>
        </w:tc>
        <w:tc>
          <w:tcPr>
            <w:tcW w:w="1998"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254.083</w:t>
            </w:r>
          </w:p>
        </w:tc>
        <w:tc>
          <w:tcPr>
            <w:tcW w:w="1493"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270.868</w:t>
            </w:r>
          </w:p>
        </w:tc>
        <w:tc>
          <w:tcPr>
            <w:tcW w:w="1437"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7</w:t>
            </w:r>
          </w:p>
        </w:tc>
      </w:tr>
      <w:tr w:rsidR="00B01865" w:rsidRPr="00B01865" w:rsidTr="00B10751">
        <w:trPr>
          <w:trHeight w:val="198"/>
          <w:jc w:val="center"/>
        </w:trPr>
        <w:tc>
          <w:tcPr>
            <w:tcW w:w="3880"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Retribuciones variables</w:t>
            </w:r>
          </w:p>
        </w:tc>
        <w:tc>
          <w:tcPr>
            <w:tcW w:w="1998"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50.412</w:t>
            </w:r>
          </w:p>
        </w:tc>
        <w:tc>
          <w:tcPr>
            <w:tcW w:w="1493"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52.842</w:t>
            </w:r>
          </w:p>
        </w:tc>
        <w:tc>
          <w:tcPr>
            <w:tcW w:w="1437"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w:t>
            </w:r>
          </w:p>
        </w:tc>
      </w:tr>
      <w:tr w:rsidR="00B01865" w:rsidRPr="00B01865" w:rsidTr="00B10751">
        <w:trPr>
          <w:trHeight w:val="198"/>
          <w:jc w:val="center"/>
        </w:trPr>
        <w:tc>
          <w:tcPr>
            <w:tcW w:w="3880"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Otras retribuciones</w:t>
            </w:r>
          </w:p>
        </w:tc>
        <w:tc>
          <w:tcPr>
            <w:tcW w:w="1998"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22.196</w:t>
            </w:r>
          </w:p>
        </w:tc>
        <w:tc>
          <w:tcPr>
            <w:tcW w:w="1493"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40.844</w:t>
            </w:r>
          </w:p>
        </w:tc>
        <w:tc>
          <w:tcPr>
            <w:tcW w:w="1437"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84</w:t>
            </w:r>
          </w:p>
        </w:tc>
      </w:tr>
      <w:tr w:rsidR="00B01865" w:rsidRPr="00B01865" w:rsidTr="00B01865">
        <w:trPr>
          <w:trHeight w:val="255"/>
          <w:jc w:val="center"/>
        </w:trPr>
        <w:tc>
          <w:tcPr>
            <w:tcW w:w="3880" w:type="dxa"/>
            <w:tcBorders>
              <w:top w:val="single" w:sz="2"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B01865">
              <w:rPr>
                <w:rFonts w:ascii="Arial" w:hAnsi="Arial"/>
                <w:spacing w:val="6"/>
                <w:sz w:val="18"/>
                <w:szCs w:val="24"/>
              </w:rPr>
              <w:t>Total capítulo 1</w:t>
            </w:r>
          </w:p>
        </w:tc>
        <w:tc>
          <w:tcPr>
            <w:tcW w:w="1998" w:type="dxa"/>
            <w:tcBorders>
              <w:top w:val="single" w:sz="2"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1.172.289</w:t>
            </w:r>
          </w:p>
        </w:tc>
        <w:tc>
          <w:tcPr>
            <w:tcW w:w="1493" w:type="dxa"/>
            <w:tcBorders>
              <w:top w:val="single" w:sz="2"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1.237.582</w:t>
            </w:r>
          </w:p>
        </w:tc>
        <w:tc>
          <w:tcPr>
            <w:tcW w:w="1437" w:type="dxa"/>
            <w:tcBorders>
              <w:top w:val="single" w:sz="2"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6</w:t>
            </w:r>
          </w:p>
        </w:tc>
      </w:tr>
    </w:tbl>
    <w:p w:rsidR="00B01865" w:rsidRPr="00B01865" w:rsidRDefault="00B01865" w:rsidP="00757D0D">
      <w:pPr>
        <w:pStyle w:val="texto"/>
        <w:spacing w:before="240"/>
        <w:rPr>
          <w:lang w:val="es-ES"/>
        </w:rPr>
      </w:pPr>
      <w:r w:rsidRPr="00B01865">
        <w:rPr>
          <w:lang w:val="es-ES"/>
        </w:rPr>
        <w:t xml:space="preserve">Respecto a 2016, los gastos de personal aumentaron un seis por ciento (65,29 millones); en general, las variaciones por concepto económico son positivas salvo el caso de los altos cargos cuyas retribuciones disminuyen un 15 por </w:t>
      </w:r>
      <w:r w:rsidRPr="00B01865">
        <w:rPr>
          <w:lang w:val="es-ES"/>
        </w:rPr>
        <w:lastRenderedPageBreak/>
        <w:t>ciento debido fundamentalmente a la reclasificación de su gasto presupuestario en el concepto de personal eventual (el cual aumenta por este mismo motivo).</w:t>
      </w:r>
    </w:p>
    <w:p w:rsidR="00B01865" w:rsidRPr="00B01865" w:rsidRDefault="00B01865" w:rsidP="00757D0D">
      <w:pPr>
        <w:pStyle w:val="texto"/>
        <w:rPr>
          <w:lang w:val="es-ES"/>
        </w:rPr>
      </w:pPr>
      <w:r w:rsidRPr="00B01865">
        <w:rPr>
          <w:lang w:val="es-ES"/>
        </w:rPr>
        <w:t>La subida más significativa corresponde a “otras retribuciones”, debida en gran parte a la devolución de parte de la paga extra suprimida en 2012 y al abono de la ayuda familiar al personal contratado en régimen administrativo.</w:t>
      </w:r>
    </w:p>
    <w:p w:rsidR="00B01865" w:rsidRPr="00757D0D" w:rsidRDefault="00B01865" w:rsidP="00757D0D">
      <w:pPr>
        <w:pStyle w:val="texto"/>
        <w:rPr>
          <w:b/>
          <w:lang w:val="es-ES"/>
        </w:rPr>
      </w:pPr>
      <w:r w:rsidRPr="00B01865">
        <w:rPr>
          <w:lang w:val="es-ES"/>
        </w:rPr>
        <w:t>Hemos analizado si el gasto contabilizado en la aplicación SAP RRHH, de la cual se obtienen las nóminas, se corresponde con el registrado en SAPGE`21 en el pr</w:t>
      </w:r>
      <w:r w:rsidR="0080381D">
        <w:rPr>
          <w:lang w:val="es-ES"/>
        </w:rPr>
        <w:t>esupuesto</w:t>
      </w:r>
      <w:r w:rsidR="008228A4">
        <w:rPr>
          <w:lang w:val="es-ES"/>
        </w:rPr>
        <w:t xml:space="preserve">, constatando que </w:t>
      </w:r>
      <w:r w:rsidR="0080381D">
        <w:rPr>
          <w:lang w:val="es-ES"/>
        </w:rPr>
        <w:t>los gastos de todos los</w:t>
      </w:r>
      <w:r w:rsidRPr="00B01865">
        <w:rPr>
          <w:lang w:val="es-ES"/>
        </w:rPr>
        <w:t xml:space="preserve"> conceptos retributivos que componen la nómina son coincidentes</w:t>
      </w:r>
      <w:r w:rsidRPr="00757D0D">
        <w:rPr>
          <w:lang w:val="es-ES"/>
        </w:rPr>
        <w:t>.</w:t>
      </w:r>
      <w:r w:rsidRPr="00757D0D">
        <w:rPr>
          <w:b/>
          <w:lang w:val="es-ES"/>
        </w:rPr>
        <w:t xml:space="preserve"> </w:t>
      </w:r>
    </w:p>
    <w:p w:rsidR="00B01865" w:rsidRPr="00B01865" w:rsidRDefault="00B01865" w:rsidP="00757D0D">
      <w:pPr>
        <w:pStyle w:val="texto"/>
        <w:rPr>
          <w:lang w:val="es-ES"/>
        </w:rPr>
      </w:pPr>
      <w:r w:rsidRPr="00B01865">
        <w:rPr>
          <w:lang w:val="es-ES"/>
        </w:rPr>
        <w:t xml:space="preserve">Hemos </w:t>
      </w:r>
      <w:r w:rsidR="008228A4">
        <w:rPr>
          <w:lang w:val="es-ES"/>
        </w:rPr>
        <w:t>verificad</w:t>
      </w:r>
      <w:r w:rsidRPr="00B01865">
        <w:rPr>
          <w:lang w:val="es-ES"/>
        </w:rPr>
        <w:t>o</w:t>
      </w:r>
      <w:r w:rsidR="00904024">
        <w:rPr>
          <w:lang w:val="es-ES"/>
        </w:rPr>
        <w:t>,</w:t>
      </w:r>
      <w:r w:rsidRPr="00B01865">
        <w:rPr>
          <w:lang w:val="es-ES"/>
        </w:rPr>
        <w:t xml:space="preserve"> además</w:t>
      </w:r>
      <w:r w:rsidR="00904024">
        <w:rPr>
          <w:lang w:val="es-ES"/>
        </w:rPr>
        <w:t>,</w:t>
      </w:r>
      <w:r w:rsidRPr="00B01865">
        <w:rPr>
          <w:lang w:val="es-ES"/>
        </w:rPr>
        <w:t xml:space="preserve"> que existe un gasto derivado de la ejecución de </w:t>
      </w:r>
      <w:r w:rsidR="008228A4">
        <w:rPr>
          <w:lang w:val="es-ES"/>
        </w:rPr>
        <w:t>una</w:t>
      </w:r>
      <w:r w:rsidRPr="00B01865">
        <w:rPr>
          <w:lang w:val="es-ES"/>
        </w:rPr>
        <w:t xml:space="preserve"> sentenc</w:t>
      </w:r>
      <w:r w:rsidR="008228A4">
        <w:rPr>
          <w:lang w:val="es-ES"/>
        </w:rPr>
        <w:t>ia de 2017</w:t>
      </w:r>
      <w:r w:rsidRPr="00B01865">
        <w:rPr>
          <w:lang w:val="es-ES"/>
        </w:rPr>
        <w:t xml:space="preserve"> relacionada con el personal despedido tras la internaliz</w:t>
      </w:r>
      <w:r w:rsidRPr="00B01865">
        <w:rPr>
          <w:lang w:val="es-ES"/>
        </w:rPr>
        <w:t>a</w:t>
      </w:r>
      <w:r w:rsidRPr="00B01865">
        <w:rPr>
          <w:lang w:val="es-ES"/>
        </w:rPr>
        <w:t>ción del servicio de cocina del Complejo Hospitalario de Navarra, por un total de 307.283 euros</w:t>
      </w:r>
      <w:r w:rsidR="008228A4">
        <w:rPr>
          <w:lang w:val="es-ES"/>
        </w:rPr>
        <w:t>,</w:t>
      </w:r>
      <w:r w:rsidRPr="00B01865">
        <w:rPr>
          <w:lang w:val="es-ES"/>
        </w:rPr>
        <w:t xml:space="preserve"> que se aplicó al presupuesto de 2018.</w:t>
      </w:r>
    </w:p>
    <w:p w:rsidR="00B01865" w:rsidRPr="00B01865" w:rsidRDefault="00B01865" w:rsidP="00657CF6">
      <w:pPr>
        <w:spacing w:before="240" w:after="12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Plantilla orgánica y oferta pública de empleo</w:t>
      </w:r>
    </w:p>
    <w:p w:rsidR="00B01865" w:rsidRPr="00B01865" w:rsidRDefault="00B01865" w:rsidP="00757D0D">
      <w:pPr>
        <w:pStyle w:val="texto"/>
        <w:rPr>
          <w:lang w:val="es-ES"/>
        </w:rPr>
      </w:pPr>
      <w:r w:rsidRPr="00B01865">
        <w:rPr>
          <w:lang w:val="es-ES"/>
        </w:rPr>
        <w:t>La plantilla orgánica y la relación del personal fijo y eventual que desemp</w:t>
      </w:r>
      <w:r w:rsidRPr="00B01865">
        <w:rPr>
          <w:lang w:val="es-ES"/>
        </w:rPr>
        <w:t>e</w:t>
      </w:r>
      <w:r w:rsidRPr="00B01865">
        <w:rPr>
          <w:lang w:val="es-ES"/>
        </w:rPr>
        <w:t xml:space="preserve">ña cargos directivos de libre designación en la ACFN y en sus OOAA a 31 de diciembre de 2017 se publicó mediante Orden Foral 61/2018, de 10 de mayo, de la consejera de Presidencia, Función Pública, Interior y Justicia, en el BON el 18 de junio de 2018. </w:t>
      </w:r>
    </w:p>
    <w:p w:rsidR="00B01865" w:rsidRPr="00B01865" w:rsidRDefault="00B01865" w:rsidP="00757D0D">
      <w:pPr>
        <w:pStyle w:val="texto"/>
        <w:rPr>
          <w:lang w:val="es-ES"/>
        </w:rPr>
      </w:pPr>
      <w:r w:rsidRPr="00B01865">
        <w:rPr>
          <w:lang w:val="es-ES"/>
        </w:rPr>
        <w:t>Esta Cámara, tal y como viene insistiendo en informes anteriores, destaca el retraso con el que se publicó la plantilla orgánica de 2017 (junio de 2018).</w:t>
      </w:r>
    </w:p>
    <w:p w:rsidR="00B01865" w:rsidRPr="00B01865" w:rsidRDefault="00B01865" w:rsidP="00757D0D">
      <w:pPr>
        <w:pStyle w:val="texto"/>
        <w:spacing w:after="240"/>
        <w:rPr>
          <w:lang w:val="es-ES"/>
        </w:rPr>
      </w:pPr>
      <w:r w:rsidRPr="00B01865">
        <w:rPr>
          <w:lang w:val="es-ES"/>
        </w:rPr>
        <w:t xml:space="preserve">Las plazas en la plantilla orgánica a 31 de diciembre de 2017 ascendían a 22.917, </w:t>
      </w:r>
      <w:r w:rsidR="0080381D">
        <w:rPr>
          <w:lang w:val="es-ES"/>
        </w:rPr>
        <w:t xml:space="preserve">cifra superior a la de 2016 en </w:t>
      </w:r>
      <w:r w:rsidRPr="00B01865">
        <w:rPr>
          <w:lang w:val="es-ES"/>
        </w:rPr>
        <w:t>236</w:t>
      </w:r>
      <w:r w:rsidR="0080381D">
        <w:rPr>
          <w:lang w:val="es-ES"/>
        </w:rPr>
        <w:t xml:space="preserve"> plazas</w:t>
      </w:r>
      <w:r w:rsidRPr="00B01865">
        <w:rPr>
          <w:lang w:val="es-ES"/>
        </w:rPr>
        <w:t>. Su clasificación entre cubie</w:t>
      </w:r>
      <w:r w:rsidRPr="00B01865">
        <w:rPr>
          <w:lang w:val="es-ES"/>
        </w:rPr>
        <w:t>r</w:t>
      </w:r>
      <w:r w:rsidRPr="00B01865">
        <w:rPr>
          <w:lang w:val="es-ES"/>
        </w:rPr>
        <w:t>tas y vacantes es la que sigue:</w:t>
      </w:r>
    </w:p>
    <w:tbl>
      <w:tblPr>
        <w:tblW w:w="8745" w:type="dxa"/>
        <w:jc w:val="center"/>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779"/>
        <w:gridCol w:w="944"/>
        <w:gridCol w:w="782"/>
        <w:gridCol w:w="996"/>
        <w:gridCol w:w="876"/>
        <w:gridCol w:w="758"/>
        <w:gridCol w:w="876"/>
        <w:gridCol w:w="895"/>
      </w:tblGrid>
      <w:tr w:rsidR="00B01865" w:rsidRPr="00B01865" w:rsidTr="00B01865">
        <w:trPr>
          <w:trHeight w:val="198"/>
          <w:jc w:val="center"/>
        </w:trPr>
        <w:tc>
          <w:tcPr>
            <w:tcW w:w="1839" w:type="dxa"/>
            <w:vMerge w:val="restart"/>
            <w:tcBorders>
              <w:top w:val="single" w:sz="4" w:space="0" w:color="auto"/>
              <w:left w:val="nil"/>
              <w:bottom w:val="single" w:sz="2"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B01865">
              <w:rPr>
                <w:rFonts w:ascii="Arial" w:hAnsi="Arial"/>
                <w:spacing w:val="6"/>
                <w:sz w:val="18"/>
                <w:szCs w:val="18"/>
              </w:rPr>
              <w:t>Plazas</w:t>
            </w:r>
          </w:p>
        </w:tc>
        <w:tc>
          <w:tcPr>
            <w:tcW w:w="1723" w:type="dxa"/>
            <w:gridSpan w:val="2"/>
            <w:tcBorders>
              <w:top w:val="single" w:sz="4" w:space="0" w:color="auto"/>
              <w:left w:val="nil"/>
              <w:bottom w:val="nil"/>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right="-164" w:firstLine="0"/>
              <w:jc w:val="center"/>
              <w:rPr>
                <w:rFonts w:ascii="Arial" w:hAnsi="Arial"/>
                <w:spacing w:val="6"/>
                <w:sz w:val="18"/>
                <w:szCs w:val="18"/>
              </w:rPr>
            </w:pPr>
            <w:r w:rsidRPr="00B01865">
              <w:rPr>
                <w:rFonts w:ascii="Arial" w:hAnsi="Arial"/>
                <w:spacing w:val="6"/>
                <w:sz w:val="18"/>
                <w:szCs w:val="18"/>
              </w:rPr>
              <w:t>Admón. Núcleo</w:t>
            </w:r>
          </w:p>
        </w:tc>
        <w:tc>
          <w:tcPr>
            <w:tcW w:w="1778" w:type="dxa"/>
            <w:gridSpan w:val="2"/>
            <w:tcBorders>
              <w:top w:val="single" w:sz="4" w:space="0" w:color="auto"/>
              <w:left w:val="nil"/>
              <w:bottom w:val="nil"/>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428" w:firstLine="0"/>
              <w:jc w:val="left"/>
              <w:rPr>
                <w:rFonts w:ascii="Arial" w:hAnsi="Arial"/>
                <w:spacing w:val="6"/>
                <w:sz w:val="18"/>
                <w:szCs w:val="18"/>
              </w:rPr>
            </w:pPr>
            <w:r w:rsidRPr="00B01865">
              <w:rPr>
                <w:rFonts w:ascii="Arial" w:hAnsi="Arial"/>
                <w:spacing w:val="6"/>
                <w:sz w:val="18"/>
                <w:szCs w:val="18"/>
              </w:rPr>
              <w:t>Educación</w:t>
            </w:r>
          </w:p>
        </w:tc>
        <w:tc>
          <w:tcPr>
            <w:tcW w:w="1634" w:type="dxa"/>
            <w:gridSpan w:val="2"/>
            <w:tcBorders>
              <w:top w:val="single" w:sz="4" w:space="0" w:color="auto"/>
              <w:left w:val="nil"/>
              <w:bottom w:val="nil"/>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524" w:firstLine="0"/>
              <w:jc w:val="left"/>
              <w:rPr>
                <w:rFonts w:ascii="Arial" w:hAnsi="Arial"/>
                <w:spacing w:val="6"/>
                <w:sz w:val="18"/>
                <w:szCs w:val="18"/>
              </w:rPr>
            </w:pPr>
            <w:r w:rsidRPr="00B01865">
              <w:rPr>
                <w:rFonts w:ascii="Arial" w:hAnsi="Arial"/>
                <w:spacing w:val="6"/>
                <w:sz w:val="18"/>
                <w:szCs w:val="18"/>
              </w:rPr>
              <w:t>SNS-O</w:t>
            </w:r>
          </w:p>
        </w:tc>
        <w:tc>
          <w:tcPr>
            <w:tcW w:w="1771" w:type="dxa"/>
            <w:gridSpan w:val="2"/>
            <w:tcBorders>
              <w:top w:val="single" w:sz="4" w:space="0" w:color="auto"/>
              <w:left w:val="nil"/>
              <w:bottom w:val="nil"/>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612" w:firstLine="0"/>
              <w:jc w:val="left"/>
              <w:rPr>
                <w:rFonts w:ascii="Arial" w:hAnsi="Arial"/>
                <w:spacing w:val="6"/>
                <w:sz w:val="18"/>
                <w:szCs w:val="18"/>
              </w:rPr>
            </w:pPr>
            <w:r w:rsidRPr="00B01865">
              <w:rPr>
                <w:rFonts w:ascii="Arial" w:hAnsi="Arial"/>
                <w:spacing w:val="6"/>
                <w:sz w:val="18"/>
                <w:szCs w:val="18"/>
              </w:rPr>
              <w:t>Total</w:t>
            </w:r>
          </w:p>
        </w:tc>
      </w:tr>
      <w:tr w:rsidR="00B01865" w:rsidRPr="00B01865" w:rsidTr="00734A6D">
        <w:trPr>
          <w:trHeight w:val="198"/>
          <w:jc w:val="center"/>
        </w:trPr>
        <w:tc>
          <w:tcPr>
            <w:tcW w:w="1839" w:type="dxa"/>
            <w:vMerge/>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rPr>
                <w:rFonts w:ascii="Arial" w:hAnsi="Arial"/>
                <w:spacing w:val="6"/>
                <w:sz w:val="18"/>
                <w:szCs w:val="18"/>
              </w:rPr>
            </w:pPr>
          </w:p>
        </w:tc>
        <w:tc>
          <w:tcPr>
            <w:tcW w:w="779" w:type="dxa"/>
            <w:tcBorders>
              <w:top w:val="nil"/>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136" w:firstLine="136"/>
              <w:jc w:val="right"/>
              <w:rPr>
                <w:rFonts w:ascii="Arial" w:hAnsi="Arial"/>
                <w:spacing w:val="6"/>
                <w:sz w:val="18"/>
                <w:szCs w:val="18"/>
              </w:rPr>
            </w:pPr>
            <w:r w:rsidRPr="00B01865">
              <w:rPr>
                <w:rFonts w:ascii="Arial" w:hAnsi="Arial"/>
                <w:spacing w:val="6"/>
                <w:sz w:val="18"/>
                <w:szCs w:val="18"/>
              </w:rPr>
              <w:t>2016</w:t>
            </w:r>
          </w:p>
        </w:tc>
        <w:tc>
          <w:tcPr>
            <w:tcW w:w="944" w:type="dxa"/>
            <w:tcBorders>
              <w:top w:val="nil"/>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2017</w:t>
            </w:r>
          </w:p>
        </w:tc>
        <w:tc>
          <w:tcPr>
            <w:tcW w:w="782" w:type="dxa"/>
            <w:tcBorders>
              <w:top w:val="nil"/>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2016</w:t>
            </w:r>
          </w:p>
        </w:tc>
        <w:tc>
          <w:tcPr>
            <w:tcW w:w="996" w:type="dxa"/>
            <w:tcBorders>
              <w:top w:val="nil"/>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2017</w:t>
            </w:r>
          </w:p>
        </w:tc>
        <w:tc>
          <w:tcPr>
            <w:tcW w:w="876" w:type="dxa"/>
            <w:tcBorders>
              <w:top w:val="nil"/>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2016</w:t>
            </w:r>
          </w:p>
        </w:tc>
        <w:tc>
          <w:tcPr>
            <w:tcW w:w="758" w:type="dxa"/>
            <w:tcBorders>
              <w:top w:val="nil"/>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2017</w:t>
            </w:r>
          </w:p>
        </w:tc>
        <w:tc>
          <w:tcPr>
            <w:tcW w:w="876" w:type="dxa"/>
            <w:tcBorders>
              <w:top w:val="nil"/>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2016</w:t>
            </w:r>
          </w:p>
        </w:tc>
        <w:tc>
          <w:tcPr>
            <w:tcW w:w="895" w:type="dxa"/>
            <w:tcBorders>
              <w:top w:val="nil"/>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2017</w:t>
            </w:r>
          </w:p>
        </w:tc>
      </w:tr>
      <w:tr w:rsidR="00B01865" w:rsidRPr="00B01865" w:rsidTr="00734A6D">
        <w:trPr>
          <w:trHeight w:val="198"/>
          <w:jc w:val="center"/>
        </w:trPr>
        <w:tc>
          <w:tcPr>
            <w:tcW w:w="1839" w:type="dxa"/>
            <w:tcBorders>
              <w:top w:val="single" w:sz="4"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Cubiertas</w:t>
            </w:r>
          </w:p>
        </w:tc>
        <w:tc>
          <w:tcPr>
            <w:tcW w:w="779" w:type="dxa"/>
            <w:tcBorders>
              <w:top w:val="single" w:sz="4"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4.896</w:t>
            </w:r>
          </w:p>
        </w:tc>
        <w:tc>
          <w:tcPr>
            <w:tcW w:w="944"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4.766</w:t>
            </w:r>
          </w:p>
        </w:tc>
        <w:tc>
          <w:tcPr>
            <w:tcW w:w="782" w:type="dxa"/>
            <w:tcBorders>
              <w:top w:val="single" w:sz="4"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5.995</w:t>
            </w:r>
          </w:p>
        </w:tc>
        <w:tc>
          <w:tcPr>
            <w:tcW w:w="996"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5.671</w:t>
            </w:r>
          </w:p>
        </w:tc>
        <w:tc>
          <w:tcPr>
            <w:tcW w:w="876" w:type="dxa"/>
            <w:tcBorders>
              <w:top w:val="single" w:sz="4"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6.303</w:t>
            </w:r>
          </w:p>
        </w:tc>
        <w:tc>
          <w:tcPr>
            <w:tcW w:w="758"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6.139</w:t>
            </w:r>
          </w:p>
        </w:tc>
        <w:tc>
          <w:tcPr>
            <w:tcW w:w="876" w:type="dxa"/>
            <w:tcBorders>
              <w:top w:val="single" w:sz="4"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17.194</w:t>
            </w:r>
          </w:p>
        </w:tc>
        <w:tc>
          <w:tcPr>
            <w:tcW w:w="895"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16.576</w:t>
            </w:r>
          </w:p>
        </w:tc>
      </w:tr>
      <w:tr w:rsidR="00B01865" w:rsidRPr="00B01865" w:rsidTr="00B01865">
        <w:trPr>
          <w:trHeight w:val="198"/>
          <w:jc w:val="center"/>
        </w:trPr>
        <w:tc>
          <w:tcPr>
            <w:tcW w:w="1839" w:type="dxa"/>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 xml:space="preserve">Vacantes </w:t>
            </w:r>
          </w:p>
        </w:tc>
        <w:tc>
          <w:tcPr>
            <w:tcW w:w="779" w:type="dxa"/>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1.382</w:t>
            </w:r>
          </w:p>
        </w:tc>
        <w:tc>
          <w:tcPr>
            <w:tcW w:w="944"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1.586</w:t>
            </w:r>
          </w:p>
        </w:tc>
        <w:tc>
          <w:tcPr>
            <w:tcW w:w="782" w:type="dxa"/>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1.798</w:t>
            </w:r>
          </w:p>
        </w:tc>
        <w:tc>
          <w:tcPr>
            <w:tcW w:w="996"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2.122</w:t>
            </w:r>
          </w:p>
        </w:tc>
        <w:tc>
          <w:tcPr>
            <w:tcW w:w="876" w:type="dxa"/>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2.307</w:t>
            </w:r>
          </w:p>
        </w:tc>
        <w:tc>
          <w:tcPr>
            <w:tcW w:w="758"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2.633</w:t>
            </w:r>
          </w:p>
        </w:tc>
        <w:tc>
          <w:tcPr>
            <w:tcW w:w="876" w:type="dxa"/>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5.487</w:t>
            </w:r>
          </w:p>
        </w:tc>
        <w:tc>
          <w:tcPr>
            <w:tcW w:w="895"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6.341</w:t>
            </w:r>
          </w:p>
        </w:tc>
      </w:tr>
      <w:tr w:rsidR="00B01865" w:rsidRPr="00B01865" w:rsidTr="00B01865">
        <w:trPr>
          <w:trHeight w:val="255"/>
          <w:jc w:val="center"/>
        </w:trPr>
        <w:tc>
          <w:tcPr>
            <w:tcW w:w="1839"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B01865">
              <w:rPr>
                <w:rFonts w:ascii="Arial" w:hAnsi="Arial"/>
                <w:spacing w:val="6"/>
                <w:sz w:val="18"/>
                <w:szCs w:val="18"/>
              </w:rPr>
              <w:t>Total plazas</w:t>
            </w:r>
          </w:p>
        </w:tc>
        <w:tc>
          <w:tcPr>
            <w:tcW w:w="779"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6.278</w:t>
            </w:r>
          </w:p>
        </w:tc>
        <w:tc>
          <w:tcPr>
            <w:tcW w:w="944"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6.352</w:t>
            </w:r>
          </w:p>
        </w:tc>
        <w:tc>
          <w:tcPr>
            <w:tcW w:w="782"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7.793</w:t>
            </w:r>
          </w:p>
        </w:tc>
        <w:tc>
          <w:tcPr>
            <w:tcW w:w="99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7.793</w:t>
            </w:r>
          </w:p>
        </w:tc>
        <w:tc>
          <w:tcPr>
            <w:tcW w:w="876"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8.610</w:t>
            </w:r>
          </w:p>
        </w:tc>
        <w:tc>
          <w:tcPr>
            <w:tcW w:w="758"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8.772</w:t>
            </w:r>
          </w:p>
        </w:tc>
        <w:tc>
          <w:tcPr>
            <w:tcW w:w="876"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22.681</w:t>
            </w:r>
          </w:p>
        </w:tc>
        <w:tc>
          <w:tcPr>
            <w:tcW w:w="895"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22.917</w:t>
            </w:r>
          </w:p>
        </w:tc>
      </w:tr>
    </w:tbl>
    <w:p w:rsidR="00B01865" w:rsidRPr="00B01865" w:rsidRDefault="00B01865" w:rsidP="00757D0D">
      <w:pPr>
        <w:pStyle w:val="texto"/>
        <w:spacing w:before="240"/>
        <w:rPr>
          <w:lang w:val="es-ES"/>
        </w:rPr>
      </w:pPr>
      <w:r w:rsidRPr="00B01865">
        <w:rPr>
          <w:lang w:val="es-ES"/>
        </w:rPr>
        <w:t xml:space="preserve">El 38 por ciento de las plazas corresponde al SNS-O, un 34 por ciento a Educación y el 28 por ciento restante a la Administración Núcleo. Del total de plazas, el 72 por ciento está cubierto y el 28 por ciento restante vacante. </w:t>
      </w:r>
    </w:p>
    <w:p w:rsidR="00B01865" w:rsidRPr="00B01865" w:rsidRDefault="00B01865" w:rsidP="00757D0D">
      <w:pPr>
        <w:pStyle w:val="texto"/>
        <w:spacing w:after="240"/>
        <w:rPr>
          <w:lang w:val="es-ES"/>
        </w:rPr>
      </w:pPr>
      <w:r w:rsidRPr="00B01865">
        <w:rPr>
          <w:lang w:val="es-ES"/>
        </w:rPr>
        <w:t>El número de plazas cubiertas en 2017</w:t>
      </w:r>
      <w:r w:rsidR="00657CF6">
        <w:rPr>
          <w:lang w:val="es-ES"/>
        </w:rPr>
        <w:t>, según su tipología,</w:t>
      </w:r>
      <w:r w:rsidRPr="00B01865">
        <w:rPr>
          <w:lang w:val="es-ES"/>
        </w:rPr>
        <w:t xml:space="preserve"> se distribuye en</w:t>
      </w:r>
      <w:r w:rsidR="00657CF6">
        <w:rPr>
          <w:lang w:val="es-ES"/>
        </w:rPr>
        <w:t>:</w:t>
      </w:r>
    </w:p>
    <w:tbl>
      <w:tblPr>
        <w:tblW w:w="8824" w:type="dxa"/>
        <w:jc w:val="center"/>
        <w:tblBorders>
          <w:top w:val="single" w:sz="4" w:space="0" w:color="auto"/>
          <w:bottom w:val="single" w:sz="4" w:space="0" w:color="auto"/>
        </w:tblBorders>
        <w:tblCellMar>
          <w:top w:w="10" w:type="dxa"/>
          <w:left w:w="10" w:type="dxa"/>
          <w:bottom w:w="10" w:type="dxa"/>
          <w:right w:w="10" w:type="dxa"/>
        </w:tblCellMar>
        <w:tblLook w:val="04A0" w:firstRow="1" w:lastRow="0" w:firstColumn="1" w:lastColumn="0" w:noHBand="0" w:noVBand="1"/>
      </w:tblPr>
      <w:tblGrid>
        <w:gridCol w:w="3012"/>
        <w:gridCol w:w="3013"/>
        <w:gridCol w:w="1417"/>
        <w:gridCol w:w="1382"/>
      </w:tblGrid>
      <w:tr w:rsidR="00B01865" w:rsidRPr="00B01865" w:rsidTr="00B01865">
        <w:trPr>
          <w:trHeight w:val="255"/>
          <w:jc w:val="center"/>
        </w:trPr>
        <w:tc>
          <w:tcPr>
            <w:tcW w:w="6025" w:type="dxa"/>
            <w:gridSpan w:val="2"/>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B01865">
              <w:rPr>
                <w:rFonts w:ascii="Arial" w:hAnsi="Arial"/>
                <w:spacing w:val="6"/>
                <w:sz w:val="18"/>
                <w:szCs w:val="18"/>
              </w:rPr>
              <w:t>Tipo de plaza cubierta</w:t>
            </w:r>
          </w:p>
        </w:tc>
        <w:tc>
          <w:tcPr>
            <w:tcW w:w="1417"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2016</w:t>
            </w:r>
          </w:p>
        </w:tc>
        <w:tc>
          <w:tcPr>
            <w:tcW w:w="1382"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2017</w:t>
            </w:r>
          </w:p>
        </w:tc>
      </w:tr>
      <w:tr w:rsidR="00B01865" w:rsidRPr="00B01865" w:rsidTr="00B01865">
        <w:trPr>
          <w:trHeight w:val="198"/>
          <w:jc w:val="center"/>
        </w:trPr>
        <w:tc>
          <w:tcPr>
            <w:tcW w:w="3012" w:type="dxa"/>
            <w:vMerge w:val="restart"/>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Plazas no básicas</w:t>
            </w:r>
          </w:p>
        </w:tc>
        <w:tc>
          <w:tcPr>
            <w:tcW w:w="3013"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rPr>
                <w:rFonts w:ascii="Arial Narrow" w:hAnsi="Arial Narrow"/>
                <w:spacing w:val="6"/>
              </w:rPr>
            </w:pPr>
            <w:r w:rsidRPr="00B01865">
              <w:rPr>
                <w:rFonts w:ascii="Arial Narrow" w:hAnsi="Arial Narrow"/>
                <w:spacing w:val="6"/>
              </w:rPr>
              <w:t>Personal eventual</w:t>
            </w:r>
          </w:p>
        </w:tc>
        <w:tc>
          <w:tcPr>
            <w:tcW w:w="1417" w:type="dxa"/>
            <w:tcBorders>
              <w:top w:val="single" w:sz="4" w:space="0" w:color="auto"/>
              <w:left w:val="nil"/>
              <w:bottom w:val="single" w:sz="2" w:space="0" w:color="auto"/>
              <w:right w:val="nil"/>
            </w:tcBorders>
            <w:vAlign w:val="bottom"/>
          </w:tcPr>
          <w:p w:rsidR="00B01865" w:rsidRPr="00B01865" w:rsidRDefault="00B01865" w:rsidP="00B01865">
            <w:pPr>
              <w:spacing w:after="0"/>
              <w:jc w:val="right"/>
              <w:rPr>
                <w:rFonts w:ascii="Arial Narrow" w:hAnsi="Arial Narrow" w:cs="Arial"/>
              </w:rPr>
            </w:pPr>
            <w:r w:rsidRPr="00B01865">
              <w:rPr>
                <w:rFonts w:ascii="Arial Narrow" w:hAnsi="Arial Narrow" w:cs="Arial"/>
              </w:rPr>
              <w:t>110</w:t>
            </w:r>
          </w:p>
        </w:tc>
        <w:tc>
          <w:tcPr>
            <w:tcW w:w="1382" w:type="dxa"/>
            <w:tcBorders>
              <w:top w:val="single" w:sz="4" w:space="0" w:color="auto"/>
              <w:left w:val="nil"/>
              <w:bottom w:val="single" w:sz="2" w:space="0" w:color="auto"/>
              <w:right w:val="nil"/>
            </w:tcBorders>
            <w:vAlign w:val="center"/>
          </w:tcPr>
          <w:p w:rsidR="00B01865" w:rsidRPr="00B01865" w:rsidRDefault="00B01865" w:rsidP="00B01865">
            <w:pPr>
              <w:spacing w:after="0"/>
              <w:jc w:val="right"/>
              <w:rPr>
                <w:rFonts w:ascii="Arial Narrow" w:hAnsi="Arial Narrow" w:cs="Arial"/>
              </w:rPr>
            </w:pPr>
            <w:r w:rsidRPr="00B01865">
              <w:rPr>
                <w:rFonts w:ascii="Arial Narrow" w:hAnsi="Arial Narrow" w:cs="Arial"/>
              </w:rPr>
              <w:t>111</w:t>
            </w:r>
          </w:p>
        </w:tc>
      </w:tr>
      <w:tr w:rsidR="00B01865" w:rsidRPr="00B01865" w:rsidTr="00B01865">
        <w:trPr>
          <w:trHeight w:val="198"/>
          <w:jc w:val="center"/>
        </w:trPr>
        <w:tc>
          <w:tcPr>
            <w:tcW w:w="3012" w:type="dxa"/>
            <w:vMerge/>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
        </w:tc>
        <w:tc>
          <w:tcPr>
            <w:tcW w:w="3013"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rPr>
                <w:rFonts w:ascii="Arial Narrow" w:hAnsi="Arial Narrow"/>
                <w:spacing w:val="6"/>
              </w:rPr>
            </w:pPr>
            <w:r w:rsidRPr="00B01865">
              <w:rPr>
                <w:rFonts w:ascii="Arial Narrow" w:hAnsi="Arial Narrow"/>
                <w:spacing w:val="6"/>
              </w:rPr>
              <w:t>Jefaturas</w:t>
            </w:r>
          </w:p>
        </w:tc>
        <w:tc>
          <w:tcPr>
            <w:tcW w:w="1417" w:type="dxa"/>
            <w:tcBorders>
              <w:top w:val="single" w:sz="2" w:space="0" w:color="auto"/>
              <w:left w:val="nil"/>
              <w:bottom w:val="single" w:sz="2" w:space="0" w:color="auto"/>
              <w:right w:val="nil"/>
            </w:tcBorders>
            <w:vAlign w:val="bottom"/>
          </w:tcPr>
          <w:p w:rsidR="00B01865" w:rsidRPr="00B01865" w:rsidRDefault="00B01865" w:rsidP="00B01865">
            <w:pPr>
              <w:spacing w:after="0"/>
              <w:jc w:val="right"/>
              <w:rPr>
                <w:rFonts w:ascii="Arial Narrow" w:hAnsi="Arial Narrow" w:cs="Arial"/>
              </w:rPr>
            </w:pPr>
            <w:r w:rsidRPr="00B01865">
              <w:rPr>
                <w:rFonts w:ascii="Arial Narrow" w:hAnsi="Arial Narrow" w:cs="Arial"/>
              </w:rPr>
              <w:t>1.466</w:t>
            </w:r>
          </w:p>
        </w:tc>
        <w:tc>
          <w:tcPr>
            <w:tcW w:w="1382" w:type="dxa"/>
            <w:tcBorders>
              <w:top w:val="single" w:sz="2" w:space="0" w:color="auto"/>
              <w:left w:val="nil"/>
              <w:bottom w:val="single" w:sz="2" w:space="0" w:color="auto"/>
              <w:right w:val="nil"/>
            </w:tcBorders>
            <w:vAlign w:val="center"/>
          </w:tcPr>
          <w:p w:rsidR="00B01865" w:rsidRPr="00B01865" w:rsidRDefault="00B01865" w:rsidP="00B01865">
            <w:pPr>
              <w:spacing w:after="0"/>
              <w:jc w:val="right"/>
              <w:rPr>
                <w:rFonts w:ascii="Arial Narrow" w:hAnsi="Arial Narrow" w:cs="Arial"/>
              </w:rPr>
            </w:pPr>
            <w:r w:rsidRPr="00B01865">
              <w:rPr>
                <w:rFonts w:ascii="Arial Narrow" w:hAnsi="Arial Narrow" w:cs="Arial"/>
              </w:rPr>
              <w:t>1.517</w:t>
            </w:r>
          </w:p>
        </w:tc>
      </w:tr>
      <w:tr w:rsidR="00B01865" w:rsidRPr="00B01865" w:rsidTr="00B01865">
        <w:trPr>
          <w:trHeight w:val="198"/>
          <w:jc w:val="center"/>
        </w:trPr>
        <w:tc>
          <w:tcPr>
            <w:tcW w:w="6025" w:type="dxa"/>
            <w:gridSpan w:val="2"/>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 xml:space="preserve">Plazas básicas </w:t>
            </w:r>
          </w:p>
        </w:tc>
        <w:tc>
          <w:tcPr>
            <w:tcW w:w="1417" w:type="dxa"/>
            <w:tcBorders>
              <w:top w:val="single" w:sz="2" w:space="0" w:color="auto"/>
              <w:left w:val="nil"/>
              <w:bottom w:val="single" w:sz="4" w:space="0" w:color="auto"/>
              <w:right w:val="nil"/>
            </w:tcBorders>
            <w:vAlign w:val="center"/>
          </w:tcPr>
          <w:p w:rsidR="00B01865" w:rsidRPr="00B01865" w:rsidRDefault="00B01865" w:rsidP="00B01865">
            <w:pPr>
              <w:spacing w:after="0"/>
              <w:jc w:val="right"/>
              <w:rPr>
                <w:rFonts w:ascii="Arial Narrow" w:hAnsi="Arial Narrow" w:cs="Arial"/>
              </w:rPr>
            </w:pPr>
            <w:r w:rsidRPr="00B01865">
              <w:rPr>
                <w:rFonts w:ascii="Arial Narrow" w:hAnsi="Arial Narrow" w:cs="Arial"/>
              </w:rPr>
              <w:t>15.618</w:t>
            </w:r>
          </w:p>
        </w:tc>
        <w:tc>
          <w:tcPr>
            <w:tcW w:w="1382" w:type="dxa"/>
            <w:tcBorders>
              <w:top w:val="single" w:sz="2" w:space="0" w:color="auto"/>
              <w:left w:val="nil"/>
              <w:bottom w:val="single" w:sz="4" w:space="0" w:color="auto"/>
              <w:right w:val="nil"/>
            </w:tcBorders>
            <w:vAlign w:val="center"/>
          </w:tcPr>
          <w:p w:rsidR="00B01865" w:rsidRPr="00B01865" w:rsidRDefault="00B01865" w:rsidP="00B01865">
            <w:pPr>
              <w:spacing w:after="0"/>
              <w:jc w:val="right"/>
              <w:rPr>
                <w:rFonts w:ascii="Arial Narrow" w:hAnsi="Arial Narrow" w:cs="Arial"/>
              </w:rPr>
            </w:pPr>
            <w:r w:rsidRPr="00B01865">
              <w:rPr>
                <w:rFonts w:ascii="Arial Narrow" w:hAnsi="Arial Narrow" w:cs="Arial"/>
              </w:rPr>
              <w:t>14.948</w:t>
            </w:r>
          </w:p>
        </w:tc>
      </w:tr>
      <w:tr w:rsidR="00B01865" w:rsidRPr="00B01865" w:rsidTr="00B01865">
        <w:trPr>
          <w:trHeight w:val="255"/>
          <w:jc w:val="center"/>
        </w:trPr>
        <w:tc>
          <w:tcPr>
            <w:tcW w:w="6025" w:type="dxa"/>
            <w:gridSpan w:val="2"/>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lang w:val="es-ES" w:eastAsia="es-ES"/>
              </w:rPr>
            </w:pPr>
            <w:r w:rsidRPr="00B01865">
              <w:rPr>
                <w:rFonts w:ascii="Arial" w:hAnsi="Arial" w:cs="Arial"/>
                <w:spacing w:val="6"/>
                <w:sz w:val="18"/>
                <w:szCs w:val="18"/>
                <w:lang w:val="es-ES" w:eastAsia="es-ES"/>
              </w:rPr>
              <w:t>Total plazas cubiertas</w:t>
            </w:r>
          </w:p>
        </w:tc>
        <w:tc>
          <w:tcPr>
            <w:tcW w:w="1417"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lang w:val="es-ES" w:eastAsia="es-ES"/>
              </w:rPr>
            </w:pPr>
            <w:r w:rsidRPr="00B01865">
              <w:rPr>
                <w:rFonts w:ascii="Arial" w:hAnsi="Arial"/>
                <w:spacing w:val="6"/>
                <w:sz w:val="18"/>
                <w:szCs w:val="24"/>
                <w:lang w:val="es-ES" w:eastAsia="es-ES"/>
              </w:rPr>
              <w:t>17.194</w:t>
            </w:r>
          </w:p>
        </w:tc>
        <w:tc>
          <w:tcPr>
            <w:tcW w:w="1382"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lang w:val="es-ES" w:eastAsia="es-ES"/>
              </w:rPr>
            </w:pPr>
            <w:r w:rsidRPr="00B01865">
              <w:rPr>
                <w:rFonts w:ascii="Arial" w:hAnsi="Arial"/>
                <w:spacing w:val="6"/>
                <w:sz w:val="18"/>
                <w:szCs w:val="24"/>
                <w:lang w:val="es-ES" w:eastAsia="es-ES"/>
              </w:rPr>
              <w:t>16.576</w:t>
            </w:r>
          </w:p>
        </w:tc>
      </w:tr>
    </w:tbl>
    <w:p w:rsidR="00B01865" w:rsidRPr="00B01865" w:rsidRDefault="00B01865" w:rsidP="00757D0D">
      <w:pPr>
        <w:pStyle w:val="texto"/>
        <w:spacing w:before="240"/>
      </w:pPr>
      <w:r w:rsidRPr="00B01865">
        <w:lastRenderedPageBreak/>
        <w:t>Sobre 2016, la variación porcentual más significativa se detecta en las plazas básicas que, en 2017, disminuyen un cuatro por ciento, esto es, 670 plazas; por otro lado, las plazas destinadas a jefaturas cubiertas aumentan un tres por cie</w:t>
      </w:r>
      <w:r w:rsidRPr="00B01865">
        <w:t>n</w:t>
      </w:r>
      <w:r w:rsidRPr="00B01865">
        <w:t>to (51 plazas).</w:t>
      </w:r>
    </w:p>
    <w:p w:rsidR="00B01865" w:rsidRPr="00B01865" w:rsidRDefault="00B01865" w:rsidP="00757D0D">
      <w:pPr>
        <w:pStyle w:val="texto"/>
      </w:pPr>
      <w:r w:rsidRPr="00B01865">
        <w:t>Según consta en la memoria de las Cuentas Generales, 2.423 plazas no están ocupadas por sus titulares por varios motivos: excedencias, reservas por jefat</w:t>
      </w:r>
      <w:r w:rsidRPr="00B01865">
        <w:t>u</w:t>
      </w:r>
      <w:r w:rsidRPr="00B01865">
        <w:t>ras, comisiones de servicios, servicios especiales por formación, perfeccion</w:t>
      </w:r>
      <w:r w:rsidRPr="00B01865">
        <w:t>a</w:t>
      </w:r>
      <w:r w:rsidRPr="00B01865">
        <w:t>miento o investigación, etc.</w:t>
      </w:r>
    </w:p>
    <w:p w:rsidR="00B01865" w:rsidRPr="00B01865" w:rsidRDefault="00B01865" w:rsidP="00757D0D">
      <w:pPr>
        <w:pStyle w:val="texto"/>
        <w:spacing w:after="240"/>
        <w:rPr>
          <w:lang w:val="es-ES"/>
        </w:rPr>
      </w:pPr>
      <w:r w:rsidRPr="00B01865">
        <w:rPr>
          <w:lang w:val="es-ES"/>
        </w:rPr>
        <w:t>La relación, situación y evolución de las plazas vacantes sobre el total de puestos se observa en el siguiente cuadro:</w:t>
      </w:r>
    </w:p>
    <w:tbl>
      <w:tblPr>
        <w:tblW w:w="8841" w:type="dxa"/>
        <w:jc w:val="center"/>
        <w:tblBorders>
          <w:top w:val="single" w:sz="4" w:space="0" w:color="auto"/>
          <w:bottom w:val="single" w:sz="4" w:space="0" w:color="auto"/>
          <w:insideH w:val="single" w:sz="4" w:space="0" w:color="auto"/>
        </w:tblBorders>
        <w:tblCellMar>
          <w:top w:w="10" w:type="dxa"/>
          <w:left w:w="10" w:type="dxa"/>
          <w:bottom w:w="10" w:type="dxa"/>
          <w:right w:w="10" w:type="dxa"/>
        </w:tblCellMar>
        <w:tblLook w:val="04A0" w:firstRow="1" w:lastRow="0" w:firstColumn="1" w:lastColumn="0" w:noHBand="0" w:noVBand="1"/>
      </w:tblPr>
      <w:tblGrid>
        <w:gridCol w:w="5813"/>
        <w:gridCol w:w="1632"/>
        <w:gridCol w:w="1396"/>
      </w:tblGrid>
      <w:tr w:rsidR="00B01865" w:rsidRPr="00B01865" w:rsidTr="00B01865">
        <w:trPr>
          <w:trHeight w:val="255"/>
          <w:jc w:val="center"/>
        </w:trPr>
        <w:tc>
          <w:tcPr>
            <w:tcW w:w="5813" w:type="dxa"/>
            <w:tcBorders>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Concepto</w:t>
            </w:r>
          </w:p>
        </w:tc>
        <w:tc>
          <w:tcPr>
            <w:tcW w:w="1632" w:type="dxa"/>
            <w:tcBorders>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2016</w:t>
            </w:r>
          </w:p>
        </w:tc>
        <w:tc>
          <w:tcPr>
            <w:tcW w:w="1396" w:type="dxa"/>
            <w:tcBorders>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2017</w:t>
            </w:r>
          </w:p>
        </w:tc>
      </w:tr>
      <w:tr w:rsidR="00B01865" w:rsidRPr="00B01865" w:rsidTr="008E6EE6">
        <w:trPr>
          <w:trHeight w:val="198"/>
          <w:jc w:val="center"/>
        </w:trPr>
        <w:tc>
          <w:tcPr>
            <w:tcW w:w="5813" w:type="dxa"/>
            <w:tcBorders>
              <w:bottom w:val="single" w:sz="2" w:space="0" w:color="auto"/>
            </w:tcBorders>
            <w:vAlign w:val="center"/>
            <w:hideMark/>
          </w:tcPr>
          <w:p w:rsidR="00B01865" w:rsidRPr="00B01865" w:rsidRDefault="00B01865" w:rsidP="00B01865">
            <w:pPr>
              <w:spacing w:after="0"/>
              <w:ind w:firstLine="0"/>
              <w:jc w:val="left"/>
              <w:rPr>
                <w:rFonts w:ascii="Arial Narrow" w:hAnsi="Arial Narrow" w:cs="Arial"/>
              </w:rPr>
            </w:pPr>
            <w:r w:rsidRPr="00B01865">
              <w:rPr>
                <w:rFonts w:ascii="Arial Narrow" w:hAnsi="Arial Narrow" w:cs="Arial"/>
              </w:rPr>
              <w:t>Total puestos</w:t>
            </w:r>
          </w:p>
        </w:tc>
        <w:tc>
          <w:tcPr>
            <w:tcW w:w="1632" w:type="dxa"/>
            <w:tcBorders>
              <w:bottom w:val="single" w:sz="2" w:space="0" w:color="auto"/>
            </w:tcBorders>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22.681</w:t>
            </w:r>
          </w:p>
        </w:tc>
        <w:tc>
          <w:tcPr>
            <w:tcW w:w="1396" w:type="dxa"/>
            <w:tcBorders>
              <w:bottom w:val="single" w:sz="2" w:space="0" w:color="auto"/>
            </w:tcBorders>
            <w:vAlign w:val="center"/>
          </w:tcPr>
          <w:p w:rsidR="00B01865" w:rsidRPr="00B01865" w:rsidRDefault="00B01865" w:rsidP="00B01865">
            <w:pPr>
              <w:spacing w:after="0"/>
              <w:jc w:val="right"/>
              <w:rPr>
                <w:rFonts w:ascii="Arial Narrow" w:hAnsi="Arial Narrow" w:cs="Arial"/>
              </w:rPr>
            </w:pPr>
            <w:r w:rsidRPr="00B01865">
              <w:rPr>
                <w:rFonts w:ascii="Arial Narrow" w:hAnsi="Arial Narrow" w:cs="Arial"/>
              </w:rPr>
              <w:t>22.917</w:t>
            </w:r>
          </w:p>
        </w:tc>
      </w:tr>
      <w:tr w:rsidR="00B01865" w:rsidRPr="00B01865" w:rsidTr="008E6EE6">
        <w:trPr>
          <w:trHeight w:val="198"/>
          <w:jc w:val="center"/>
        </w:trPr>
        <w:tc>
          <w:tcPr>
            <w:tcW w:w="5813" w:type="dxa"/>
            <w:tcBorders>
              <w:top w:val="single" w:sz="2" w:space="0" w:color="auto"/>
              <w:bottom w:val="single" w:sz="2" w:space="0" w:color="auto"/>
            </w:tcBorders>
            <w:vAlign w:val="center"/>
            <w:hideMark/>
          </w:tcPr>
          <w:p w:rsidR="00B01865" w:rsidRPr="00B01865" w:rsidRDefault="00B01865" w:rsidP="00B01865">
            <w:pPr>
              <w:spacing w:after="0"/>
              <w:ind w:firstLine="0"/>
              <w:jc w:val="left"/>
              <w:rPr>
                <w:rFonts w:ascii="Arial Narrow" w:hAnsi="Arial Narrow" w:cs="Arial"/>
              </w:rPr>
            </w:pPr>
            <w:r w:rsidRPr="00B01865">
              <w:rPr>
                <w:rFonts w:ascii="Arial Narrow" w:hAnsi="Arial Narrow" w:cs="Arial"/>
              </w:rPr>
              <w:t>Vacantes</w:t>
            </w:r>
          </w:p>
        </w:tc>
        <w:tc>
          <w:tcPr>
            <w:tcW w:w="1632" w:type="dxa"/>
            <w:tcBorders>
              <w:top w:val="single" w:sz="2" w:space="0" w:color="auto"/>
              <w:bottom w:val="single" w:sz="2" w:space="0" w:color="auto"/>
            </w:tcBorders>
            <w:vAlign w:val="center"/>
            <w:hideMark/>
          </w:tcPr>
          <w:p w:rsidR="00B01865" w:rsidRPr="00B01865" w:rsidRDefault="00B01865" w:rsidP="00B01865">
            <w:pPr>
              <w:tabs>
                <w:tab w:val="left" w:pos="817"/>
              </w:tabs>
              <w:spacing w:after="0"/>
              <w:ind w:firstLine="0"/>
              <w:jc w:val="right"/>
              <w:rPr>
                <w:rFonts w:ascii="Arial Narrow" w:hAnsi="Arial Narrow" w:cs="Arial"/>
              </w:rPr>
            </w:pPr>
            <w:r w:rsidRPr="00B01865">
              <w:rPr>
                <w:rFonts w:ascii="Arial Narrow" w:hAnsi="Arial Narrow" w:cs="Arial"/>
              </w:rPr>
              <w:t>5.487</w:t>
            </w:r>
          </w:p>
        </w:tc>
        <w:tc>
          <w:tcPr>
            <w:tcW w:w="1396" w:type="dxa"/>
            <w:tcBorders>
              <w:top w:val="single" w:sz="2" w:space="0" w:color="auto"/>
              <w:bottom w:val="single" w:sz="2" w:space="0" w:color="auto"/>
            </w:tcBorders>
            <w:vAlign w:val="center"/>
          </w:tcPr>
          <w:p w:rsidR="00B01865" w:rsidRPr="00B01865" w:rsidRDefault="00B01865" w:rsidP="00B01865">
            <w:pPr>
              <w:tabs>
                <w:tab w:val="left" w:pos="817"/>
              </w:tabs>
              <w:spacing w:after="0"/>
              <w:ind w:firstLine="0"/>
              <w:jc w:val="right"/>
              <w:rPr>
                <w:rFonts w:ascii="Arial Narrow" w:hAnsi="Arial Narrow" w:cs="Arial"/>
              </w:rPr>
            </w:pPr>
            <w:r w:rsidRPr="00B01865">
              <w:rPr>
                <w:rFonts w:ascii="Arial Narrow" w:hAnsi="Arial Narrow" w:cs="Arial"/>
              </w:rPr>
              <w:t>6.341</w:t>
            </w:r>
          </w:p>
        </w:tc>
      </w:tr>
      <w:tr w:rsidR="00B01865" w:rsidRPr="00B01865" w:rsidTr="008E6EE6">
        <w:trPr>
          <w:trHeight w:val="198"/>
          <w:jc w:val="center"/>
        </w:trPr>
        <w:tc>
          <w:tcPr>
            <w:tcW w:w="5813" w:type="dxa"/>
            <w:tcBorders>
              <w:top w:val="single" w:sz="2" w:space="0" w:color="auto"/>
              <w:bottom w:val="single" w:sz="2" w:space="0" w:color="auto"/>
            </w:tcBorders>
            <w:vAlign w:val="center"/>
            <w:hideMark/>
          </w:tcPr>
          <w:p w:rsidR="00B01865" w:rsidRPr="00B01865" w:rsidRDefault="00B01865" w:rsidP="00B01865">
            <w:pPr>
              <w:spacing w:after="0"/>
              <w:ind w:firstLine="0"/>
              <w:jc w:val="left"/>
              <w:rPr>
                <w:rFonts w:ascii="Arial Narrow" w:hAnsi="Arial Narrow" w:cs="Arial"/>
              </w:rPr>
            </w:pPr>
            <w:r w:rsidRPr="00B01865">
              <w:rPr>
                <w:rFonts w:ascii="Arial Narrow" w:hAnsi="Arial Narrow" w:cs="Arial"/>
              </w:rPr>
              <w:t>% Vacantes sobre total puestos</w:t>
            </w:r>
          </w:p>
        </w:tc>
        <w:tc>
          <w:tcPr>
            <w:tcW w:w="1632" w:type="dxa"/>
            <w:tcBorders>
              <w:top w:val="single" w:sz="2" w:space="0" w:color="auto"/>
              <w:bottom w:val="single" w:sz="2" w:space="0" w:color="auto"/>
            </w:tcBorders>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24</w:t>
            </w:r>
          </w:p>
        </w:tc>
        <w:tc>
          <w:tcPr>
            <w:tcW w:w="1396" w:type="dxa"/>
            <w:tcBorders>
              <w:top w:val="single" w:sz="2" w:space="0" w:color="auto"/>
              <w:bottom w:val="single" w:sz="2" w:space="0" w:color="auto"/>
            </w:tcBorders>
            <w:vAlign w:val="center"/>
          </w:tcPr>
          <w:p w:rsidR="00B01865" w:rsidRPr="00B01865" w:rsidRDefault="00B01865" w:rsidP="00B01865">
            <w:pPr>
              <w:spacing w:after="0"/>
              <w:jc w:val="right"/>
              <w:rPr>
                <w:rFonts w:ascii="Arial Narrow" w:hAnsi="Arial Narrow" w:cs="Arial"/>
              </w:rPr>
            </w:pPr>
            <w:r w:rsidRPr="00B01865">
              <w:rPr>
                <w:rFonts w:ascii="Arial Narrow" w:hAnsi="Arial Narrow" w:cs="Arial"/>
              </w:rPr>
              <w:t>28</w:t>
            </w:r>
          </w:p>
        </w:tc>
      </w:tr>
      <w:tr w:rsidR="00B01865" w:rsidRPr="00B01865" w:rsidTr="008E6EE6">
        <w:trPr>
          <w:trHeight w:val="198"/>
          <w:jc w:val="center"/>
        </w:trPr>
        <w:tc>
          <w:tcPr>
            <w:tcW w:w="5813" w:type="dxa"/>
            <w:tcBorders>
              <w:top w:val="single" w:sz="2" w:space="0" w:color="auto"/>
              <w:bottom w:val="single" w:sz="2" w:space="0" w:color="auto"/>
            </w:tcBorders>
            <w:vAlign w:val="center"/>
            <w:hideMark/>
          </w:tcPr>
          <w:p w:rsidR="00B01865" w:rsidRPr="00B01865" w:rsidRDefault="00B01865" w:rsidP="00B01865">
            <w:pPr>
              <w:spacing w:after="0"/>
              <w:ind w:firstLine="0"/>
              <w:jc w:val="left"/>
              <w:rPr>
                <w:rFonts w:ascii="Arial Narrow" w:hAnsi="Arial Narrow" w:cs="Arial"/>
              </w:rPr>
            </w:pPr>
            <w:r w:rsidRPr="00B01865">
              <w:rPr>
                <w:rFonts w:ascii="Arial Narrow" w:hAnsi="Arial Narrow" w:cs="Arial"/>
              </w:rPr>
              <w:t>Vacantes cubiertas temporalmente</w:t>
            </w:r>
          </w:p>
        </w:tc>
        <w:tc>
          <w:tcPr>
            <w:tcW w:w="1632" w:type="dxa"/>
            <w:tcBorders>
              <w:top w:val="single" w:sz="2" w:space="0" w:color="auto"/>
              <w:bottom w:val="single" w:sz="2" w:space="0" w:color="auto"/>
            </w:tcBorders>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3.447</w:t>
            </w:r>
          </w:p>
        </w:tc>
        <w:tc>
          <w:tcPr>
            <w:tcW w:w="1396" w:type="dxa"/>
            <w:tcBorders>
              <w:top w:val="single" w:sz="2" w:space="0" w:color="auto"/>
              <w:bottom w:val="single" w:sz="2" w:space="0" w:color="auto"/>
            </w:tcBorders>
            <w:vAlign w:val="center"/>
          </w:tcPr>
          <w:p w:rsidR="00B01865" w:rsidRPr="00B01865" w:rsidRDefault="00B01865" w:rsidP="00B01865">
            <w:pPr>
              <w:spacing w:after="0"/>
              <w:jc w:val="right"/>
              <w:rPr>
                <w:rFonts w:ascii="Arial Narrow" w:hAnsi="Arial Narrow" w:cs="Arial"/>
              </w:rPr>
            </w:pPr>
            <w:r w:rsidRPr="00B01865">
              <w:rPr>
                <w:rFonts w:ascii="Arial Narrow" w:hAnsi="Arial Narrow" w:cs="Arial"/>
              </w:rPr>
              <w:t>3.916</w:t>
            </w:r>
          </w:p>
        </w:tc>
      </w:tr>
      <w:tr w:rsidR="00B01865" w:rsidRPr="00B01865" w:rsidTr="008E6EE6">
        <w:trPr>
          <w:trHeight w:val="198"/>
          <w:jc w:val="center"/>
        </w:trPr>
        <w:tc>
          <w:tcPr>
            <w:tcW w:w="5813" w:type="dxa"/>
            <w:tcBorders>
              <w:top w:val="single" w:sz="2" w:space="0" w:color="auto"/>
            </w:tcBorders>
            <w:vAlign w:val="center"/>
            <w:hideMark/>
          </w:tcPr>
          <w:p w:rsidR="00B01865" w:rsidRPr="00B01865" w:rsidRDefault="00B01865" w:rsidP="008E6EE6">
            <w:pPr>
              <w:spacing w:after="0"/>
              <w:ind w:firstLine="0"/>
              <w:jc w:val="left"/>
              <w:rPr>
                <w:rFonts w:ascii="Arial Narrow" w:hAnsi="Arial Narrow" w:cs="Arial"/>
              </w:rPr>
            </w:pPr>
            <w:r w:rsidRPr="00B01865">
              <w:rPr>
                <w:rFonts w:ascii="Arial Narrow" w:hAnsi="Arial Narrow" w:cs="Arial"/>
              </w:rPr>
              <w:t xml:space="preserve">% </w:t>
            </w:r>
            <w:r w:rsidR="008E6EE6">
              <w:rPr>
                <w:rFonts w:ascii="Arial Narrow" w:hAnsi="Arial Narrow" w:cs="Arial"/>
              </w:rPr>
              <w:t>v</w:t>
            </w:r>
            <w:r w:rsidRPr="00B01865">
              <w:rPr>
                <w:rFonts w:ascii="Arial Narrow" w:hAnsi="Arial Narrow" w:cs="Arial"/>
              </w:rPr>
              <w:t>acantes cubiertas sobre total vacantes</w:t>
            </w:r>
          </w:p>
        </w:tc>
        <w:tc>
          <w:tcPr>
            <w:tcW w:w="1632" w:type="dxa"/>
            <w:tcBorders>
              <w:top w:val="single" w:sz="2" w:space="0" w:color="auto"/>
            </w:tcBorders>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63</w:t>
            </w:r>
          </w:p>
        </w:tc>
        <w:tc>
          <w:tcPr>
            <w:tcW w:w="1396" w:type="dxa"/>
            <w:tcBorders>
              <w:top w:val="single" w:sz="2" w:space="0" w:color="auto"/>
            </w:tcBorders>
            <w:vAlign w:val="center"/>
          </w:tcPr>
          <w:p w:rsidR="00B01865" w:rsidRPr="00B01865" w:rsidRDefault="00B01865" w:rsidP="00B01865">
            <w:pPr>
              <w:spacing w:after="0"/>
              <w:jc w:val="right"/>
              <w:rPr>
                <w:rFonts w:ascii="Arial Narrow" w:hAnsi="Arial Narrow" w:cs="Arial"/>
              </w:rPr>
            </w:pPr>
            <w:r w:rsidRPr="00B01865">
              <w:rPr>
                <w:rFonts w:ascii="Arial Narrow" w:hAnsi="Arial Narrow" w:cs="Arial"/>
              </w:rPr>
              <w:t>62</w:t>
            </w:r>
          </w:p>
        </w:tc>
      </w:tr>
    </w:tbl>
    <w:p w:rsidR="00B01865" w:rsidRDefault="00B01865" w:rsidP="008E6EE6">
      <w:pPr>
        <w:pStyle w:val="texto"/>
        <w:spacing w:before="240"/>
        <w:rPr>
          <w:lang w:val="es-ES"/>
        </w:rPr>
      </w:pPr>
      <w:r w:rsidRPr="00B01865">
        <w:rPr>
          <w:lang w:val="es-ES"/>
        </w:rPr>
        <w:t xml:space="preserve">En 2017, el 28 por ciento del total de puestos estaban vacantes y dentro de </w:t>
      </w:r>
      <w:r w:rsidR="00904024">
        <w:rPr>
          <w:lang w:val="es-ES"/>
        </w:rPr>
        <w:t>e</w:t>
      </w:r>
      <w:r w:rsidRPr="00B01865">
        <w:rPr>
          <w:lang w:val="es-ES"/>
        </w:rPr>
        <w:t>stos, el 62 por ciento se hallaban ocupados temporalmente. En 2016, esos po</w:t>
      </w:r>
      <w:r w:rsidRPr="00B01865">
        <w:rPr>
          <w:lang w:val="es-ES"/>
        </w:rPr>
        <w:t>r</w:t>
      </w:r>
      <w:r w:rsidRPr="00B01865">
        <w:rPr>
          <w:lang w:val="es-ES"/>
        </w:rPr>
        <w:t xml:space="preserve">centajes eran del 24 y 63 por ciento, respectivamente. </w:t>
      </w:r>
    </w:p>
    <w:p w:rsidR="009E512D" w:rsidRPr="006860D5" w:rsidRDefault="00657CF6" w:rsidP="00657CF6">
      <w:pPr>
        <w:pStyle w:val="texto"/>
        <w:rPr>
          <w:rFonts w:cs="Arial"/>
        </w:rPr>
      </w:pPr>
      <w:r>
        <w:rPr>
          <w:lang w:val="es-ES"/>
        </w:rPr>
        <w:t xml:space="preserve">Hemos verificado que </w:t>
      </w:r>
      <w:r w:rsidR="009E512D" w:rsidRPr="00B01865">
        <w:rPr>
          <w:lang w:val="es-ES"/>
        </w:rPr>
        <w:t>los datos contenidos en la plantilla orgánica y la i</w:t>
      </w:r>
      <w:r w:rsidR="009E512D" w:rsidRPr="00B01865">
        <w:rPr>
          <w:lang w:val="es-ES"/>
        </w:rPr>
        <w:t>n</w:t>
      </w:r>
      <w:r w:rsidR="009E512D" w:rsidRPr="00B01865">
        <w:rPr>
          <w:lang w:val="es-ES"/>
        </w:rPr>
        <w:t xml:space="preserve">formación aportada al respecto en la memoria de las Cuentas Generales </w:t>
      </w:r>
      <w:r>
        <w:rPr>
          <w:lang w:val="es-ES"/>
        </w:rPr>
        <w:t xml:space="preserve">son coincidentes, a excepción del </w:t>
      </w:r>
      <w:r w:rsidR="009E512D" w:rsidRPr="008E6EE6">
        <w:rPr>
          <w:rFonts w:cs="Arial"/>
        </w:rPr>
        <w:t>número de personas en comisión de servicios en la administración</w:t>
      </w:r>
      <w:r>
        <w:rPr>
          <w:rFonts w:cs="Arial"/>
        </w:rPr>
        <w:t>, que</w:t>
      </w:r>
      <w:r w:rsidR="009E512D" w:rsidRPr="008E6EE6">
        <w:rPr>
          <w:rFonts w:cs="Arial"/>
        </w:rPr>
        <w:t xml:space="preserve"> según la memoria asciende a 562, mientras que la plant</w:t>
      </w:r>
      <w:r w:rsidR="009E512D" w:rsidRPr="008E6EE6">
        <w:rPr>
          <w:rFonts w:cs="Arial"/>
        </w:rPr>
        <w:t>i</w:t>
      </w:r>
      <w:r w:rsidR="009E512D" w:rsidRPr="008E6EE6">
        <w:rPr>
          <w:rFonts w:cs="Arial"/>
        </w:rPr>
        <w:t>lla indica que son 620 las que se encuentran en esta situación; hemos constat</w:t>
      </w:r>
      <w:r w:rsidR="009E512D" w:rsidRPr="008E6EE6">
        <w:rPr>
          <w:rFonts w:cs="Arial"/>
        </w:rPr>
        <w:t>a</w:t>
      </w:r>
      <w:r w:rsidR="009E512D" w:rsidRPr="008E6EE6">
        <w:rPr>
          <w:rFonts w:cs="Arial"/>
        </w:rPr>
        <w:t xml:space="preserve">do que el dato correcto es el que </w:t>
      </w:r>
      <w:r w:rsidR="009E512D" w:rsidRPr="006860D5">
        <w:rPr>
          <w:rFonts w:cs="Arial"/>
        </w:rPr>
        <w:t>se indica en la plantilla.</w:t>
      </w:r>
    </w:p>
    <w:p w:rsidR="00B01865" w:rsidRPr="00B01865" w:rsidRDefault="00B01865" w:rsidP="008E6EE6">
      <w:pPr>
        <w:pStyle w:val="texto"/>
        <w:rPr>
          <w:lang w:val="es-ES"/>
        </w:rPr>
      </w:pPr>
      <w:r w:rsidRPr="00B01865">
        <w:rPr>
          <w:lang w:val="es-ES"/>
        </w:rPr>
        <w:t>El Gobierno aprobó mediante Decreto Foral diez modificaciones de plantilla para amortizar 73 plazas (37 de la Administración Núcleo, 33 del SNS-O y tres del Departamento de Educación) y crear 138 (109 para Administración Núcleo, 26 para el SNS-O y tres para Educación). Además, se crearon en el SNS-O 99 plazas para consolidar empleo estructural y 38 plazas para acometer el proceso de reversión del servicio de alimentación en el Complejo Hospitalario de Nav</w:t>
      </w:r>
      <w:r w:rsidRPr="00B01865">
        <w:rPr>
          <w:lang w:val="es-ES"/>
        </w:rPr>
        <w:t>a</w:t>
      </w:r>
      <w:r w:rsidRPr="00B01865">
        <w:rPr>
          <w:lang w:val="es-ES"/>
        </w:rPr>
        <w:t>rra.</w:t>
      </w:r>
    </w:p>
    <w:p w:rsidR="00B01865" w:rsidRPr="00B01865" w:rsidRDefault="00B01865" w:rsidP="008E6EE6">
      <w:pPr>
        <w:pStyle w:val="texto"/>
        <w:rPr>
          <w:lang w:val="es-ES"/>
        </w:rPr>
      </w:pPr>
      <w:r w:rsidRPr="00B01865">
        <w:rPr>
          <w:lang w:val="es-ES"/>
        </w:rPr>
        <w:t>Del análisis de estas modificaciones hemos verificado que todas se han i</w:t>
      </w:r>
      <w:r w:rsidRPr="00B01865">
        <w:rPr>
          <w:lang w:val="es-ES"/>
        </w:rPr>
        <w:t>n</w:t>
      </w:r>
      <w:r w:rsidRPr="00B01865">
        <w:rPr>
          <w:lang w:val="es-ES"/>
        </w:rPr>
        <w:t>corporado a</w:t>
      </w:r>
      <w:r w:rsidR="009E512D">
        <w:rPr>
          <w:lang w:val="es-ES"/>
        </w:rPr>
        <w:t xml:space="preserve"> la plantilla, si bien en la agregación realizada de </w:t>
      </w:r>
      <w:r w:rsidR="009E512D" w:rsidRPr="00B01865">
        <w:rPr>
          <w:lang w:val="es-ES"/>
        </w:rPr>
        <w:t>184 plazas de pr</w:t>
      </w:r>
      <w:r w:rsidR="009E512D" w:rsidRPr="00B01865">
        <w:rPr>
          <w:lang w:val="es-ES"/>
        </w:rPr>
        <w:t>o</w:t>
      </w:r>
      <w:r w:rsidR="009E512D" w:rsidRPr="00B01865">
        <w:rPr>
          <w:lang w:val="es-ES"/>
        </w:rPr>
        <w:t>fesor de Educación Secundaria y 27 de profesor de Formación Profesional</w:t>
      </w:r>
      <w:r w:rsidR="009E512D">
        <w:rPr>
          <w:lang w:val="es-ES"/>
        </w:rPr>
        <w:t xml:space="preserve"> no se añadió la </w:t>
      </w:r>
      <w:r w:rsidRPr="00B01865">
        <w:rPr>
          <w:lang w:val="es-ES"/>
        </w:rPr>
        <w:t>determinación de especialidad e idioma.</w:t>
      </w:r>
    </w:p>
    <w:p w:rsidR="009E512D" w:rsidRDefault="00B01865" w:rsidP="008E6EE6">
      <w:pPr>
        <w:pStyle w:val="texto"/>
        <w:rPr>
          <w:lang w:val="es-ES"/>
        </w:rPr>
      </w:pPr>
      <w:r w:rsidRPr="00B01865">
        <w:rPr>
          <w:lang w:val="es-ES"/>
        </w:rPr>
        <w:t>A finales de diciembre de 2016 se aprobó una oferta parcial de empleo p</w:t>
      </w:r>
      <w:r w:rsidRPr="00B01865">
        <w:rPr>
          <w:lang w:val="es-ES"/>
        </w:rPr>
        <w:t>ú</w:t>
      </w:r>
      <w:r w:rsidRPr="00B01865">
        <w:rPr>
          <w:lang w:val="es-ES"/>
        </w:rPr>
        <w:t>blico en el Servicio de Bomberos de 18 plazas; posteriormente, en diciembre de 2017, se aprueba la oferta pública de empleo de la ACFN y sus OOAA de 566 plazas (SNS-O 219 plazas, Departamento de Educación 191 plazas, Admini</w:t>
      </w:r>
      <w:r w:rsidRPr="00B01865">
        <w:rPr>
          <w:lang w:val="es-ES"/>
        </w:rPr>
        <w:t>s</w:t>
      </w:r>
      <w:r w:rsidRPr="00B01865">
        <w:rPr>
          <w:lang w:val="es-ES"/>
        </w:rPr>
        <w:lastRenderedPageBreak/>
        <w:t xml:space="preserve">tración Núcleo 154 plazas e Instituto de Salud Pública dos) correspondientes a la tasa de reposición de personal de 2016. </w:t>
      </w:r>
    </w:p>
    <w:p w:rsidR="00B01865" w:rsidRPr="00B01865" w:rsidRDefault="00B01865" w:rsidP="008E6EE6">
      <w:pPr>
        <w:pStyle w:val="texto"/>
        <w:rPr>
          <w:lang w:val="es-ES"/>
        </w:rPr>
      </w:pPr>
      <w:r w:rsidRPr="00B01865">
        <w:rPr>
          <w:lang w:val="es-ES"/>
        </w:rPr>
        <w:t>En los decretos forales que aprobaron estas ofertas no se detallaba ni cale</w:t>
      </w:r>
      <w:r w:rsidRPr="00B01865">
        <w:rPr>
          <w:lang w:val="es-ES"/>
        </w:rPr>
        <w:t>n</w:t>
      </w:r>
      <w:r w:rsidRPr="00B01865">
        <w:rPr>
          <w:lang w:val="es-ES"/>
        </w:rPr>
        <w:t>dario previsto, ni fechas de convocatorias</w:t>
      </w:r>
      <w:r w:rsidR="008228A4">
        <w:rPr>
          <w:lang w:val="es-ES"/>
        </w:rPr>
        <w:t>, si bien se adjunta información al respecto en la página web de la ACFN</w:t>
      </w:r>
      <w:r w:rsidRPr="00B01865">
        <w:rPr>
          <w:lang w:val="es-ES"/>
        </w:rPr>
        <w:t>.</w:t>
      </w:r>
    </w:p>
    <w:p w:rsidR="00B01865" w:rsidRPr="00B01865" w:rsidRDefault="00B01865" w:rsidP="008E6EE6">
      <w:pPr>
        <w:pStyle w:val="texto"/>
        <w:rPr>
          <w:lang w:val="es-ES"/>
        </w:rPr>
      </w:pPr>
      <w:r w:rsidRPr="00B01865">
        <w:rPr>
          <w:lang w:val="es-ES"/>
        </w:rPr>
        <w:t>A la fecha de redacción de este informe, de la OPE de 2017 quedan pendie</w:t>
      </w:r>
      <w:r w:rsidRPr="00B01865">
        <w:rPr>
          <w:lang w:val="es-ES"/>
        </w:rPr>
        <w:t>n</w:t>
      </w:r>
      <w:r w:rsidRPr="00B01865">
        <w:rPr>
          <w:lang w:val="es-ES"/>
        </w:rPr>
        <w:t xml:space="preserve">tes de convocar todas las del ámbito sanitario, que está previsto que se tramiten junto a las resultantes de la oferta pública de empleo de 2018, 82 plazas de Administración Núcleo y 32 de Educación. </w:t>
      </w:r>
      <w:r w:rsidR="008228A4">
        <w:rPr>
          <w:lang w:val="es-ES"/>
        </w:rPr>
        <w:t>A la fecha de redacción de este i</w:t>
      </w:r>
      <w:r w:rsidR="008228A4">
        <w:rPr>
          <w:lang w:val="es-ES"/>
        </w:rPr>
        <w:t>n</w:t>
      </w:r>
      <w:r w:rsidR="008228A4">
        <w:rPr>
          <w:lang w:val="es-ES"/>
        </w:rPr>
        <w:t xml:space="preserve">forme, todas </w:t>
      </w:r>
      <w:r w:rsidRPr="00B01865">
        <w:rPr>
          <w:lang w:val="es-ES"/>
        </w:rPr>
        <w:t>las ofertas públicas de em</w:t>
      </w:r>
      <w:r w:rsidR="008228A4">
        <w:rPr>
          <w:lang w:val="es-ES"/>
        </w:rPr>
        <w:t>pleo anteriores están convocadas</w:t>
      </w:r>
      <w:r w:rsidRPr="00B01865">
        <w:rPr>
          <w:lang w:val="es-ES"/>
        </w:rPr>
        <w:t>.</w:t>
      </w:r>
    </w:p>
    <w:p w:rsidR="00B01865" w:rsidRDefault="00B01865" w:rsidP="008E6EE6">
      <w:pPr>
        <w:pStyle w:val="texto"/>
        <w:rPr>
          <w:lang w:val="es-ES"/>
        </w:rPr>
      </w:pPr>
      <w:r w:rsidRPr="00B01865">
        <w:rPr>
          <w:lang w:val="es-ES"/>
        </w:rPr>
        <w:t>Del análisis de la relación de personal hemos constatado que no se incluye información sobre el grado, contrariamente a lo establecido en el artículo 20 del Estatuto de Personal al servicio de las Administraciones Públicas de Nav</w:t>
      </w:r>
      <w:r w:rsidRPr="00B01865">
        <w:rPr>
          <w:lang w:val="es-ES"/>
        </w:rPr>
        <w:t>a</w:t>
      </w:r>
      <w:r w:rsidRPr="00B01865">
        <w:rPr>
          <w:lang w:val="es-ES"/>
        </w:rPr>
        <w:t>rra.</w:t>
      </w:r>
    </w:p>
    <w:p w:rsidR="006860D5" w:rsidRPr="00B01865" w:rsidRDefault="006860D5" w:rsidP="006860D5">
      <w:pPr>
        <w:spacing w:before="240" w:after="240"/>
        <w:ind w:firstLine="284"/>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t xml:space="preserve">Análisis </w:t>
      </w:r>
      <w:r w:rsidR="008C4202">
        <w:rPr>
          <w:rFonts w:ascii="Arial" w:hAnsi="Arial"/>
          <w:i/>
          <w:iCs/>
          <w:color w:val="000000"/>
          <w:spacing w:val="10"/>
          <w:kern w:val="28"/>
          <w:sz w:val="25"/>
          <w:szCs w:val="26"/>
          <w:lang w:val="es-ES"/>
        </w:rPr>
        <w:t xml:space="preserve">del </w:t>
      </w:r>
      <w:r>
        <w:rPr>
          <w:rFonts w:ascii="Arial" w:hAnsi="Arial"/>
          <w:i/>
          <w:iCs/>
          <w:color w:val="000000"/>
          <w:spacing w:val="10"/>
          <w:kern w:val="28"/>
          <w:sz w:val="25"/>
          <w:szCs w:val="26"/>
          <w:lang w:val="es-ES"/>
        </w:rPr>
        <w:t xml:space="preserve">personal fijo </w:t>
      </w:r>
      <w:r w:rsidR="00EA469E">
        <w:rPr>
          <w:rFonts w:ascii="Arial" w:hAnsi="Arial"/>
          <w:i/>
          <w:iCs/>
          <w:color w:val="000000"/>
          <w:spacing w:val="10"/>
          <w:kern w:val="28"/>
          <w:sz w:val="25"/>
          <w:szCs w:val="26"/>
          <w:lang w:val="es-ES"/>
        </w:rPr>
        <w:t xml:space="preserve">y temporal </w:t>
      </w:r>
      <w:r>
        <w:rPr>
          <w:rFonts w:ascii="Arial" w:hAnsi="Arial"/>
          <w:i/>
          <w:iCs/>
          <w:color w:val="000000"/>
          <w:spacing w:val="10"/>
          <w:kern w:val="28"/>
          <w:sz w:val="25"/>
          <w:szCs w:val="26"/>
          <w:lang w:val="es-ES"/>
        </w:rPr>
        <w:t xml:space="preserve">de las </w:t>
      </w:r>
      <w:r w:rsidR="00EA469E">
        <w:rPr>
          <w:rFonts w:ascii="Arial" w:hAnsi="Arial"/>
          <w:i/>
          <w:iCs/>
          <w:color w:val="000000"/>
          <w:spacing w:val="10"/>
          <w:kern w:val="28"/>
          <w:sz w:val="25"/>
          <w:szCs w:val="26"/>
          <w:lang w:val="es-ES"/>
        </w:rPr>
        <w:t>AAPP</w:t>
      </w:r>
      <w:r>
        <w:rPr>
          <w:rFonts w:ascii="Arial" w:hAnsi="Arial"/>
          <w:i/>
          <w:iCs/>
          <w:color w:val="000000"/>
          <w:spacing w:val="10"/>
          <w:kern w:val="28"/>
          <w:sz w:val="25"/>
          <w:szCs w:val="26"/>
          <w:lang w:val="es-ES"/>
        </w:rPr>
        <w:t xml:space="preserve"> de Navarra</w:t>
      </w:r>
    </w:p>
    <w:p w:rsidR="00B01865" w:rsidRPr="00B01865" w:rsidRDefault="00B01865" w:rsidP="00B01865">
      <w:pPr>
        <w:tabs>
          <w:tab w:val="center" w:pos="2835"/>
          <w:tab w:val="center" w:pos="3969"/>
          <w:tab w:val="center" w:pos="5103"/>
          <w:tab w:val="center" w:pos="6237"/>
          <w:tab w:val="center" w:pos="7371"/>
        </w:tabs>
        <w:spacing w:after="240"/>
        <w:ind w:firstLine="284"/>
        <w:rPr>
          <w:spacing w:val="6"/>
          <w:sz w:val="26"/>
          <w:szCs w:val="24"/>
          <w:lang w:val="es-ES"/>
        </w:rPr>
      </w:pPr>
      <w:r w:rsidRPr="00B01865">
        <w:rPr>
          <w:spacing w:val="6"/>
          <w:sz w:val="26"/>
          <w:szCs w:val="24"/>
          <w:lang w:val="es-ES"/>
        </w:rPr>
        <w:t>Hemos analizado el número de altas y bajas de personal fijo en el periodo 2013-2017 obteniendo los siguientes resultados:</w:t>
      </w:r>
    </w:p>
    <w:tbl>
      <w:tblPr>
        <w:tblStyle w:val="Tablaconcuadrcula"/>
        <w:tblW w:w="8847" w:type="dxa"/>
        <w:tblInd w:w="66" w:type="dxa"/>
        <w:tblBorders>
          <w:left w:val="none" w:sz="0" w:space="0" w:color="auto"/>
          <w:right w:val="none" w:sz="0" w:space="0" w:color="auto"/>
          <w:insideV w:val="none" w:sz="0" w:space="0" w:color="auto"/>
        </w:tblBorders>
        <w:tblLook w:val="04A0" w:firstRow="1" w:lastRow="0" w:firstColumn="1" w:lastColumn="0" w:noHBand="0" w:noVBand="1"/>
      </w:tblPr>
      <w:tblGrid>
        <w:gridCol w:w="2884"/>
        <w:gridCol w:w="842"/>
        <w:gridCol w:w="1024"/>
        <w:gridCol w:w="1024"/>
        <w:gridCol w:w="1024"/>
        <w:gridCol w:w="1024"/>
        <w:gridCol w:w="1025"/>
      </w:tblGrid>
      <w:tr w:rsidR="00B01865" w:rsidRPr="00B01865" w:rsidTr="00CC440F">
        <w:trPr>
          <w:trHeight w:val="255"/>
        </w:trPr>
        <w:tc>
          <w:tcPr>
            <w:tcW w:w="2884" w:type="dxa"/>
            <w:shd w:val="clear" w:color="auto" w:fill="8DB3E2" w:themeFill="text2" w:themeFillTint="66"/>
            <w:vAlign w:val="center"/>
          </w:tcPr>
          <w:p w:rsidR="00B01865" w:rsidRPr="00B01865" w:rsidRDefault="00B01865" w:rsidP="00AA133D">
            <w:pPr>
              <w:tabs>
                <w:tab w:val="center" w:pos="2835"/>
                <w:tab w:val="center" w:pos="3969"/>
                <w:tab w:val="center" w:pos="5103"/>
                <w:tab w:val="center" w:pos="6237"/>
                <w:tab w:val="center" w:pos="7371"/>
              </w:tabs>
              <w:spacing w:after="0" w:line="240" w:lineRule="atLeast"/>
              <w:ind w:firstLine="0"/>
              <w:rPr>
                <w:rFonts w:ascii="Arial" w:hAnsi="Arial" w:cs="Arial"/>
                <w:spacing w:val="6"/>
                <w:sz w:val="18"/>
                <w:szCs w:val="18"/>
                <w:lang w:val="es-ES"/>
              </w:rPr>
            </w:pPr>
          </w:p>
        </w:tc>
        <w:tc>
          <w:tcPr>
            <w:tcW w:w="842" w:type="dxa"/>
            <w:shd w:val="clear" w:color="auto" w:fill="8DB3E2" w:themeFill="text2" w:themeFillTint="66"/>
            <w:vAlign w:val="center"/>
          </w:tcPr>
          <w:p w:rsidR="00B01865" w:rsidRPr="00B01865" w:rsidRDefault="00B01865" w:rsidP="00CC440F">
            <w:pPr>
              <w:tabs>
                <w:tab w:val="center" w:pos="2835"/>
                <w:tab w:val="center" w:pos="3969"/>
                <w:tab w:val="center" w:pos="5103"/>
                <w:tab w:val="center" w:pos="6237"/>
                <w:tab w:val="center" w:pos="7371"/>
              </w:tabs>
              <w:spacing w:after="0" w:line="240" w:lineRule="atLeast"/>
              <w:ind w:left="-178" w:right="-78" w:firstLine="0"/>
              <w:jc w:val="right"/>
              <w:rPr>
                <w:rFonts w:ascii="Arial" w:hAnsi="Arial" w:cs="Arial"/>
                <w:spacing w:val="6"/>
                <w:sz w:val="18"/>
                <w:szCs w:val="18"/>
                <w:lang w:val="es-ES"/>
              </w:rPr>
            </w:pPr>
            <w:r w:rsidRPr="00B01865">
              <w:rPr>
                <w:rFonts w:ascii="Arial" w:hAnsi="Arial" w:cs="Arial"/>
                <w:spacing w:val="6"/>
                <w:sz w:val="18"/>
                <w:szCs w:val="18"/>
                <w:lang w:val="es-ES"/>
              </w:rPr>
              <w:t>2013</w:t>
            </w:r>
          </w:p>
        </w:tc>
        <w:tc>
          <w:tcPr>
            <w:tcW w:w="1024" w:type="dxa"/>
            <w:shd w:val="clear" w:color="auto" w:fill="8DB3E2" w:themeFill="text2" w:themeFillTint="66"/>
            <w:vAlign w:val="center"/>
          </w:tcPr>
          <w:p w:rsidR="00B01865" w:rsidRPr="00B01865" w:rsidRDefault="00B01865" w:rsidP="00AA133D">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B01865">
              <w:rPr>
                <w:rFonts w:ascii="Arial" w:hAnsi="Arial" w:cs="Arial"/>
                <w:spacing w:val="6"/>
                <w:sz w:val="18"/>
                <w:szCs w:val="18"/>
                <w:lang w:val="es-ES"/>
              </w:rPr>
              <w:t>2014</w:t>
            </w:r>
          </w:p>
        </w:tc>
        <w:tc>
          <w:tcPr>
            <w:tcW w:w="1024" w:type="dxa"/>
            <w:shd w:val="clear" w:color="auto" w:fill="8DB3E2" w:themeFill="text2" w:themeFillTint="66"/>
            <w:vAlign w:val="center"/>
          </w:tcPr>
          <w:p w:rsidR="00B01865" w:rsidRPr="00B01865" w:rsidRDefault="00B01865" w:rsidP="00AA133D">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B01865">
              <w:rPr>
                <w:rFonts w:ascii="Arial" w:hAnsi="Arial" w:cs="Arial"/>
                <w:spacing w:val="6"/>
                <w:sz w:val="18"/>
                <w:szCs w:val="18"/>
                <w:lang w:val="es-ES"/>
              </w:rPr>
              <w:t>2015</w:t>
            </w:r>
          </w:p>
        </w:tc>
        <w:tc>
          <w:tcPr>
            <w:tcW w:w="1024" w:type="dxa"/>
            <w:shd w:val="clear" w:color="auto" w:fill="8DB3E2" w:themeFill="text2" w:themeFillTint="66"/>
            <w:vAlign w:val="center"/>
          </w:tcPr>
          <w:p w:rsidR="00B01865" w:rsidRPr="00B01865" w:rsidRDefault="00B01865" w:rsidP="00AA133D">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B01865">
              <w:rPr>
                <w:rFonts w:ascii="Arial" w:hAnsi="Arial" w:cs="Arial"/>
                <w:spacing w:val="6"/>
                <w:sz w:val="18"/>
                <w:szCs w:val="18"/>
                <w:lang w:val="es-ES"/>
              </w:rPr>
              <w:t>2016</w:t>
            </w:r>
          </w:p>
        </w:tc>
        <w:tc>
          <w:tcPr>
            <w:tcW w:w="1024" w:type="dxa"/>
            <w:shd w:val="clear" w:color="auto" w:fill="8DB3E2" w:themeFill="text2" w:themeFillTint="66"/>
            <w:vAlign w:val="center"/>
          </w:tcPr>
          <w:p w:rsidR="00B01865" w:rsidRPr="00B01865" w:rsidRDefault="00B01865" w:rsidP="00AA133D">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B01865">
              <w:rPr>
                <w:rFonts w:ascii="Arial" w:hAnsi="Arial" w:cs="Arial"/>
                <w:spacing w:val="6"/>
                <w:sz w:val="18"/>
                <w:szCs w:val="18"/>
                <w:lang w:val="es-ES"/>
              </w:rPr>
              <w:t>2017</w:t>
            </w:r>
          </w:p>
        </w:tc>
        <w:tc>
          <w:tcPr>
            <w:tcW w:w="1025" w:type="dxa"/>
            <w:shd w:val="clear" w:color="auto" w:fill="8DB3E2" w:themeFill="text2" w:themeFillTint="66"/>
            <w:vAlign w:val="center"/>
          </w:tcPr>
          <w:p w:rsidR="00B01865" w:rsidRPr="00B01865" w:rsidRDefault="00B01865" w:rsidP="00AA133D">
            <w:pPr>
              <w:tabs>
                <w:tab w:val="center" w:pos="2835"/>
                <w:tab w:val="center" w:pos="3969"/>
                <w:tab w:val="center" w:pos="5103"/>
                <w:tab w:val="center" w:pos="6237"/>
                <w:tab w:val="center" w:pos="7371"/>
              </w:tabs>
              <w:spacing w:after="0" w:line="240" w:lineRule="atLeast"/>
              <w:ind w:firstLine="0"/>
              <w:jc w:val="right"/>
              <w:rPr>
                <w:rFonts w:ascii="Arial" w:hAnsi="Arial" w:cs="Arial"/>
                <w:spacing w:val="6"/>
                <w:sz w:val="18"/>
                <w:szCs w:val="18"/>
                <w:lang w:val="es-ES"/>
              </w:rPr>
            </w:pPr>
            <w:r w:rsidRPr="00B01865">
              <w:rPr>
                <w:rFonts w:ascii="Arial" w:hAnsi="Arial" w:cs="Arial"/>
                <w:spacing w:val="6"/>
                <w:sz w:val="18"/>
                <w:szCs w:val="18"/>
                <w:lang w:val="es-ES"/>
              </w:rPr>
              <w:t>Total</w:t>
            </w:r>
          </w:p>
        </w:tc>
      </w:tr>
      <w:tr w:rsidR="00B01865" w:rsidRPr="00B01865" w:rsidTr="00CC440F">
        <w:trPr>
          <w:trHeight w:val="198"/>
        </w:trPr>
        <w:tc>
          <w:tcPr>
            <w:tcW w:w="2884" w:type="dxa"/>
            <w:vAlign w:val="center"/>
          </w:tcPr>
          <w:p w:rsidR="00B01865" w:rsidRPr="00B01865" w:rsidRDefault="00B01865" w:rsidP="00B01865">
            <w:pPr>
              <w:tabs>
                <w:tab w:val="center" w:pos="2835"/>
                <w:tab w:val="center" w:pos="3969"/>
                <w:tab w:val="center" w:pos="5103"/>
                <w:tab w:val="center" w:pos="6237"/>
                <w:tab w:val="center" w:pos="7371"/>
              </w:tabs>
              <w:spacing w:after="0" w:line="240" w:lineRule="atLeast"/>
              <w:ind w:firstLine="0"/>
              <w:jc w:val="left"/>
              <w:rPr>
                <w:rFonts w:ascii="Arial" w:hAnsi="Arial" w:cs="Arial"/>
                <w:spacing w:val="6"/>
                <w:sz w:val="18"/>
                <w:szCs w:val="18"/>
                <w:lang w:val="es-ES"/>
              </w:rPr>
            </w:pPr>
            <w:r w:rsidRPr="00B01865">
              <w:rPr>
                <w:rFonts w:ascii="Arial" w:hAnsi="Arial" w:cs="Arial"/>
                <w:spacing w:val="6"/>
                <w:sz w:val="18"/>
                <w:szCs w:val="18"/>
                <w:lang w:val="es-ES"/>
              </w:rPr>
              <w:t>Altas:</w:t>
            </w:r>
          </w:p>
          <w:p w:rsidR="00B01865" w:rsidRPr="00B01865" w:rsidRDefault="00B01865" w:rsidP="008E6EE6">
            <w:pPr>
              <w:tabs>
                <w:tab w:val="center" w:pos="2835"/>
                <w:tab w:val="center" w:pos="3969"/>
                <w:tab w:val="center" w:pos="5103"/>
                <w:tab w:val="center" w:pos="6237"/>
                <w:tab w:val="center" w:pos="7371"/>
              </w:tabs>
              <w:spacing w:after="0" w:line="240" w:lineRule="atLeast"/>
              <w:ind w:left="182" w:firstLine="0"/>
              <w:jc w:val="left"/>
              <w:rPr>
                <w:rFonts w:ascii="Arial Narrow" w:hAnsi="Arial Narrow"/>
                <w:i/>
                <w:spacing w:val="6"/>
                <w:lang w:val="es-ES"/>
              </w:rPr>
            </w:pPr>
            <w:r w:rsidRPr="00B01865">
              <w:rPr>
                <w:rFonts w:ascii="Arial Narrow" w:hAnsi="Arial Narrow"/>
                <w:i/>
                <w:spacing w:val="6"/>
                <w:lang w:val="es-ES"/>
              </w:rPr>
              <w:t>Educación</w:t>
            </w:r>
          </w:p>
          <w:p w:rsidR="00B01865" w:rsidRPr="00B01865" w:rsidRDefault="00B01865" w:rsidP="008E6EE6">
            <w:pPr>
              <w:tabs>
                <w:tab w:val="center" w:pos="2835"/>
                <w:tab w:val="center" w:pos="3969"/>
                <w:tab w:val="center" w:pos="5103"/>
                <w:tab w:val="center" w:pos="6237"/>
                <w:tab w:val="center" w:pos="7371"/>
              </w:tabs>
              <w:spacing w:after="0" w:line="240" w:lineRule="atLeast"/>
              <w:ind w:left="182" w:firstLine="0"/>
              <w:jc w:val="left"/>
              <w:rPr>
                <w:rFonts w:ascii="Arial Narrow" w:hAnsi="Arial Narrow"/>
                <w:i/>
                <w:spacing w:val="6"/>
                <w:lang w:val="es-ES"/>
              </w:rPr>
            </w:pPr>
            <w:r w:rsidRPr="00B01865">
              <w:rPr>
                <w:rFonts w:ascii="Arial Narrow" w:hAnsi="Arial Narrow"/>
                <w:i/>
                <w:spacing w:val="6"/>
                <w:lang w:val="es-ES"/>
              </w:rPr>
              <w:t>SNS-O</w:t>
            </w:r>
          </w:p>
          <w:p w:rsidR="00B01865" w:rsidRPr="00B01865" w:rsidRDefault="00B01865" w:rsidP="00632E1D">
            <w:pPr>
              <w:tabs>
                <w:tab w:val="center" w:pos="2835"/>
                <w:tab w:val="center" w:pos="3969"/>
                <w:tab w:val="center" w:pos="5103"/>
                <w:tab w:val="center" w:pos="6237"/>
                <w:tab w:val="center" w:pos="7371"/>
              </w:tabs>
              <w:spacing w:after="0" w:line="240" w:lineRule="atLeast"/>
              <w:ind w:left="182" w:firstLine="0"/>
              <w:jc w:val="left"/>
              <w:rPr>
                <w:rFonts w:ascii="Arial Narrow" w:hAnsi="Arial Narrow"/>
                <w:spacing w:val="6"/>
                <w:lang w:val="es-ES"/>
              </w:rPr>
            </w:pPr>
            <w:r w:rsidRPr="00B01865">
              <w:rPr>
                <w:rFonts w:ascii="Arial Narrow" w:hAnsi="Arial Narrow"/>
                <w:i/>
                <w:spacing w:val="6"/>
                <w:lang w:val="es-ES"/>
              </w:rPr>
              <w:t>Admón</w:t>
            </w:r>
            <w:r w:rsidR="00632E1D">
              <w:rPr>
                <w:rFonts w:ascii="Arial Narrow" w:hAnsi="Arial Narrow"/>
                <w:i/>
                <w:spacing w:val="6"/>
                <w:lang w:val="es-ES"/>
              </w:rPr>
              <w:t>.</w:t>
            </w:r>
            <w:r w:rsidRPr="00B01865">
              <w:rPr>
                <w:rFonts w:ascii="Arial Narrow" w:hAnsi="Arial Narrow"/>
                <w:i/>
                <w:spacing w:val="6"/>
                <w:lang w:val="es-ES"/>
              </w:rPr>
              <w:t xml:space="preserve"> </w:t>
            </w:r>
            <w:r w:rsidR="00632E1D">
              <w:rPr>
                <w:rFonts w:ascii="Arial Narrow" w:hAnsi="Arial Narrow"/>
                <w:i/>
                <w:spacing w:val="6"/>
                <w:lang w:val="es-ES"/>
              </w:rPr>
              <w:t>n</w:t>
            </w:r>
            <w:r w:rsidRPr="00B01865">
              <w:rPr>
                <w:rFonts w:ascii="Arial Narrow" w:hAnsi="Arial Narrow"/>
                <w:i/>
                <w:spacing w:val="6"/>
                <w:lang w:val="es-ES"/>
              </w:rPr>
              <w:t>úcleo</w:t>
            </w:r>
          </w:p>
        </w:tc>
        <w:tc>
          <w:tcPr>
            <w:tcW w:w="842" w:type="dxa"/>
            <w:vAlign w:val="center"/>
          </w:tcPr>
          <w:p w:rsidR="00B01865" w:rsidRPr="00B01865" w:rsidRDefault="00B01865" w:rsidP="00CC440F">
            <w:pPr>
              <w:spacing w:after="0" w:line="240" w:lineRule="atLeast"/>
              <w:ind w:left="-178" w:right="-78" w:firstLine="0"/>
              <w:jc w:val="right"/>
              <w:rPr>
                <w:rFonts w:ascii="Arial" w:hAnsi="Arial" w:cs="Arial"/>
                <w:sz w:val="18"/>
                <w:szCs w:val="18"/>
              </w:rPr>
            </w:pPr>
            <w:r w:rsidRPr="00B01865">
              <w:rPr>
                <w:rFonts w:ascii="Arial" w:hAnsi="Arial" w:cs="Arial"/>
                <w:sz w:val="18"/>
                <w:szCs w:val="18"/>
              </w:rPr>
              <w:t>101</w:t>
            </w:r>
          </w:p>
          <w:p w:rsidR="00B01865" w:rsidRPr="00B01865" w:rsidRDefault="00B01865" w:rsidP="00CC440F">
            <w:pPr>
              <w:spacing w:after="0" w:line="240" w:lineRule="atLeast"/>
              <w:ind w:left="-178" w:right="-78"/>
              <w:jc w:val="right"/>
              <w:rPr>
                <w:rFonts w:ascii="Arial Narrow" w:hAnsi="Arial Narrow" w:cs="Arial"/>
                <w:i/>
              </w:rPr>
            </w:pPr>
            <w:r w:rsidRPr="00B01865">
              <w:rPr>
                <w:rFonts w:ascii="Arial Narrow" w:hAnsi="Arial Narrow" w:cs="Arial"/>
                <w:i/>
              </w:rPr>
              <w:t>36</w:t>
            </w:r>
          </w:p>
          <w:p w:rsidR="00B01865" w:rsidRPr="00B01865" w:rsidRDefault="00B01865" w:rsidP="00CC440F">
            <w:pPr>
              <w:spacing w:after="0" w:line="240" w:lineRule="atLeast"/>
              <w:ind w:left="-178" w:right="-78" w:firstLine="0"/>
              <w:jc w:val="right"/>
              <w:rPr>
                <w:rFonts w:ascii="Arial Narrow" w:hAnsi="Arial Narrow" w:cs="Arial"/>
                <w:i/>
              </w:rPr>
            </w:pPr>
            <w:r w:rsidRPr="00B01865">
              <w:rPr>
                <w:rFonts w:ascii="Arial Narrow" w:hAnsi="Arial Narrow" w:cs="Arial"/>
                <w:i/>
              </w:rPr>
              <w:t>8</w:t>
            </w:r>
          </w:p>
          <w:p w:rsidR="00B01865" w:rsidRPr="00B01865" w:rsidRDefault="00B01865" w:rsidP="00CC440F">
            <w:pPr>
              <w:spacing w:after="0" w:line="240" w:lineRule="atLeast"/>
              <w:ind w:left="-178" w:right="-78"/>
              <w:jc w:val="right"/>
              <w:rPr>
                <w:rFonts w:ascii="Arial Narrow" w:hAnsi="Arial Narrow" w:cs="Arial"/>
                <w:i/>
              </w:rPr>
            </w:pPr>
            <w:r w:rsidRPr="00B01865">
              <w:rPr>
                <w:rFonts w:ascii="Arial Narrow" w:hAnsi="Arial Narrow" w:cs="Arial"/>
                <w:i/>
              </w:rPr>
              <w:t>57</w:t>
            </w:r>
          </w:p>
        </w:tc>
        <w:tc>
          <w:tcPr>
            <w:tcW w:w="1024" w:type="dxa"/>
            <w:vAlign w:val="center"/>
          </w:tcPr>
          <w:p w:rsidR="00B01865" w:rsidRPr="00B01865" w:rsidRDefault="00B01865" w:rsidP="000F5116">
            <w:pPr>
              <w:spacing w:after="0" w:line="240" w:lineRule="atLeast"/>
              <w:ind w:firstLine="0"/>
              <w:jc w:val="right"/>
              <w:rPr>
                <w:rFonts w:ascii="Arial" w:hAnsi="Arial" w:cs="Arial"/>
                <w:sz w:val="18"/>
                <w:szCs w:val="18"/>
              </w:rPr>
            </w:pPr>
            <w:r w:rsidRPr="00B01865">
              <w:rPr>
                <w:rFonts w:ascii="Arial" w:hAnsi="Arial" w:cs="Arial"/>
                <w:sz w:val="18"/>
                <w:szCs w:val="18"/>
              </w:rPr>
              <w:t>82</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8</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51</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23</w:t>
            </w:r>
          </w:p>
        </w:tc>
        <w:tc>
          <w:tcPr>
            <w:tcW w:w="1024" w:type="dxa"/>
            <w:vAlign w:val="center"/>
          </w:tcPr>
          <w:p w:rsidR="00B01865" w:rsidRPr="00B01865" w:rsidRDefault="00B01865" w:rsidP="000F5116">
            <w:pPr>
              <w:spacing w:after="0" w:line="240" w:lineRule="atLeast"/>
              <w:ind w:firstLine="0"/>
              <w:jc w:val="right"/>
              <w:rPr>
                <w:rFonts w:ascii="Arial" w:hAnsi="Arial" w:cs="Arial"/>
                <w:sz w:val="18"/>
                <w:szCs w:val="18"/>
              </w:rPr>
            </w:pPr>
            <w:r w:rsidRPr="00B01865">
              <w:rPr>
                <w:rFonts w:ascii="Arial" w:hAnsi="Arial" w:cs="Arial"/>
                <w:sz w:val="18"/>
                <w:szCs w:val="18"/>
              </w:rPr>
              <w:t>90</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49</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9</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32</w:t>
            </w:r>
          </w:p>
        </w:tc>
        <w:tc>
          <w:tcPr>
            <w:tcW w:w="1024" w:type="dxa"/>
            <w:vAlign w:val="center"/>
          </w:tcPr>
          <w:p w:rsidR="00B01865" w:rsidRPr="00B01865" w:rsidRDefault="00B01865" w:rsidP="000F5116">
            <w:pPr>
              <w:spacing w:after="0" w:line="240" w:lineRule="atLeast"/>
              <w:ind w:firstLine="0"/>
              <w:jc w:val="right"/>
              <w:rPr>
                <w:rFonts w:ascii="Arial" w:hAnsi="Arial" w:cs="Arial"/>
                <w:sz w:val="18"/>
                <w:szCs w:val="18"/>
              </w:rPr>
            </w:pPr>
            <w:r w:rsidRPr="00B01865">
              <w:rPr>
                <w:rFonts w:ascii="Arial" w:hAnsi="Arial" w:cs="Arial"/>
                <w:sz w:val="18"/>
                <w:szCs w:val="18"/>
              </w:rPr>
              <w:t>30</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7</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3</w:t>
            </w:r>
          </w:p>
          <w:p w:rsidR="00B01865" w:rsidRPr="00B01865" w:rsidRDefault="00B01865" w:rsidP="000F5116">
            <w:pPr>
              <w:spacing w:after="0" w:line="240" w:lineRule="atLeast"/>
              <w:ind w:firstLine="0"/>
              <w:jc w:val="right"/>
              <w:rPr>
                <w:rFonts w:ascii="Arial Narrow" w:hAnsi="Arial Narrow" w:cs="Arial"/>
              </w:rPr>
            </w:pPr>
            <w:r w:rsidRPr="00B01865">
              <w:rPr>
                <w:rFonts w:ascii="Arial Narrow" w:hAnsi="Arial Narrow" w:cs="Arial"/>
                <w:i/>
              </w:rPr>
              <w:t>20</w:t>
            </w:r>
          </w:p>
        </w:tc>
        <w:tc>
          <w:tcPr>
            <w:tcW w:w="1024" w:type="dxa"/>
            <w:vAlign w:val="center"/>
          </w:tcPr>
          <w:p w:rsidR="00B01865" w:rsidRPr="00B01865" w:rsidRDefault="00B01865" w:rsidP="000F5116">
            <w:pPr>
              <w:spacing w:after="0" w:line="240" w:lineRule="atLeast"/>
              <w:ind w:firstLine="0"/>
              <w:jc w:val="right"/>
              <w:rPr>
                <w:rFonts w:ascii="Arial" w:hAnsi="Arial" w:cs="Arial"/>
                <w:sz w:val="18"/>
                <w:szCs w:val="18"/>
              </w:rPr>
            </w:pPr>
            <w:r w:rsidRPr="00B01865">
              <w:rPr>
                <w:rFonts w:ascii="Arial" w:hAnsi="Arial" w:cs="Arial"/>
                <w:sz w:val="18"/>
                <w:szCs w:val="18"/>
              </w:rPr>
              <w:t>298</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239</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48</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11</w:t>
            </w:r>
          </w:p>
        </w:tc>
        <w:tc>
          <w:tcPr>
            <w:tcW w:w="1025" w:type="dxa"/>
            <w:vAlign w:val="center"/>
          </w:tcPr>
          <w:p w:rsidR="00B01865" w:rsidRPr="00B01865" w:rsidRDefault="00B01865" w:rsidP="000F5116">
            <w:pPr>
              <w:spacing w:after="0" w:line="240" w:lineRule="atLeast"/>
              <w:ind w:firstLine="0"/>
              <w:jc w:val="right"/>
              <w:rPr>
                <w:rFonts w:ascii="Arial" w:hAnsi="Arial" w:cs="Arial"/>
                <w:sz w:val="18"/>
                <w:szCs w:val="18"/>
              </w:rPr>
            </w:pPr>
            <w:r w:rsidRPr="00B01865">
              <w:rPr>
                <w:rFonts w:ascii="Arial" w:hAnsi="Arial" w:cs="Arial"/>
                <w:sz w:val="18"/>
                <w:szCs w:val="18"/>
              </w:rPr>
              <w:t>601</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339</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119</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143</w:t>
            </w:r>
          </w:p>
        </w:tc>
      </w:tr>
      <w:tr w:rsidR="00B01865" w:rsidRPr="00B01865" w:rsidTr="00CC440F">
        <w:trPr>
          <w:trHeight w:val="198"/>
        </w:trPr>
        <w:tc>
          <w:tcPr>
            <w:tcW w:w="2884" w:type="dxa"/>
            <w:vAlign w:val="center"/>
          </w:tcPr>
          <w:p w:rsidR="00B01865" w:rsidRPr="00B01865" w:rsidRDefault="00B01865" w:rsidP="00B01865">
            <w:pPr>
              <w:spacing w:after="0" w:line="240" w:lineRule="atLeast"/>
              <w:ind w:firstLine="0"/>
              <w:jc w:val="left"/>
              <w:rPr>
                <w:rFonts w:ascii="Arial" w:hAnsi="Arial" w:cs="Arial"/>
                <w:sz w:val="18"/>
                <w:szCs w:val="18"/>
              </w:rPr>
            </w:pPr>
            <w:r w:rsidRPr="00B01865">
              <w:rPr>
                <w:rFonts w:ascii="Arial" w:hAnsi="Arial" w:cs="Arial"/>
                <w:sz w:val="18"/>
                <w:szCs w:val="18"/>
              </w:rPr>
              <w:t>Bajas:</w:t>
            </w:r>
          </w:p>
          <w:p w:rsidR="00B01865" w:rsidRPr="00B01865" w:rsidRDefault="00B01865" w:rsidP="008E6EE6">
            <w:pPr>
              <w:tabs>
                <w:tab w:val="center" w:pos="2835"/>
                <w:tab w:val="center" w:pos="3969"/>
                <w:tab w:val="center" w:pos="5103"/>
                <w:tab w:val="center" w:pos="6237"/>
                <w:tab w:val="center" w:pos="7371"/>
              </w:tabs>
              <w:spacing w:after="0" w:line="240" w:lineRule="atLeast"/>
              <w:ind w:left="196" w:firstLine="0"/>
              <w:jc w:val="left"/>
              <w:rPr>
                <w:rFonts w:ascii="Arial Narrow" w:hAnsi="Arial Narrow"/>
                <w:i/>
                <w:spacing w:val="6"/>
                <w:lang w:val="es-ES"/>
              </w:rPr>
            </w:pPr>
            <w:r w:rsidRPr="00B01865">
              <w:rPr>
                <w:rFonts w:ascii="Arial Narrow" w:hAnsi="Arial Narrow"/>
                <w:i/>
                <w:spacing w:val="6"/>
                <w:lang w:val="es-ES"/>
              </w:rPr>
              <w:t>Educación</w:t>
            </w:r>
          </w:p>
          <w:p w:rsidR="00B01865" w:rsidRPr="00B01865" w:rsidRDefault="00B01865" w:rsidP="008E6EE6">
            <w:pPr>
              <w:tabs>
                <w:tab w:val="center" w:pos="2835"/>
                <w:tab w:val="center" w:pos="3969"/>
                <w:tab w:val="center" w:pos="5103"/>
                <w:tab w:val="center" w:pos="6237"/>
                <w:tab w:val="center" w:pos="7371"/>
              </w:tabs>
              <w:spacing w:after="0" w:line="240" w:lineRule="atLeast"/>
              <w:ind w:left="196" w:firstLine="0"/>
              <w:jc w:val="left"/>
              <w:rPr>
                <w:rFonts w:ascii="Arial Narrow" w:hAnsi="Arial Narrow"/>
                <w:i/>
                <w:spacing w:val="6"/>
                <w:lang w:val="es-ES"/>
              </w:rPr>
            </w:pPr>
            <w:r w:rsidRPr="00B01865">
              <w:rPr>
                <w:rFonts w:ascii="Arial Narrow" w:hAnsi="Arial Narrow"/>
                <w:i/>
                <w:spacing w:val="6"/>
                <w:lang w:val="es-ES"/>
              </w:rPr>
              <w:t>SNS-O</w:t>
            </w:r>
          </w:p>
          <w:p w:rsidR="00B01865" w:rsidRPr="00B01865" w:rsidRDefault="00B01865" w:rsidP="00632E1D">
            <w:pPr>
              <w:tabs>
                <w:tab w:val="center" w:pos="2835"/>
                <w:tab w:val="center" w:pos="3969"/>
                <w:tab w:val="center" w:pos="5103"/>
                <w:tab w:val="center" w:pos="6237"/>
                <w:tab w:val="center" w:pos="7371"/>
              </w:tabs>
              <w:spacing w:after="0" w:line="240" w:lineRule="atLeast"/>
              <w:ind w:left="196" w:firstLine="0"/>
              <w:jc w:val="left"/>
              <w:rPr>
                <w:rFonts w:ascii="Arial Narrow" w:hAnsi="Arial Narrow"/>
                <w:spacing w:val="6"/>
                <w:lang w:val="es-ES"/>
              </w:rPr>
            </w:pPr>
            <w:r w:rsidRPr="00B01865">
              <w:rPr>
                <w:rFonts w:ascii="Arial Narrow" w:hAnsi="Arial Narrow"/>
                <w:i/>
                <w:spacing w:val="6"/>
                <w:lang w:val="es-ES"/>
              </w:rPr>
              <w:t>Admón</w:t>
            </w:r>
            <w:r w:rsidR="00632E1D">
              <w:rPr>
                <w:rFonts w:ascii="Arial Narrow" w:hAnsi="Arial Narrow"/>
                <w:i/>
                <w:spacing w:val="6"/>
                <w:lang w:val="es-ES"/>
              </w:rPr>
              <w:t>.</w:t>
            </w:r>
            <w:r w:rsidRPr="00B01865">
              <w:rPr>
                <w:rFonts w:ascii="Arial Narrow" w:hAnsi="Arial Narrow"/>
                <w:i/>
                <w:spacing w:val="6"/>
                <w:lang w:val="es-ES"/>
              </w:rPr>
              <w:t xml:space="preserve"> </w:t>
            </w:r>
            <w:r w:rsidR="00632E1D">
              <w:rPr>
                <w:rFonts w:ascii="Arial Narrow" w:hAnsi="Arial Narrow"/>
                <w:i/>
                <w:spacing w:val="6"/>
                <w:lang w:val="es-ES"/>
              </w:rPr>
              <w:t>n</w:t>
            </w:r>
            <w:r w:rsidRPr="00B01865">
              <w:rPr>
                <w:rFonts w:ascii="Arial Narrow" w:hAnsi="Arial Narrow"/>
                <w:i/>
                <w:spacing w:val="6"/>
                <w:lang w:val="es-ES"/>
              </w:rPr>
              <w:t>úcleo</w:t>
            </w:r>
          </w:p>
        </w:tc>
        <w:tc>
          <w:tcPr>
            <w:tcW w:w="842" w:type="dxa"/>
            <w:vAlign w:val="center"/>
          </w:tcPr>
          <w:p w:rsidR="00B01865" w:rsidRPr="00B01865" w:rsidRDefault="00B01865" w:rsidP="00CC440F">
            <w:pPr>
              <w:spacing w:after="0" w:line="240" w:lineRule="atLeast"/>
              <w:ind w:left="-178" w:right="-78" w:firstLine="0"/>
              <w:jc w:val="right"/>
              <w:rPr>
                <w:rFonts w:ascii="Arial" w:hAnsi="Arial" w:cs="Arial"/>
                <w:sz w:val="18"/>
                <w:szCs w:val="18"/>
              </w:rPr>
            </w:pPr>
            <w:r w:rsidRPr="00B01865">
              <w:rPr>
                <w:rFonts w:ascii="Arial" w:hAnsi="Arial" w:cs="Arial"/>
                <w:sz w:val="18"/>
                <w:szCs w:val="18"/>
              </w:rPr>
              <w:t>738</w:t>
            </w:r>
          </w:p>
          <w:p w:rsidR="00B01865" w:rsidRPr="00B01865" w:rsidRDefault="00B01865" w:rsidP="00CC440F">
            <w:pPr>
              <w:spacing w:after="0" w:line="240" w:lineRule="atLeast"/>
              <w:ind w:left="-178" w:right="-78" w:firstLine="0"/>
              <w:jc w:val="right"/>
              <w:rPr>
                <w:rFonts w:ascii="Arial" w:hAnsi="Arial" w:cs="Arial"/>
                <w:sz w:val="18"/>
                <w:szCs w:val="18"/>
              </w:rPr>
            </w:pPr>
            <w:r w:rsidRPr="00B01865">
              <w:rPr>
                <w:rFonts w:ascii="Arial Narrow" w:hAnsi="Arial Narrow" w:cs="Arial"/>
                <w:i/>
              </w:rPr>
              <w:t>306</w:t>
            </w:r>
          </w:p>
          <w:p w:rsidR="00B01865" w:rsidRPr="00B01865" w:rsidRDefault="00B01865" w:rsidP="00CC440F">
            <w:pPr>
              <w:spacing w:after="0" w:line="240" w:lineRule="atLeast"/>
              <w:ind w:left="-178" w:right="-78" w:firstLine="0"/>
              <w:jc w:val="right"/>
              <w:rPr>
                <w:rFonts w:ascii="Arial Narrow" w:hAnsi="Arial Narrow" w:cs="Arial"/>
                <w:i/>
              </w:rPr>
            </w:pPr>
            <w:r w:rsidRPr="00B01865">
              <w:rPr>
                <w:rFonts w:ascii="Arial Narrow" w:hAnsi="Arial Narrow" w:cs="Arial"/>
                <w:i/>
              </w:rPr>
              <w:t>209</w:t>
            </w:r>
          </w:p>
          <w:p w:rsidR="00B01865" w:rsidRPr="00B01865" w:rsidRDefault="00B01865" w:rsidP="00CC440F">
            <w:pPr>
              <w:spacing w:after="0" w:line="240" w:lineRule="atLeast"/>
              <w:ind w:left="-178" w:right="-78" w:firstLine="0"/>
              <w:jc w:val="right"/>
              <w:rPr>
                <w:rFonts w:ascii="Arial Narrow" w:hAnsi="Arial Narrow" w:cs="Arial"/>
              </w:rPr>
            </w:pPr>
            <w:r w:rsidRPr="00B01865">
              <w:rPr>
                <w:rFonts w:ascii="Arial Narrow" w:hAnsi="Arial Narrow" w:cs="Arial"/>
                <w:i/>
              </w:rPr>
              <w:t>223</w:t>
            </w:r>
          </w:p>
        </w:tc>
        <w:tc>
          <w:tcPr>
            <w:tcW w:w="1024" w:type="dxa"/>
            <w:vAlign w:val="center"/>
          </w:tcPr>
          <w:p w:rsidR="00B01865" w:rsidRPr="00B01865" w:rsidRDefault="00B01865" w:rsidP="000F5116">
            <w:pPr>
              <w:spacing w:after="0" w:line="240" w:lineRule="atLeast"/>
              <w:ind w:firstLine="0"/>
              <w:jc w:val="right"/>
              <w:rPr>
                <w:rFonts w:ascii="Arial" w:hAnsi="Arial" w:cs="Arial"/>
                <w:sz w:val="18"/>
                <w:szCs w:val="18"/>
              </w:rPr>
            </w:pPr>
            <w:r w:rsidRPr="00B01865">
              <w:rPr>
                <w:rFonts w:ascii="Arial" w:hAnsi="Arial" w:cs="Arial"/>
                <w:sz w:val="18"/>
                <w:szCs w:val="18"/>
              </w:rPr>
              <w:t>563</w:t>
            </w:r>
          </w:p>
          <w:p w:rsidR="00B01865" w:rsidRPr="00B01865" w:rsidRDefault="000F5116" w:rsidP="000F5116">
            <w:pPr>
              <w:spacing w:after="0" w:line="240" w:lineRule="atLeast"/>
              <w:ind w:firstLine="0"/>
              <w:jc w:val="right"/>
              <w:rPr>
                <w:rFonts w:ascii="Arial Narrow" w:hAnsi="Arial Narrow" w:cs="Arial"/>
                <w:i/>
              </w:rPr>
            </w:pPr>
            <w:r>
              <w:rPr>
                <w:rFonts w:ascii="Arial Narrow" w:hAnsi="Arial Narrow" w:cs="Arial"/>
                <w:i/>
              </w:rPr>
              <w:t>172</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179</w:t>
            </w:r>
          </w:p>
          <w:p w:rsidR="00B01865" w:rsidRPr="00B01865" w:rsidRDefault="00B01865" w:rsidP="000F5116">
            <w:pPr>
              <w:spacing w:after="0" w:line="240" w:lineRule="atLeast"/>
              <w:ind w:firstLine="0"/>
              <w:jc w:val="right"/>
              <w:rPr>
                <w:rFonts w:ascii="Arial Narrow" w:hAnsi="Arial Narrow" w:cs="Arial"/>
              </w:rPr>
            </w:pPr>
            <w:r w:rsidRPr="00B01865">
              <w:rPr>
                <w:rFonts w:ascii="Arial Narrow" w:hAnsi="Arial Narrow" w:cs="Arial"/>
                <w:i/>
              </w:rPr>
              <w:t>212</w:t>
            </w:r>
          </w:p>
        </w:tc>
        <w:tc>
          <w:tcPr>
            <w:tcW w:w="1024" w:type="dxa"/>
            <w:vAlign w:val="center"/>
          </w:tcPr>
          <w:p w:rsidR="00B01865" w:rsidRPr="00B01865" w:rsidRDefault="00B01865" w:rsidP="000F5116">
            <w:pPr>
              <w:spacing w:after="0" w:line="240" w:lineRule="atLeast"/>
              <w:ind w:firstLine="0"/>
              <w:jc w:val="right"/>
              <w:rPr>
                <w:rFonts w:ascii="Arial" w:hAnsi="Arial" w:cs="Arial"/>
                <w:sz w:val="18"/>
                <w:szCs w:val="18"/>
              </w:rPr>
            </w:pPr>
            <w:r w:rsidRPr="00B01865">
              <w:rPr>
                <w:rFonts w:ascii="Arial" w:hAnsi="Arial" w:cs="Arial"/>
                <w:sz w:val="18"/>
                <w:szCs w:val="18"/>
              </w:rPr>
              <w:t>759</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339</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205</w:t>
            </w:r>
          </w:p>
          <w:p w:rsidR="00B01865" w:rsidRPr="00B01865" w:rsidRDefault="00B01865" w:rsidP="000F5116">
            <w:pPr>
              <w:spacing w:after="0" w:line="240" w:lineRule="atLeast"/>
              <w:ind w:firstLine="0"/>
              <w:jc w:val="right"/>
              <w:rPr>
                <w:rFonts w:ascii="Arial Narrow" w:hAnsi="Arial Narrow" w:cs="Arial"/>
              </w:rPr>
            </w:pPr>
            <w:r w:rsidRPr="00B01865">
              <w:rPr>
                <w:rFonts w:ascii="Arial Narrow" w:hAnsi="Arial Narrow" w:cs="Arial"/>
                <w:i/>
              </w:rPr>
              <w:t>215</w:t>
            </w:r>
          </w:p>
        </w:tc>
        <w:tc>
          <w:tcPr>
            <w:tcW w:w="1024" w:type="dxa"/>
            <w:vAlign w:val="center"/>
          </w:tcPr>
          <w:p w:rsidR="00B01865" w:rsidRPr="00B01865" w:rsidRDefault="00B01865" w:rsidP="000F5116">
            <w:pPr>
              <w:spacing w:after="0" w:line="240" w:lineRule="atLeast"/>
              <w:ind w:firstLine="0"/>
              <w:jc w:val="right"/>
              <w:rPr>
                <w:rFonts w:ascii="Arial" w:hAnsi="Arial" w:cs="Arial"/>
                <w:sz w:val="18"/>
                <w:szCs w:val="18"/>
              </w:rPr>
            </w:pPr>
            <w:r w:rsidRPr="00B01865">
              <w:rPr>
                <w:rFonts w:ascii="Arial" w:hAnsi="Arial" w:cs="Arial"/>
                <w:sz w:val="18"/>
                <w:szCs w:val="18"/>
              </w:rPr>
              <w:t>631</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195</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220</w:t>
            </w:r>
          </w:p>
          <w:p w:rsidR="00B01865" w:rsidRPr="00B01865" w:rsidRDefault="00B01865" w:rsidP="000F5116">
            <w:pPr>
              <w:spacing w:after="0" w:line="240" w:lineRule="atLeast"/>
              <w:ind w:firstLine="0"/>
              <w:jc w:val="right"/>
              <w:rPr>
                <w:rFonts w:ascii="Arial Narrow" w:hAnsi="Arial Narrow" w:cs="Arial"/>
              </w:rPr>
            </w:pPr>
            <w:r w:rsidRPr="00B01865">
              <w:rPr>
                <w:rFonts w:ascii="Arial Narrow" w:hAnsi="Arial Narrow" w:cs="Arial"/>
                <w:i/>
              </w:rPr>
              <w:t>216</w:t>
            </w:r>
          </w:p>
        </w:tc>
        <w:tc>
          <w:tcPr>
            <w:tcW w:w="1024" w:type="dxa"/>
            <w:vAlign w:val="center"/>
          </w:tcPr>
          <w:p w:rsidR="00B01865" w:rsidRPr="00B01865" w:rsidRDefault="00B01865" w:rsidP="000F5116">
            <w:pPr>
              <w:spacing w:after="0" w:line="240" w:lineRule="atLeast"/>
              <w:ind w:firstLine="0"/>
              <w:jc w:val="right"/>
              <w:rPr>
                <w:rFonts w:ascii="Arial" w:hAnsi="Arial" w:cs="Arial"/>
                <w:sz w:val="18"/>
                <w:szCs w:val="18"/>
              </w:rPr>
            </w:pPr>
            <w:r w:rsidRPr="00B01865">
              <w:rPr>
                <w:rFonts w:ascii="Arial" w:hAnsi="Arial" w:cs="Arial"/>
                <w:sz w:val="18"/>
                <w:szCs w:val="18"/>
              </w:rPr>
              <w:t>832</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353</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207</w:t>
            </w:r>
          </w:p>
          <w:p w:rsidR="00B01865" w:rsidRPr="00B01865" w:rsidRDefault="00B01865" w:rsidP="000F5116">
            <w:pPr>
              <w:spacing w:after="0" w:line="240" w:lineRule="atLeast"/>
              <w:ind w:firstLine="0"/>
              <w:jc w:val="right"/>
              <w:rPr>
                <w:rFonts w:ascii="Arial Narrow" w:hAnsi="Arial Narrow" w:cs="Arial"/>
              </w:rPr>
            </w:pPr>
            <w:r w:rsidRPr="00B01865">
              <w:rPr>
                <w:rFonts w:ascii="Arial Narrow" w:hAnsi="Arial Narrow" w:cs="Arial"/>
                <w:i/>
              </w:rPr>
              <w:t>272</w:t>
            </w:r>
          </w:p>
        </w:tc>
        <w:tc>
          <w:tcPr>
            <w:tcW w:w="1025" w:type="dxa"/>
            <w:vAlign w:val="center"/>
          </w:tcPr>
          <w:p w:rsidR="00B01865" w:rsidRPr="00B01865" w:rsidRDefault="00B01865" w:rsidP="000F5116">
            <w:pPr>
              <w:spacing w:after="0" w:line="240" w:lineRule="atLeast"/>
              <w:ind w:firstLine="0"/>
              <w:jc w:val="right"/>
              <w:rPr>
                <w:rFonts w:ascii="Arial" w:hAnsi="Arial" w:cs="Arial"/>
                <w:sz w:val="18"/>
                <w:szCs w:val="18"/>
              </w:rPr>
            </w:pPr>
            <w:r w:rsidRPr="00B01865">
              <w:rPr>
                <w:rFonts w:ascii="Arial" w:hAnsi="Arial" w:cs="Arial"/>
                <w:sz w:val="18"/>
                <w:szCs w:val="18"/>
              </w:rPr>
              <w:t>3.523</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1.365</w:t>
            </w:r>
          </w:p>
          <w:p w:rsidR="00B01865" w:rsidRPr="00B01865" w:rsidRDefault="00B01865" w:rsidP="000F5116">
            <w:pPr>
              <w:spacing w:after="0" w:line="240" w:lineRule="atLeast"/>
              <w:ind w:firstLine="0"/>
              <w:jc w:val="right"/>
              <w:rPr>
                <w:rFonts w:ascii="Arial Narrow" w:hAnsi="Arial Narrow" w:cs="Arial"/>
                <w:i/>
              </w:rPr>
            </w:pPr>
            <w:r w:rsidRPr="00B01865">
              <w:rPr>
                <w:rFonts w:ascii="Arial Narrow" w:hAnsi="Arial Narrow" w:cs="Arial"/>
                <w:i/>
              </w:rPr>
              <w:t>1.020</w:t>
            </w:r>
          </w:p>
          <w:p w:rsidR="00B01865" w:rsidRPr="00B01865" w:rsidRDefault="00B01865" w:rsidP="000F5116">
            <w:pPr>
              <w:spacing w:after="0" w:line="240" w:lineRule="atLeast"/>
              <w:ind w:firstLine="0"/>
              <w:jc w:val="right"/>
              <w:rPr>
                <w:rFonts w:ascii="Arial Narrow" w:hAnsi="Arial Narrow" w:cs="Arial"/>
              </w:rPr>
            </w:pPr>
            <w:r w:rsidRPr="00B01865">
              <w:rPr>
                <w:rFonts w:ascii="Arial Narrow" w:hAnsi="Arial Narrow" w:cs="Arial"/>
                <w:i/>
              </w:rPr>
              <w:t>1.138</w:t>
            </w:r>
          </w:p>
        </w:tc>
      </w:tr>
      <w:tr w:rsidR="00B01865" w:rsidRPr="00B01865" w:rsidTr="00CC440F">
        <w:trPr>
          <w:trHeight w:val="255"/>
        </w:trPr>
        <w:tc>
          <w:tcPr>
            <w:tcW w:w="2884" w:type="dxa"/>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line="240" w:lineRule="atLeast"/>
              <w:ind w:firstLine="0"/>
              <w:jc w:val="left"/>
              <w:rPr>
                <w:rFonts w:ascii="Arial" w:hAnsi="Arial" w:cs="Arial"/>
                <w:spacing w:val="6"/>
                <w:sz w:val="18"/>
                <w:szCs w:val="18"/>
                <w:lang w:val="es-ES"/>
              </w:rPr>
            </w:pPr>
            <w:r w:rsidRPr="00B01865">
              <w:rPr>
                <w:rFonts w:ascii="Arial" w:hAnsi="Arial" w:cs="Arial"/>
                <w:spacing w:val="6"/>
                <w:sz w:val="18"/>
                <w:szCs w:val="18"/>
                <w:lang w:val="es-ES"/>
              </w:rPr>
              <w:t>Variación neta (altas – bajas)</w:t>
            </w:r>
          </w:p>
        </w:tc>
        <w:tc>
          <w:tcPr>
            <w:tcW w:w="842" w:type="dxa"/>
            <w:shd w:val="clear" w:color="auto" w:fill="8DB3E2" w:themeFill="text2" w:themeFillTint="66"/>
            <w:vAlign w:val="center"/>
          </w:tcPr>
          <w:p w:rsidR="00B01865" w:rsidRPr="00B01865" w:rsidRDefault="00B01865" w:rsidP="00CC440F">
            <w:pPr>
              <w:keepLines/>
              <w:tabs>
                <w:tab w:val="right" w:pos="2835"/>
                <w:tab w:val="right" w:pos="3969"/>
                <w:tab w:val="right" w:pos="5103"/>
                <w:tab w:val="right" w:pos="6237"/>
                <w:tab w:val="right" w:pos="7371"/>
              </w:tabs>
              <w:spacing w:after="0" w:line="240" w:lineRule="atLeast"/>
              <w:ind w:left="-178" w:right="-78" w:firstLine="0"/>
              <w:jc w:val="right"/>
              <w:rPr>
                <w:rFonts w:ascii="Arial" w:hAnsi="Arial"/>
                <w:spacing w:val="6"/>
                <w:sz w:val="18"/>
                <w:szCs w:val="24"/>
                <w:lang w:val="es-ES" w:eastAsia="es-ES"/>
              </w:rPr>
            </w:pPr>
            <w:r w:rsidRPr="00B01865">
              <w:rPr>
                <w:rFonts w:ascii="Arial" w:hAnsi="Arial"/>
                <w:spacing w:val="6"/>
                <w:sz w:val="18"/>
                <w:szCs w:val="24"/>
                <w:lang w:val="es-ES" w:eastAsia="es-ES"/>
              </w:rPr>
              <w:t>-637</w:t>
            </w:r>
          </w:p>
        </w:tc>
        <w:tc>
          <w:tcPr>
            <w:tcW w:w="1024" w:type="dxa"/>
            <w:shd w:val="clear" w:color="auto" w:fill="8DB3E2" w:themeFill="text2" w:themeFillTint="66"/>
            <w:vAlign w:val="center"/>
          </w:tcPr>
          <w:p w:rsidR="00B01865" w:rsidRPr="00B01865" w:rsidRDefault="00B01865" w:rsidP="000F5116">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lang w:val="es-ES" w:eastAsia="es-ES"/>
              </w:rPr>
            </w:pPr>
            <w:r w:rsidRPr="00B01865">
              <w:rPr>
                <w:rFonts w:ascii="Arial" w:hAnsi="Arial"/>
                <w:spacing w:val="6"/>
                <w:sz w:val="18"/>
                <w:szCs w:val="24"/>
                <w:lang w:val="es-ES" w:eastAsia="es-ES"/>
              </w:rPr>
              <w:t>-481</w:t>
            </w:r>
          </w:p>
        </w:tc>
        <w:tc>
          <w:tcPr>
            <w:tcW w:w="1024" w:type="dxa"/>
            <w:shd w:val="clear" w:color="auto" w:fill="8DB3E2" w:themeFill="text2" w:themeFillTint="66"/>
            <w:vAlign w:val="center"/>
          </w:tcPr>
          <w:p w:rsidR="00B01865" w:rsidRPr="00B01865" w:rsidRDefault="00B01865" w:rsidP="000F5116">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lang w:val="es-ES" w:eastAsia="es-ES"/>
              </w:rPr>
            </w:pPr>
            <w:r w:rsidRPr="00B01865">
              <w:rPr>
                <w:rFonts w:ascii="Arial" w:hAnsi="Arial"/>
                <w:spacing w:val="6"/>
                <w:sz w:val="18"/>
                <w:szCs w:val="24"/>
                <w:lang w:val="es-ES" w:eastAsia="es-ES"/>
              </w:rPr>
              <w:t>-669</w:t>
            </w:r>
          </w:p>
        </w:tc>
        <w:tc>
          <w:tcPr>
            <w:tcW w:w="1024" w:type="dxa"/>
            <w:shd w:val="clear" w:color="auto" w:fill="8DB3E2" w:themeFill="text2" w:themeFillTint="66"/>
            <w:vAlign w:val="center"/>
          </w:tcPr>
          <w:p w:rsidR="00B01865" w:rsidRPr="00B01865" w:rsidRDefault="00B01865" w:rsidP="000F5116">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lang w:val="es-ES" w:eastAsia="es-ES"/>
              </w:rPr>
            </w:pPr>
            <w:r w:rsidRPr="00B01865">
              <w:rPr>
                <w:rFonts w:ascii="Arial" w:hAnsi="Arial"/>
                <w:spacing w:val="6"/>
                <w:sz w:val="18"/>
                <w:szCs w:val="24"/>
                <w:lang w:val="es-ES" w:eastAsia="es-ES"/>
              </w:rPr>
              <w:t>-601</w:t>
            </w:r>
          </w:p>
        </w:tc>
        <w:tc>
          <w:tcPr>
            <w:tcW w:w="1024" w:type="dxa"/>
            <w:shd w:val="clear" w:color="auto" w:fill="8DB3E2" w:themeFill="text2" w:themeFillTint="66"/>
            <w:vAlign w:val="center"/>
          </w:tcPr>
          <w:p w:rsidR="00B01865" w:rsidRPr="00B01865" w:rsidRDefault="00B01865" w:rsidP="000F5116">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lang w:val="es-ES" w:eastAsia="es-ES"/>
              </w:rPr>
            </w:pPr>
            <w:r w:rsidRPr="00B01865">
              <w:rPr>
                <w:rFonts w:ascii="Arial" w:hAnsi="Arial"/>
                <w:spacing w:val="6"/>
                <w:sz w:val="18"/>
                <w:szCs w:val="24"/>
                <w:lang w:val="es-ES" w:eastAsia="es-ES"/>
              </w:rPr>
              <w:t>-534</w:t>
            </w:r>
          </w:p>
        </w:tc>
        <w:tc>
          <w:tcPr>
            <w:tcW w:w="1025" w:type="dxa"/>
            <w:shd w:val="clear" w:color="auto" w:fill="8DB3E2" w:themeFill="text2" w:themeFillTint="66"/>
            <w:vAlign w:val="center"/>
          </w:tcPr>
          <w:p w:rsidR="00B01865" w:rsidRPr="00B01865" w:rsidRDefault="00B01865" w:rsidP="000F5116">
            <w:pPr>
              <w:keepLines/>
              <w:tabs>
                <w:tab w:val="right" w:pos="2835"/>
                <w:tab w:val="right" w:pos="3969"/>
                <w:tab w:val="right" w:pos="5103"/>
                <w:tab w:val="right" w:pos="6237"/>
                <w:tab w:val="right" w:pos="7371"/>
              </w:tabs>
              <w:spacing w:after="0" w:line="240" w:lineRule="atLeast"/>
              <w:ind w:firstLine="0"/>
              <w:jc w:val="right"/>
              <w:rPr>
                <w:rFonts w:ascii="Arial" w:hAnsi="Arial"/>
                <w:spacing w:val="6"/>
                <w:sz w:val="18"/>
                <w:szCs w:val="24"/>
                <w:lang w:val="es-ES" w:eastAsia="es-ES"/>
              </w:rPr>
            </w:pPr>
            <w:r w:rsidRPr="00B01865">
              <w:rPr>
                <w:rFonts w:ascii="Arial" w:hAnsi="Arial"/>
                <w:spacing w:val="6"/>
                <w:sz w:val="18"/>
                <w:szCs w:val="24"/>
                <w:lang w:val="es-ES" w:eastAsia="es-ES"/>
              </w:rPr>
              <w:t>-2.922</w:t>
            </w:r>
          </w:p>
        </w:tc>
      </w:tr>
    </w:tbl>
    <w:p w:rsidR="00B01865" w:rsidRPr="00B01865" w:rsidRDefault="00B01865" w:rsidP="000F5116">
      <w:pPr>
        <w:pStyle w:val="texto"/>
        <w:spacing w:before="240"/>
        <w:rPr>
          <w:lang w:val="es-ES"/>
        </w:rPr>
      </w:pPr>
      <w:r w:rsidRPr="00B01865">
        <w:rPr>
          <w:lang w:val="es-ES"/>
        </w:rPr>
        <w:t>Se observa una variación neta negativa en el periodo</w:t>
      </w:r>
      <w:r w:rsidR="009E512D">
        <w:rPr>
          <w:lang w:val="es-ES"/>
        </w:rPr>
        <w:t xml:space="preserve"> 2013-2017</w:t>
      </w:r>
      <w:r w:rsidRPr="00B01865">
        <w:rPr>
          <w:lang w:val="es-ES"/>
        </w:rPr>
        <w:t xml:space="preserve"> de 2.922 personas con una media anual de 584 personas. Este </w:t>
      </w:r>
      <w:r w:rsidRPr="00261222">
        <w:rPr>
          <w:lang w:val="es-ES"/>
        </w:rPr>
        <w:t xml:space="preserve">hecho ha </w:t>
      </w:r>
      <w:r w:rsidR="00261222" w:rsidRPr="00261222">
        <w:rPr>
          <w:lang w:val="es-ES"/>
        </w:rPr>
        <w:t>est</w:t>
      </w:r>
      <w:r w:rsidR="00261222">
        <w:rPr>
          <w:lang w:val="es-ES"/>
        </w:rPr>
        <w:t>a</w:t>
      </w:r>
      <w:r w:rsidR="00261222" w:rsidRPr="00261222">
        <w:rPr>
          <w:lang w:val="es-ES"/>
        </w:rPr>
        <w:t>do</w:t>
      </w:r>
      <w:r w:rsidRPr="00261222">
        <w:rPr>
          <w:lang w:val="es-ES"/>
        </w:rPr>
        <w:t xml:space="preserve"> </w:t>
      </w:r>
      <w:r w:rsidRPr="00B01865">
        <w:rPr>
          <w:lang w:val="es-ES"/>
        </w:rPr>
        <w:t>motivado</w:t>
      </w:r>
      <w:r w:rsidR="00261222">
        <w:rPr>
          <w:lang w:val="es-ES"/>
        </w:rPr>
        <w:t>, entre otras causas,</w:t>
      </w:r>
      <w:r w:rsidRPr="00B01865">
        <w:rPr>
          <w:lang w:val="es-ES"/>
        </w:rPr>
        <w:t xml:space="preserve"> por la normativa básica estatal que limitaba la reposición del personal.</w:t>
      </w:r>
    </w:p>
    <w:p w:rsidR="00657CF6" w:rsidRDefault="00B01865" w:rsidP="000F5116">
      <w:pPr>
        <w:pStyle w:val="texto"/>
        <w:spacing w:after="240"/>
        <w:rPr>
          <w:lang w:val="es-ES"/>
        </w:rPr>
      </w:pPr>
      <w:r w:rsidRPr="00B01865">
        <w:rPr>
          <w:lang w:val="es-ES"/>
        </w:rPr>
        <w:t xml:space="preserve">Asimismo, hemos obtenido el personal que se encontraba trabajando a 31 de diciembre </w:t>
      </w:r>
      <w:r w:rsidR="00EA469E">
        <w:rPr>
          <w:lang w:val="es-ES"/>
        </w:rPr>
        <w:t>en el periodo 2013-2017</w:t>
      </w:r>
      <w:r w:rsidR="00904024">
        <w:rPr>
          <w:lang w:val="es-ES"/>
        </w:rPr>
        <w:t>,</w:t>
      </w:r>
      <w:r w:rsidRPr="00B01865">
        <w:rPr>
          <w:lang w:val="es-ES"/>
        </w:rPr>
        <w:t xml:space="preserve"> clasificándolo en fijo y temporal</w:t>
      </w:r>
      <w:r w:rsidR="00904024">
        <w:rPr>
          <w:lang w:val="es-ES"/>
        </w:rPr>
        <w:t>,</w:t>
      </w:r>
      <w:r w:rsidRPr="00B01865">
        <w:rPr>
          <w:lang w:val="es-ES"/>
        </w:rPr>
        <w:t xml:space="preserve"> con el fin de obtener un índice de temporalidad </w:t>
      </w:r>
      <w:r w:rsidR="009E512D">
        <w:rPr>
          <w:lang w:val="es-ES"/>
        </w:rPr>
        <w:t>de dichas fechas</w:t>
      </w:r>
      <w:r w:rsidRPr="00B01865">
        <w:rPr>
          <w:lang w:val="es-ES"/>
        </w:rPr>
        <w:t xml:space="preserve"> en el conjunto de la ACFN con los siguientes resultados:</w:t>
      </w:r>
    </w:p>
    <w:tbl>
      <w:tblPr>
        <w:tblStyle w:val="Tablaconcuadrcula"/>
        <w:tblW w:w="8803" w:type="dxa"/>
        <w:tblInd w:w="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0"/>
        <w:gridCol w:w="992"/>
        <w:gridCol w:w="992"/>
        <w:gridCol w:w="993"/>
        <w:gridCol w:w="1134"/>
        <w:gridCol w:w="992"/>
      </w:tblGrid>
      <w:tr w:rsidR="00EA469E" w:rsidRPr="00FE4A24" w:rsidTr="00EB25DD">
        <w:trPr>
          <w:trHeight w:val="255"/>
        </w:trPr>
        <w:tc>
          <w:tcPr>
            <w:tcW w:w="3700" w:type="dxa"/>
            <w:tcBorders>
              <w:top w:val="single" w:sz="4" w:space="0" w:color="auto"/>
              <w:bottom w:val="single" w:sz="4" w:space="0" w:color="auto"/>
            </w:tcBorders>
            <w:shd w:val="clear" w:color="auto" w:fill="8DB3E2" w:themeFill="text2" w:themeFillTint="66"/>
          </w:tcPr>
          <w:p w:rsidR="00EA469E" w:rsidRPr="00FE4A24" w:rsidRDefault="00EA469E" w:rsidP="00A8447C">
            <w:pPr>
              <w:pStyle w:val="texto"/>
              <w:spacing w:after="0" w:line="240" w:lineRule="atLeast"/>
              <w:ind w:firstLine="0"/>
              <w:rPr>
                <w:rFonts w:ascii="Arial" w:hAnsi="Arial" w:cs="Arial"/>
                <w:sz w:val="18"/>
                <w:szCs w:val="18"/>
                <w:lang w:val="es-ES"/>
              </w:rPr>
            </w:pPr>
          </w:p>
        </w:tc>
        <w:tc>
          <w:tcPr>
            <w:tcW w:w="992" w:type="dxa"/>
            <w:tcBorders>
              <w:top w:val="single" w:sz="4" w:space="0" w:color="auto"/>
              <w:bottom w:val="single" w:sz="4" w:space="0" w:color="auto"/>
            </w:tcBorders>
            <w:shd w:val="clear" w:color="auto" w:fill="8DB3E2" w:themeFill="text2" w:themeFillTint="66"/>
          </w:tcPr>
          <w:p w:rsidR="00EA469E" w:rsidRPr="00FE4A24" w:rsidRDefault="00EA469E" w:rsidP="00A8447C">
            <w:pPr>
              <w:pStyle w:val="texto"/>
              <w:spacing w:after="0" w:line="240" w:lineRule="atLeast"/>
              <w:ind w:firstLine="0"/>
              <w:jc w:val="right"/>
              <w:rPr>
                <w:rFonts w:ascii="Arial" w:hAnsi="Arial" w:cs="Arial"/>
                <w:sz w:val="18"/>
                <w:szCs w:val="18"/>
                <w:lang w:val="es-ES"/>
              </w:rPr>
            </w:pPr>
            <w:r w:rsidRPr="00FE4A24">
              <w:rPr>
                <w:rFonts w:ascii="Arial" w:hAnsi="Arial" w:cs="Arial"/>
                <w:sz w:val="18"/>
                <w:szCs w:val="18"/>
                <w:lang w:val="es-ES"/>
              </w:rPr>
              <w:t>2013</w:t>
            </w:r>
          </w:p>
        </w:tc>
        <w:tc>
          <w:tcPr>
            <w:tcW w:w="992" w:type="dxa"/>
            <w:tcBorders>
              <w:top w:val="single" w:sz="4" w:space="0" w:color="auto"/>
              <w:bottom w:val="single" w:sz="4" w:space="0" w:color="auto"/>
            </w:tcBorders>
            <w:shd w:val="clear" w:color="auto" w:fill="8DB3E2" w:themeFill="text2" w:themeFillTint="66"/>
          </w:tcPr>
          <w:p w:rsidR="00EA469E" w:rsidRPr="00FE4A24" w:rsidRDefault="00EA469E" w:rsidP="00A8447C">
            <w:pPr>
              <w:pStyle w:val="texto"/>
              <w:spacing w:after="0" w:line="240" w:lineRule="atLeast"/>
              <w:ind w:firstLine="0"/>
              <w:jc w:val="right"/>
              <w:rPr>
                <w:rFonts w:ascii="Arial" w:hAnsi="Arial" w:cs="Arial"/>
                <w:sz w:val="18"/>
                <w:szCs w:val="18"/>
                <w:lang w:val="es-ES"/>
              </w:rPr>
            </w:pPr>
            <w:r w:rsidRPr="00FE4A24">
              <w:rPr>
                <w:rFonts w:ascii="Arial" w:hAnsi="Arial" w:cs="Arial"/>
                <w:sz w:val="18"/>
                <w:szCs w:val="18"/>
                <w:lang w:val="es-ES"/>
              </w:rPr>
              <w:t>2014</w:t>
            </w:r>
          </w:p>
        </w:tc>
        <w:tc>
          <w:tcPr>
            <w:tcW w:w="993" w:type="dxa"/>
            <w:tcBorders>
              <w:top w:val="single" w:sz="4" w:space="0" w:color="auto"/>
              <w:bottom w:val="single" w:sz="4" w:space="0" w:color="auto"/>
            </w:tcBorders>
            <w:shd w:val="clear" w:color="auto" w:fill="8DB3E2" w:themeFill="text2" w:themeFillTint="66"/>
          </w:tcPr>
          <w:p w:rsidR="00EA469E" w:rsidRPr="00FE4A24" w:rsidRDefault="00EA469E" w:rsidP="00A8447C">
            <w:pPr>
              <w:pStyle w:val="texto"/>
              <w:spacing w:after="0" w:line="240" w:lineRule="atLeast"/>
              <w:ind w:firstLine="0"/>
              <w:jc w:val="right"/>
              <w:rPr>
                <w:rFonts w:ascii="Arial" w:hAnsi="Arial" w:cs="Arial"/>
                <w:sz w:val="18"/>
                <w:szCs w:val="18"/>
                <w:lang w:val="es-ES"/>
              </w:rPr>
            </w:pPr>
            <w:r w:rsidRPr="00FE4A24">
              <w:rPr>
                <w:rFonts w:ascii="Arial" w:hAnsi="Arial" w:cs="Arial"/>
                <w:sz w:val="18"/>
                <w:szCs w:val="18"/>
                <w:lang w:val="es-ES"/>
              </w:rPr>
              <w:t>2015</w:t>
            </w:r>
          </w:p>
        </w:tc>
        <w:tc>
          <w:tcPr>
            <w:tcW w:w="1134" w:type="dxa"/>
            <w:tcBorders>
              <w:top w:val="single" w:sz="4" w:space="0" w:color="auto"/>
              <w:bottom w:val="single" w:sz="4" w:space="0" w:color="auto"/>
            </w:tcBorders>
            <w:shd w:val="clear" w:color="auto" w:fill="8DB3E2" w:themeFill="text2" w:themeFillTint="66"/>
          </w:tcPr>
          <w:p w:rsidR="00EA469E" w:rsidRPr="00FE4A24" w:rsidRDefault="00EA469E" w:rsidP="00A8447C">
            <w:pPr>
              <w:pStyle w:val="texto"/>
              <w:spacing w:after="0" w:line="240" w:lineRule="atLeast"/>
              <w:ind w:firstLine="0"/>
              <w:jc w:val="right"/>
              <w:rPr>
                <w:rFonts w:ascii="Arial" w:hAnsi="Arial" w:cs="Arial"/>
                <w:sz w:val="18"/>
                <w:szCs w:val="18"/>
                <w:lang w:val="es-ES"/>
              </w:rPr>
            </w:pPr>
            <w:r w:rsidRPr="00FE4A24">
              <w:rPr>
                <w:rFonts w:ascii="Arial" w:hAnsi="Arial" w:cs="Arial"/>
                <w:sz w:val="18"/>
                <w:szCs w:val="18"/>
                <w:lang w:val="es-ES"/>
              </w:rPr>
              <w:t>2016</w:t>
            </w:r>
          </w:p>
        </w:tc>
        <w:tc>
          <w:tcPr>
            <w:tcW w:w="992" w:type="dxa"/>
            <w:tcBorders>
              <w:top w:val="single" w:sz="4" w:space="0" w:color="auto"/>
              <w:bottom w:val="single" w:sz="4" w:space="0" w:color="auto"/>
            </w:tcBorders>
            <w:shd w:val="clear" w:color="auto" w:fill="8DB3E2" w:themeFill="text2" w:themeFillTint="66"/>
          </w:tcPr>
          <w:p w:rsidR="00EA469E" w:rsidRPr="00FE4A24" w:rsidRDefault="00EA469E" w:rsidP="00A8447C">
            <w:pPr>
              <w:pStyle w:val="texto"/>
              <w:spacing w:after="0" w:line="240" w:lineRule="atLeast"/>
              <w:ind w:firstLine="0"/>
              <w:jc w:val="right"/>
              <w:rPr>
                <w:rFonts w:ascii="Arial" w:hAnsi="Arial" w:cs="Arial"/>
                <w:sz w:val="18"/>
                <w:szCs w:val="18"/>
                <w:lang w:val="es-ES"/>
              </w:rPr>
            </w:pPr>
            <w:r w:rsidRPr="00FE4A24">
              <w:rPr>
                <w:rFonts w:ascii="Arial" w:hAnsi="Arial" w:cs="Arial"/>
                <w:sz w:val="18"/>
                <w:szCs w:val="18"/>
                <w:lang w:val="es-ES"/>
              </w:rPr>
              <w:t>2017</w:t>
            </w:r>
          </w:p>
        </w:tc>
      </w:tr>
      <w:tr w:rsidR="00EA469E" w:rsidRPr="00FE4A24" w:rsidTr="00EB25DD">
        <w:trPr>
          <w:trHeight w:val="198"/>
        </w:trPr>
        <w:tc>
          <w:tcPr>
            <w:tcW w:w="3700" w:type="dxa"/>
            <w:tcBorders>
              <w:top w:val="single" w:sz="4" w:space="0" w:color="auto"/>
              <w:bottom w:val="single" w:sz="2" w:space="0" w:color="auto"/>
            </w:tcBorders>
          </w:tcPr>
          <w:p w:rsidR="00EA469E" w:rsidRPr="00FE4A24" w:rsidRDefault="00EA469E" w:rsidP="00A8447C">
            <w:pPr>
              <w:pStyle w:val="texto"/>
              <w:spacing w:after="0" w:line="240" w:lineRule="atLeast"/>
              <w:ind w:firstLine="0"/>
              <w:rPr>
                <w:rFonts w:ascii="Arial Narrow" w:hAnsi="Arial Narrow"/>
                <w:sz w:val="20"/>
                <w:szCs w:val="20"/>
                <w:lang w:val="es-ES"/>
              </w:rPr>
            </w:pPr>
            <w:r>
              <w:rPr>
                <w:rFonts w:ascii="Arial Narrow" w:hAnsi="Arial Narrow"/>
                <w:sz w:val="20"/>
                <w:szCs w:val="20"/>
                <w:lang w:val="es-ES"/>
              </w:rPr>
              <w:t>Personal efectivo</w:t>
            </w:r>
          </w:p>
        </w:tc>
        <w:tc>
          <w:tcPr>
            <w:tcW w:w="992" w:type="dxa"/>
            <w:tcBorders>
              <w:top w:val="single" w:sz="4" w:space="0" w:color="auto"/>
              <w:bottom w:val="single" w:sz="2" w:space="0" w:color="auto"/>
            </w:tcBorders>
          </w:tcPr>
          <w:p w:rsidR="00EA469E" w:rsidRPr="00FE4A24" w:rsidRDefault="00EA469E" w:rsidP="00A8447C">
            <w:pPr>
              <w:pStyle w:val="texto"/>
              <w:spacing w:after="0" w:line="240" w:lineRule="atLeast"/>
              <w:ind w:firstLine="0"/>
              <w:jc w:val="right"/>
              <w:rPr>
                <w:rFonts w:ascii="Arial Narrow" w:hAnsi="Arial Narrow"/>
                <w:sz w:val="20"/>
                <w:szCs w:val="20"/>
                <w:lang w:val="es-ES"/>
              </w:rPr>
            </w:pPr>
            <w:r>
              <w:rPr>
                <w:rFonts w:ascii="Arial Narrow" w:hAnsi="Arial Narrow"/>
                <w:sz w:val="20"/>
                <w:szCs w:val="20"/>
                <w:lang w:val="es-ES"/>
              </w:rPr>
              <w:t>26.156</w:t>
            </w:r>
          </w:p>
        </w:tc>
        <w:tc>
          <w:tcPr>
            <w:tcW w:w="992" w:type="dxa"/>
            <w:tcBorders>
              <w:top w:val="single" w:sz="4" w:space="0" w:color="auto"/>
              <w:bottom w:val="single" w:sz="2" w:space="0" w:color="auto"/>
            </w:tcBorders>
          </w:tcPr>
          <w:p w:rsidR="00EA469E" w:rsidRPr="00FE4A24" w:rsidRDefault="00EA469E" w:rsidP="00A8447C">
            <w:pPr>
              <w:pStyle w:val="texto"/>
              <w:spacing w:after="0" w:line="240" w:lineRule="atLeast"/>
              <w:ind w:firstLine="0"/>
              <w:jc w:val="right"/>
              <w:rPr>
                <w:rFonts w:ascii="Arial Narrow" w:hAnsi="Arial Narrow"/>
                <w:sz w:val="20"/>
                <w:szCs w:val="20"/>
                <w:lang w:val="es-ES"/>
              </w:rPr>
            </w:pPr>
            <w:r>
              <w:rPr>
                <w:rFonts w:ascii="Arial Narrow" w:hAnsi="Arial Narrow"/>
                <w:sz w:val="20"/>
                <w:szCs w:val="20"/>
                <w:lang w:val="es-ES"/>
              </w:rPr>
              <w:t>26.306</w:t>
            </w:r>
          </w:p>
        </w:tc>
        <w:tc>
          <w:tcPr>
            <w:tcW w:w="993" w:type="dxa"/>
            <w:tcBorders>
              <w:top w:val="single" w:sz="4" w:space="0" w:color="auto"/>
              <w:bottom w:val="single" w:sz="2" w:space="0" w:color="auto"/>
            </w:tcBorders>
          </w:tcPr>
          <w:p w:rsidR="00EA469E" w:rsidRPr="00FE4A24" w:rsidRDefault="00EA469E" w:rsidP="00A8447C">
            <w:pPr>
              <w:pStyle w:val="texto"/>
              <w:spacing w:after="0" w:line="240" w:lineRule="atLeast"/>
              <w:ind w:firstLine="0"/>
              <w:jc w:val="right"/>
              <w:rPr>
                <w:rFonts w:ascii="Arial Narrow" w:hAnsi="Arial Narrow"/>
                <w:sz w:val="20"/>
                <w:szCs w:val="20"/>
                <w:lang w:val="es-ES"/>
              </w:rPr>
            </w:pPr>
            <w:r>
              <w:rPr>
                <w:rFonts w:ascii="Arial Narrow" w:hAnsi="Arial Narrow"/>
                <w:sz w:val="20"/>
                <w:szCs w:val="20"/>
                <w:lang w:val="es-ES"/>
              </w:rPr>
              <w:t>26.698</w:t>
            </w:r>
          </w:p>
        </w:tc>
        <w:tc>
          <w:tcPr>
            <w:tcW w:w="1134" w:type="dxa"/>
            <w:tcBorders>
              <w:top w:val="single" w:sz="4" w:space="0" w:color="auto"/>
              <w:bottom w:val="single" w:sz="2" w:space="0" w:color="auto"/>
            </w:tcBorders>
          </w:tcPr>
          <w:p w:rsidR="00EA469E" w:rsidRPr="00FE4A24" w:rsidRDefault="00EA469E" w:rsidP="00A8447C">
            <w:pPr>
              <w:pStyle w:val="texto"/>
              <w:spacing w:after="0" w:line="240" w:lineRule="atLeast"/>
              <w:ind w:firstLine="0"/>
              <w:jc w:val="right"/>
              <w:rPr>
                <w:rFonts w:ascii="Arial Narrow" w:hAnsi="Arial Narrow"/>
                <w:sz w:val="20"/>
                <w:szCs w:val="20"/>
                <w:lang w:val="es-ES"/>
              </w:rPr>
            </w:pPr>
            <w:r>
              <w:rPr>
                <w:rFonts w:ascii="Arial Narrow" w:hAnsi="Arial Narrow"/>
                <w:sz w:val="20"/>
                <w:szCs w:val="20"/>
                <w:lang w:val="es-ES"/>
              </w:rPr>
              <w:t>26.851</w:t>
            </w:r>
          </w:p>
        </w:tc>
        <w:tc>
          <w:tcPr>
            <w:tcW w:w="992" w:type="dxa"/>
            <w:tcBorders>
              <w:top w:val="single" w:sz="4" w:space="0" w:color="auto"/>
              <w:bottom w:val="single" w:sz="2" w:space="0" w:color="auto"/>
            </w:tcBorders>
          </w:tcPr>
          <w:p w:rsidR="00EA469E" w:rsidRPr="00FE4A24" w:rsidRDefault="00EA469E" w:rsidP="00A8447C">
            <w:pPr>
              <w:pStyle w:val="texto"/>
              <w:spacing w:after="0" w:line="240" w:lineRule="atLeast"/>
              <w:ind w:firstLine="0"/>
              <w:jc w:val="right"/>
              <w:rPr>
                <w:rFonts w:ascii="Arial Narrow" w:hAnsi="Arial Narrow"/>
                <w:sz w:val="20"/>
                <w:szCs w:val="20"/>
                <w:lang w:val="es-ES"/>
              </w:rPr>
            </w:pPr>
            <w:r>
              <w:rPr>
                <w:rFonts w:ascii="Arial Narrow" w:hAnsi="Arial Narrow"/>
                <w:sz w:val="20"/>
                <w:szCs w:val="20"/>
                <w:lang w:val="es-ES"/>
              </w:rPr>
              <w:t>28.020</w:t>
            </w:r>
          </w:p>
        </w:tc>
      </w:tr>
      <w:tr w:rsidR="00EA469E" w:rsidRPr="00FE4A24" w:rsidTr="00EB25DD">
        <w:trPr>
          <w:trHeight w:val="198"/>
        </w:trPr>
        <w:tc>
          <w:tcPr>
            <w:tcW w:w="3700" w:type="dxa"/>
            <w:tcBorders>
              <w:top w:val="single" w:sz="2" w:space="0" w:color="auto"/>
              <w:bottom w:val="single" w:sz="2" w:space="0" w:color="auto"/>
            </w:tcBorders>
          </w:tcPr>
          <w:p w:rsidR="00EA469E" w:rsidRPr="00FE4A24" w:rsidRDefault="00EA469E" w:rsidP="00A8447C">
            <w:pPr>
              <w:pStyle w:val="texto"/>
              <w:spacing w:after="0" w:line="240" w:lineRule="atLeast"/>
              <w:ind w:firstLine="0"/>
              <w:rPr>
                <w:rFonts w:ascii="Arial Narrow" w:hAnsi="Arial Narrow"/>
                <w:sz w:val="20"/>
                <w:szCs w:val="20"/>
                <w:lang w:val="es-ES"/>
              </w:rPr>
            </w:pPr>
            <w:r w:rsidRPr="00FE4A24">
              <w:rPr>
                <w:rFonts w:ascii="Arial Narrow" w:hAnsi="Arial Narrow"/>
                <w:sz w:val="20"/>
                <w:szCs w:val="20"/>
                <w:lang w:val="es-ES"/>
              </w:rPr>
              <w:t>Personal fijo</w:t>
            </w:r>
          </w:p>
        </w:tc>
        <w:tc>
          <w:tcPr>
            <w:tcW w:w="992" w:type="dxa"/>
            <w:tcBorders>
              <w:top w:val="single" w:sz="2" w:space="0" w:color="auto"/>
              <w:bottom w:val="single" w:sz="2" w:space="0" w:color="auto"/>
            </w:tcBorders>
          </w:tcPr>
          <w:p w:rsidR="00EA469E" w:rsidRPr="00FE4A24" w:rsidRDefault="00EA469E" w:rsidP="00A8447C">
            <w:pPr>
              <w:pStyle w:val="texto"/>
              <w:spacing w:after="0" w:line="240" w:lineRule="atLeast"/>
              <w:ind w:firstLine="0"/>
              <w:jc w:val="right"/>
              <w:rPr>
                <w:rFonts w:ascii="Arial Narrow" w:hAnsi="Arial Narrow"/>
                <w:sz w:val="20"/>
                <w:szCs w:val="20"/>
                <w:lang w:val="es-ES"/>
              </w:rPr>
            </w:pPr>
            <w:r>
              <w:rPr>
                <w:rFonts w:ascii="Arial Narrow" w:hAnsi="Arial Narrow"/>
                <w:sz w:val="20"/>
                <w:szCs w:val="20"/>
                <w:lang w:val="es-ES"/>
              </w:rPr>
              <w:t>17.479</w:t>
            </w:r>
          </w:p>
        </w:tc>
        <w:tc>
          <w:tcPr>
            <w:tcW w:w="992" w:type="dxa"/>
            <w:tcBorders>
              <w:top w:val="single" w:sz="2" w:space="0" w:color="auto"/>
              <w:bottom w:val="single" w:sz="2" w:space="0" w:color="auto"/>
            </w:tcBorders>
          </w:tcPr>
          <w:p w:rsidR="00EA469E" w:rsidRPr="00FE4A24" w:rsidRDefault="00EA469E" w:rsidP="00A8447C">
            <w:pPr>
              <w:pStyle w:val="texto"/>
              <w:spacing w:after="0" w:line="240" w:lineRule="atLeast"/>
              <w:ind w:firstLine="0"/>
              <w:jc w:val="right"/>
              <w:rPr>
                <w:rFonts w:ascii="Arial Narrow" w:hAnsi="Arial Narrow"/>
                <w:sz w:val="20"/>
                <w:szCs w:val="20"/>
                <w:lang w:val="es-ES"/>
              </w:rPr>
            </w:pPr>
            <w:r>
              <w:rPr>
                <w:rFonts w:ascii="Arial Narrow" w:hAnsi="Arial Narrow"/>
                <w:sz w:val="20"/>
                <w:szCs w:val="20"/>
                <w:lang w:val="es-ES"/>
              </w:rPr>
              <w:t>17.073</w:t>
            </w:r>
          </w:p>
        </w:tc>
        <w:tc>
          <w:tcPr>
            <w:tcW w:w="993" w:type="dxa"/>
            <w:tcBorders>
              <w:top w:val="single" w:sz="2" w:space="0" w:color="auto"/>
              <w:bottom w:val="single" w:sz="2" w:space="0" w:color="auto"/>
            </w:tcBorders>
          </w:tcPr>
          <w:p w:rsidR="00EA469E" w:rsidRPr="00FE4A24" w:rsidRDefault="00EA469E" w:rsidP="00A8447C">
            <w:pPr>
              <w:pStyle w:val="texto"/>
              <w:spacing w:after="0" w:line="240" w:lineRule="atLeast"/>
              <w:ind w:firstLine="0"/>
              <w:jc w:val="right"/>
              <w:rPr>
                <w:rFonts w:ascii="Arial Narrow" w:hAnsi="Arial Narrow"/>
                <w:sz w:val="20"/>
                <w:szCs w:val="20"/>
                <w:lang w:val="es-ES"/>
              </w:rPr>
            </w:pPr>
            <w:r>
              <w:rPr>
                <w:rFonts w:ascii="Arial Narrow" w:hAnsi="Arial Narrow"/>
                <w:sz w:val="20"/>
                <w:szCs w:val="20"/>
                <w:lang w:val="es-ES"/>
              </w:rPr>
              <w:t>16.425</w:t>
            </w:r>
          </w:p>
        </w:tc>
        <w:tc>
          <w:tcPr>
            <w:tcW w:w="1134" w:type="dxa"/>
            <w:tcBorders>
              <w:top w:val="single" w:sz="2" w:space="0" w:color="auto"/>
              <w:bottom w:val="single" w:sz="2" w:space="0" w:color="auto"/>
            </w:tcBorders>
          </w:tcPr>
          <w:p w:rsidR="00EA469E" w:rsidRPr="00FE4A24" w:rsidRDefault="00EA469E" w:rsidP="00A8447C">
            <w:pPr>
              <w:pStyle w:val="texto"/>
              <w:spacing w:after="0" w:line="240" w:lineRule="atLeast"/>
              <w:ind w:firstLine="0"/>
              <w:jc w:val="right"/>
              <w:rPr>
                <w:rFonts w:ascii="Arial Narrow" w:hAnsi="Arial Narrow"/>
                <w:sz w:val="20"/>
                <w:szCs w:val="20"/>
                <w:lang w:val="es-ES"/>
              </w:rPr>
            </w:pPr>
            <w:r>
              <w:rPr>
                <w:rFonts w:ascii="Arial Narrow" w:hAnsi="Arial Narrow"/>
                <w:sz w:val="20"/>
                <w:szCs w:val="20"/>
                <w:lang w:val="es-ES"/>
              </w:rPr>
              <w:t>16.061</w:t>
            </w:r>
          </w:p>
        </w:tc>
        <w:tc>
          <w:tcPr>
            <w:tcW w:w="992" w:type="dxa"/>
            <w:tcBorders>
              <w:top w:val="single" w:sz="2" w:space="0" w:color="auto"/>
              <w:bottom w:val="single" w:sz="2" w:space="0" w:color="auto"/>
            </w:tcBorders>
          </w:tcPr>
          <w:p w:rsidR="00EA469E" w:rsidRPr="00FE4A24" w:rsidRDefault="00EA469E" w:rsidP="00A8447C">
            <w:pPr>
              <w:pStyle w:val="texto"/>
              <w:spacing w:after="0" w:line="240" w:lineRule="atLeast"/>
              <w:ind w:firstLine="0"/>
              <w:jc w:val="right"/>
              <w:rPr>
                <w:rFonts w:ascii="Arial Narrow" w:hAnsi="Arial Narrow"/>
                <w:sz w:val="20"/>
                <w:szCs w:val="20"/>
                <w:lang w:val="es-ES"/>
              </w:rPr>
            </w:pPr>
            <w:r>
              <w:rPr>
                <w:rFonts w:ascii="Arial Narrow" w:hAnsi="Arial Narrow"/>
                <w:sz w:val="20"/>
                <w:szCs w:val="20"/>
                <w:lang w:val="es-ES"/>
              </w:rPr>
              <w:t>15.368</w:t>
            </w:r>
          </w:p>
        </w:tc>
      </w:tr>
      <w:tr w:rsidR="00EA469E" w:rsidRPr="00FE4A24" w:rsidTr="00EB25DD">
        <w:trPr>
          <w:trHeight w:val="198"/>
        </w:trPr>
        <w:tc>
          <w:tcPr>
            <w:tcW w:w="3700" w:type="dxa"/>
            <w:tcBorders>
              <w:top w:val="single" w:sz="2" w:space="0" w:color="auto"/>
              <w:bottom w:val="single" w:sz="2" w:space="0" w:color="auto"/>
            </w:tcBorders>
          </w:tcPr>
          <w:p w:rsidR="00EA469E" w:rsidRDefault="00EA469E" w:rsidP="00A8447C">
            <w:pPr>
              <w:pStyle w:val="texto"/>
              <w:spacing w:after="0" w:line="240" w:lineRule="atLeast"/>
              <w:ind w:firstLine="0"/>
              <w:rPr>
                <w:rFonts w:ascii="Arial Narrow" w:hAnsi="Arial Narrow"/>
                <w:sz w:val="20"/>
                <w:szCs w:val="20"/>
                <w:lang w:val="es-ES"/>
              </w:rPr>
            </w:pPr>
            <w:r>
              <w:rPr>
                <w:rFonts w:ascii="Arial Narrow" w:hAnsi="Arial Narrow"/>
                <w:sz w:val="20"/>
                <w:szCs w:val="20"/>
                <w:lang w:val="es-ES"/>
              </w:rPr>
              <w:t>Personal temporal</w:t>
            </w:r>
          </w:p>
        </w:tc>
        <w:tc>
          <w:tcPr>
            <w:tcW w:w="992" w:type="dxa"/>
            <w:tcBorders>
              <w:top w:val="single" w:sz="2" w:space="0" w:color="auto"/>
              <w:bottom w:val="single" w:sz="2" w:space="0" w:color="auto"/>
            </w:tcBorders>
          </w:tcPr>
          <w:p w:rsidR="00EA469E" w:rsidRDefault="00EA469E" w:rsidP="00A8447C">
            <w:pPr>
              <w:pStyle w:val="texto"/>
              <w:spacing w:after="0" w:line="240" w:lineRule="atLeast"/>
              <w:ind w:firstLine="0"/>
              <w:jc w:val="right"/>
              <w:rPr>
                <w:rFonts w:ascii="Arial Narrow" w:hAnsi="Arial Narrow"/>
                <w:sz w:val="20"/>
                <w:szCs w:val="20"/>
                <w:lang w:val="es-ES"/>
              </w:rPr>
            </w:pPr>
            <w:r>
              <w:rPr>
                <w:rFonts w:ascii="Arial Narrow" w:hAnsi="Arial Narrow"/>
                <w:sz w:val="20"/>
                <w:szCs w:val="20"/>
                <w:lang w:val="es-ES"/>
              </w:rPr>
              <w:t>8.677</w:t>
            </w:r>
          </w:p>
        </w:tc>
        <w:tc>
          <w:tcPr>
            <w:tcW w:w="992" w:type="dxa"/>
            <w:tcBorders>
              <w:top w:val="single" w:sz="2" w:space="0" w:color="auto"/>
              <w:bottom w:val="single" w:sz="2" w:space="0" w:color="auto"/>
            </w:tcBorders>
          </w:tcPr>
          <w:p w:rsidR="00EA469E" w:rsidRDefault="00EA469E" w:rsidP="00A8447C">
            <w:pPr>
              <w:pStyle w:val="texto"/>
              <w:spacing w:after="0" w:line="240" w:lineRule="atLeast"/>
              <w:ind w:firstLine="0"/>
              <w:jc w:val="right"/>
              <w:rPr>
                <w:rFonts w:ascii="Arial Narrow" w:hAnsi="Arial Narrow"/>
                <w:sz w:val="20"/>
                <w:szCs w:val="20"/>
                <w:lang w:val="es-ES"/>
              </w:rPr>
            </w:pPr>
            <w:r>
              <w:rPr>
                <w:rFonts w:ascii="Arial Narrow" w:hAnsi="Arial Narrow"/>
                <w:sz w:val="20"/>
                <w:szCs w:val="20"/>
                <w:lang w:val="es-ES"/>
              </w:rPr>
              <w:t>9.233</w:t>
            </w:r>
          </w:p>
        </w:tc>
        <w:tc>
          <w:tcPr>
            <w:tcW w:w="993" w:type="dxa"/>
            <w:tcBorders>
              <w:top w:val="single" w:sz="2" w:space="0" w:color="auto"/>
              <w:bottom w:val="single" w:sz="2" w:space="0" w:color="auto"/>
            </w:tcBorders>
          </w:tcPr>
          <w:p w:rsidR="00EA469E" w:rsidRDefault="00EA469E" w:rsidP="00A8447C">
            <w:pPr>
              <w:pStyle w:val="texto"/>
              <w:spacing w:after="0" w:line="240" w:lineRule="atLeast"/>
              <w:ind w:firstLine="0"/>
              <w:jc w:val="right"/>
              <w:rPr>
                <w:rFonts w:ascii="Arial Narrow" w:hAnsi="Arial Narrow"/>
                <w:sz w:val="20"/>
                <w:szCs w:val="20"/>
                <w:lang w:val="es-ES"/>
              </w:rPr>
            </w:pPr>
            <w:r>
              <w:rPr>
                <w:rFonts w:ascii="Arial Narrow" w:hAnsi="Arial Narrow"/>
                <w:sz w:val="20"/>
                <w:szCs w:val="20"/>
                <w:lang w:val="es-ES"/>
              </w:rPr>
              <w:t>10.273</w:t>
            </w:r>
          </w:p>
        </w:tc>
        <w:tc>
          <w:tcPr>
            <w:tcW w:w="1134" w:type="dxa"/>
            <w:tcBorders>
              <w:top w:val="single" w:sz="2" w:space="0" w:color="auto"/>
              <w:bottom w:val="single" w:sz="2" w:space="0" w:color="auto"/>
            </w:tcBorders>
          </w:tcPr>
          <w:p w:rsidR="00EA469E" w:rsidRDefault="00EA469E" w:rsidP="00A8447C">
            <w:pPr>
              <w:pStyle w:val="texto"/>
              <w:spacing w:after="0" w:line="240" w:lineRule="atLeast"/>
              <w:ind w:firstLine="0"/>
              <w:jc w:val="right"/>
              <w:rPr>
                <w:rFonts w:ascii="Arial Narrow" w:hAnsi="Arial Narrow"/>
                <w:sz w:val="20"/>
                <w:szCs w:val="20"/>
                <w:lang w:val="es-ES"/>
              </w:rPr>
            </w:pPr>
            <w:r>
              <w:rPr>
                <w:rFonts w:ascii="Arial Narrow" w:hAnsi="Arial Narrow"/>
                <w:sz w:val="20"/>
                <w:szCs w:val="20"/>
                <w:lang w:val="es-ES"/>
              </w:rPr>
              <w:t>10.790</w:t>
            </w:r>
          </w:p>
        </w:tc>
        <w:tc>
          <w:tcPr>
            <w:tcW w:w="992" w:type="dxa"/>
            <w:tcBorders>
              <w:top w:val="single" w:sz="2" w:space="0" w:color="auto"/>
              <w:bottom w:val="single" w:sz="2" w:space="0" w:color="auto"/>
            </w:tcBorders>
          </w:tcPr>
          <w:p w:rsidR="00EA469E" w:rsidRDefault="00EA469E" w:rsidP="00A8447C">
            <w:pPr>
              <w:pStyle w:val="texto"/>
              <w:spacing w:after="0" w:line="240" w:lineRule="atLeast"/>
              <w:ind w:firstLine="0"/>
              <w:jc w:val="right"/>
              <w:rPr>
                <w:rFonts w:ascii="Arial Narrow" w:hAnsi="Arial Narrow"/>
                <w:sz w:val="20"/>
                <w:szCs w:val="20"/>
                <w:lang w:val="es-ES"/>
              </w:rPr>
            </w:pPr>
            <w:r>
              <w:rPr>
                <w:rFonts w:ascii="Arial Narrow" w:hAnsi="Arial Narrow"/>
                <w:sz w:val="20"/>
                <w:szCs w:val="20"/>
                <w:lang w:val="es-ES"/>
              </w:rPr>
              <w:t>12.652</w:t>
            </w:r>
          </w:p>
        </w:tc>
      </w:tr>
      <w:tr w:rsidR="00EA469E" w:rsidRPr="00FE4A24" w:rsidTr="00EB25DD">
        <w:trPr>
          <w:trHeight w:val="198"/>
        </w:trPr>
        <w:tc>
          <w:tcPr>
            <w:tcW w:w="3700" w:type="dxa"/>
            <w:tcBorders>
              <w:top w:val="single" w:sz="2" w:space="0" w:color="auto"/>
              <w:bottom w:val="single" w:sz="4" w:space="0" w:color="auto"/>
            </w:tcBorders>
          </w:tcPr>
          <w:p w:rsidR="00EA469E" w:rsidRDefault="00EA469E" w:rsidP="00A8447C">
            <w:pPr>
              <w:pStyle w:val="texto"/>
              <w:spacing w:after="0" w:line="240" w:lineRule="atLeast"/>
              <w:ind w:firstLine="0"/>
              <w:rPr>
                <w:rFonts w:ascii="Arial Narrow" w:hAnsi="Arial Narrow"/>
                <w:sz w:val="20"/>
                <w:szCs w:val="20"/>
                <w:lang w:val="es-ES"/>
              </w:rPr>
            </w:pPr>
            <w:r>
              <w:rPr>
                <w:rFonts w:ascii="Arial Narrow" w:hAnsi="Arial Narrow"/>
                <w:sz w:val="20"/>
                <w:szCs w:val="20"/>
                <w:lang w:val="es-ES"/>
              </w:rPr>
              <w:t>% personal temporal/personal efectivo</w:t>
            </w:r>
          </w:p>
        </w:tc>
        <w:tc>
          <w:tcPr>
            <w:tcW w:w="992" w:type="dxa"/>
            <w:tcBorders>
              <w:top w:val="single" w:sz="2" w:space="0" w:color="auto"/>
              <w:bottom w:val="single" w:sz="4" w:space="0" w:color="auto"/>
            </w:tcBorders>
          </w:tcPr>
          <w:p w:rsidR="00EA469E" w:rsidRDefault="00EA469E" w:rsidP="00A8447C">
            <w:pPr>
              <w:pStyle w:val="texto"/>
              <w:spacing w:after="0" w:line="240" w:lineRule="atLeast"/>
              <w:ind w:firstLine="0"/>
              <w:jc w:val="right"/>
              <w:rPr>
                <w:rFonts w:ascii="Arial Narrow" w:hAnsi="Arial Narrow"/>
                <w:sz w:val="20"/>
                <w:szCs w:val="20"/>
                <w:lang w:val="es-ES"/>
              </w:rPr>
            </w:pPr>
            <w:r>
              <w:rPr>
                <w:rFonts w:ascii="Arial Narrow" w:hAnsi="Arial Narrow"/>
                <w:sz w:val="20"/>
                <w:szCs w:val="20"/>
                <w:lang w:val="es-ES"/>
              </w:rPr>
              <w:t>33</w:t>
            </w:r>
          </w:p>
        </w:tc>
        <w:tc>
          <w:tcPr>
            <w:tcW w:w="992" w:type="dxa"/>
            <w:tcBorders>
              <w:top w:val="single" w:sz="2" w:space="0" w:color="auto"/>
              <w:bottom w:val="single" w:sz="4" w:space="0" w:color="auto"/>
            </w:tcBorders>
          </w:tcPr>
          <w:p w:rsidR="00EA469E" w:rsidRDefault="00EA469E" w:rsidP="00A8447C">
            <w:pPr>
              <w:pStyle w:val="texto"/>
              <w:spacing w:after="0" w:line="240" w:lineRule="atLeast"/>
              <w:ind w:firstLine="0"/>
              <w:jc w:val="right"/>
              <w:rPr>
                <w:rFonts w:ascii="Arial Narrow" w:hAnsi="Arial Narrow"/>
                <w:sz w:val="20"/>
                <w:szCs w:val="20"/>
                <w:lang w:val="es-ES"/>
              </w:rPr>
            </w:pPr>
            <w:r>
              <w:rPr>
                <w:rFonts w:ascii="Arial Narrow" w:hAnsi="Arial Narrow"/>
                <w:sz w:val="20"/>
                <w:szCs w:val="20"/>
                <w:lang w:val="es-ES"/>
              </w:rPr>
              <w:t>35</w:t>
            </w:r>
          </w:p>
        </w:tc>
        <w:tc>
          <w:tcPr>
            <w:tcW w:w="993" w:type="dxa"/>
            <w:tcBorders>
              <w:top w:val="single" w:sz="2" w:space="0" w:color="auto"/>
              <w:bottom w:val="single" w:sz="4" w:space="0" w:color="auto"/>
            </w:tcBorders>
          </w:tcPr>
          <w:p w:rsidR="00EA469E" w:rsidRDefault="00EA469E" w:rsidP="00A8447C">
            <w:pPr>
              <w:pStyle w:val="texto"/>
              <w:spacing w:after="0" w:line="240" w:lineRule="atLeast"/>
              <w:ind w:firstLine="0"/>
              <w:jc w:val="right"/>
              <w:rPr>
                <w:rFonts w:ascii="Arial Narrow" w:hAnsi="Arial Narrow"/>
                <w:sz w:val="20"/>
                <w:szCs w:val="20"/>
                <w:lang w:val="es-ES"/>
              </w:rPr>
            </w:pPr>
            <w:r>
              <w:rPr>
                <w:rFonts w:ascii="Arial Narrow" w:hAnsi="Arial Narrow"/>
                <w:sz w:val="20"/>
                <w:szCs w:val="20"/>
                <w:lang w:val="es-ES"/>
              </w:rPr>
              <w:t>38</w:t>
            </w:r>
          </w:p>
        </w:tc>
        <w:tc>
          <w:tcPr>
            <w:tcW w:w="1134" w:type="dxa"/>
            <w:tcBorders>
              <w:top w:val="single" w:sz="2" w:space="0" w:color="auto"/>
              <w:bottom w:val="single" w:sz="4" w:space="0" w:color="auto"/>
            </w:tcBorders>
          </w:tcPr>
          <w:p w:rsidR="00EA469E" w:rsidRDefault="00EA469E" w:rsidP="00A8447C">
            <w:pPr>
              <w:pStyle w:val="texto"/>
              <w:spacing w:after="0" w:line="240" w:lineRule="atLeast"/>
              <w:ind w:firstLine="0"/>
              <w:jc w:val="right"/>
              <w:rPr>
                <w:rFonts w:ascii="Arial Narrow" w:hAnsi="Arial Narrow"/>
                <w:sz w:val="20"/>
                <w:szCs w:val="20"/>
                <w:lang w:val="es-ES"/>
              </w:rPr>
            </w:pPr>
            <w:r>
              <w:rPr>
                <w:rFonts w:ascii="Arial Narrow" w:hAnsi="Arial Narrow"/>
                <w:sz w:val="20"/>
                <w:szCs w:val="20"/>
                <w:lang w:val="es-ES"/>
              </w:rPr>
              <w:t>40</w:t>
            </w:r>
          </w:p>
        </w:tc>
        <w:tc>
          <w:tcPr>
            <w:tcW w:w="992" w:type="dxa"/>
            <w:tcBorders>
              <w:top w:val="single" w:sz="2" w:space="0" w:color="auto"/>
              <w:bottom w:val="single" w:sz="4" w:space="0" w:color="auto"/>
            </w:tcBorders>
          </w:tcPr>
          <w:p w:rsidR="00EA469E" w:rsidRDefault="00EA469E" w:rsidP="00A8447C">
            <w:pPr>
              <w:pStyle w:val="texto"/>
              <w:spacing w:after="0" w:line="240" w:lineRule="atLeast"/>
              <w:ind w:firstLine="0"/>
              <w:jc w:val="right"/>
              <w:rPr>
                <w:rFonts w:ascii="Arial Narrow" w:hAnsi="Arial Narrow"/>
                <w:sz w:val="20"/>
                <w:szCs w:val="20"/>
                <w:lang w:val="es-ES"/>
              </w:rPr>
            </w:pPr>
            <w:r>
              <w:rPr>
                <w:rFonts w:ascii="Arial Narrow" w:hAnsi="Arial Narrow"/>
                <w:sz w:val="20"/>
                <w:szCs w:val="20"/>
                <w:lang w:val="es-ES"/>
              </w:rPr>
              <w:t>45</w:t>
            </w:r>
          </w:p>
        </w:tc>
      </w:tr>
    </w:tbl>
    <w:p w:rsidR="00EA469E" w:rsidRDefault="00EA469E" w:rsidP="00EA469E">
      <w:pPr>
        <w:pStyle w:val="texto"/>
        <w:spacing w:before="240"/>
        <w:rPr>
          <w:lang w:val="es-ES"/>
        </w:rPr>
      </w:pPr>
      <w:r>
        <w:rPr>
          <w:lang w:val="es-ES"/>
        </w:rPr>
        <w:lastRenderedPageBreak/>
        <w:t>Como se observa, el índice de temporalidad a la fecha indicada se ha incr</w:t>
      </w:r>
      <w:r>
        <w:rPr>
          <w:lang w:val="es-ES"/>
        </w:rPr>
        <w:t>e</w:t>
      </w:r>
      <w:r>
        <w:rPr>
          <w:lang w:val="es-ES"/>
        </w:rPr>
        <w:t xml:space="preserve">mentado significativamente en el periodo analizado, pasando del 33 por ciento en 2013 al 45 por ciento en 2017. </w:t>
      </w:r>
    </w:p>
    <w:p w:rsidR="00EA469E" w:rsidRDefault="00EA469E" w:rsidP="006D2426">
      <w:pPr>
        <w:pStyle w:val="texto"/>
        <w:spacing w:before="120" w:after="240"/>
        <w:rPr>
          <w:lang w:val="es-ES"/>
        </w:rPr>
      </w:pPr>
      <w:r>
        <w:rPr>
          <w:lang w:val="es-ES"/>
        </w:rPr>
        <w:t xml:space="preserve">Este hecho ya fue constatado en el informe </w:t>
      </w:r>
      <w:r w:rsidRPr="00B01865">
        <w:rPr>
          <w:lang w:val="es-ES"/>
        </w:rPr>
        <w:t xml:space="preserve">de la Cámara de Comptos sobre contratación temporal en el SNS-O para los ejercicios 2016 y 2017 publicado en marzo de 2018, </w:t>
      </w:r>
      <w:r>
        <w:rPr>
          <w:lang w:val="es-ES"/>
        </w:rPr>
        <w:t xml:space="preserve">en el que se indicaba que, </w:t>
      </w:r>
      <w:r w:rsidRPr="00B01865">
        <w:rPr>
          <w:lang w:val="es-ES"/>
        </w:rPr>
        <w:t>que a esta fecha, en el SNS-O el personal temporal</w:t>
      </w:r>
      <w:r>
        <w:rPr>
          <w:lang w:val="es-ES"/>
        </w:rPr>
        <w:t xml:space="preserve"> </w:t>
      </w:r>
      <w:r w:rsidRPr="00B01865">
        <w:rPr>
          <w:lang w:val="es-ES"/>
        </w:rPr>
        <w:t>su</w:t>
      </w:r>
      <w:r>
        <w:rPr>
          <w:lang w:val="es-ES"/>
        </w:rPr>
        <w:t>peraba al fijo tal y como se muestra a continuación:</w:t>
      </w:r>
    </w:p>
    <w:tbl>
      <w:tblPr>
        <w:tblW w:w="8804" w:type="dxa"/>
        <w:tblInd w:w="55" w:type="dxa"/>
        <w:tblCellMar>
          <w:left w:w="70" w:type="dxa"/>
          <w:right w:w="70" w:type="dxa"/>
        </w:tblCellMar>
        <w:tblLook w:val="04A0" w:firstRow="1" w:lastRow="0" w:firstColumn="1" w:lastColumn="0" w:noHBand="0" w:noVBand="1"/>
      </w:tblPr>
      <w:tblGrid>
        <w:gridCol w:w="998"/>
        <w:gridCol w:w="791"/>
        <w:gridCol w:w="791"/>
        <w:gridCol w:w="979"/>
        <w:gridCol w:w="1178"/>
        <w:gridCol w:w="1090"/>
        <w:gridCol w:w="851"/>
        <w:gridCol w:w="996"/>
        <w:gridCol w:w="1130"/>
      </w:tblGrid>
      <w:tr w:rsidR="00B01865" w:rsidRPr="00B01865" w:rsidTr="00734A6D">
        <w:trPr>
          <w:trHeight w:val="198"/>
        </w:trPr>
        <w:tc>
          <w:tcPr>
            <w:tcW w:w="998" w:type="dxa"/>
            <w:vMerge w:val="restart"/>
            <w:tcBorders>
              <w:top w:val="single" w:sz="4" w:space="0" w:color="auto"/>
              <w:left w:val="nil"/>
              <w:bottom w:val="single" w:sz="2" w:space="0" w:color="auto"/>
              <w:right w:val="nil"/>
            </w:tcBorders>
            <w:shd w:val="clear" w:color="000000" w:fill="8DB3E2"/>
            <w:vAlign w:val="center"/>
            <w:hideMark/>
          </w:tcPr>
          <w:p w:rsidR="00B01865" w:rsidRPr="00B01865" w:rsidRDefault="00EA469E" w:rsidP="00B01865">
            <w:pPr>
              <w:spacing w:after="0"/>
              <w:ind w:firstLine="0"/>
              <w:jc w:val="left"/>
              <w:rPr>
                <w:rFonts w:ascii="Arial" w:hAnsi="Arial" w:cs="Arial"/>
                <w:color w:val="000000"/>
                <w:sz w:val="18"/>
                <w:szCs w:val="18"/>
                <w:lang w:val="es-ES" w:eastAsia="es-ES"/>
              </w:rPr>
            </w:pPr>
            <w:r>
              <w:rPr>
                <w:lang w:val="es-ES"/>
              </w:rPr>
              <w:t xml:space="preserve"> </w:t>
            </w:r>
          </w:p>
        </w:tc>
        <w:tc>
          <w:tcPr>
            <w:tcW w:w="1582" w:type="dxa"/>
            <w:gridSpan w:val="2"/>
            <w:tcBorders>
              <w:top w:val="single" w:sz="4" w:space="0" w:color="auto"/>
              <w:left w:val="nil"/>
              <w:bottom w:val="single" w:sz="2" w:space="0" w:color="auto"/>
              <w:right w:val="nil"/>
            </w:tcBorders>
            <w:shd w:val="clear" w:color="auto" w:fill="8DB3E2" w:themeFill="text2" w:themeFillTint="66"/>
            <w:vAlign w:val="center"/>
            <w:hideMark/>
          </w:tcPr>
          <w:p w:rsidR="00B01865" w:rsidRPr="00B01865" w:rsidRDefault="00B01865" w:rsidP="00734A6D">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Personal fijo</w:t>
            </w:r>
          </w:p>
        </w:tc>
        <w:tc>
          <w:tcPr>
            <w:tcW w:w="2157" w:type="dxa"/>
            <w:gridSpan w:val="2"/>
            <w:tcBorders>
              <w:top w:val="single" w:sz="4" w:space="0" w:color="auto"/>
              <w:left w:val="nil"/>
              <w:bottom w:val="single" w:sz="2" w:space="0" w:color="auto"/>
              <w:right w:val="nil"/>
            </w:tcBorders>
            <w:shd w:val="clear" w:color="000000" w:fill="8DB3E2"/>
            <w:vAlign w:val="center"/>
            <w:hideMark/>
          </w:tcPr>
          <w:p w:rsidR="00B01865" w:rsidRPr="00B01865" w:rsidRDefault="00B01865" w:rsidP="00734A6D">
            <w:pPr>
              <w:spacing w:after="0"/>
              <w:ind w:firstLineChars="300" w:firstLine="54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Personal temporal</w:t>
            </w:r>
          </w:p>
        </w:tc>
        <w:tc>
          <w:tcPr>
            <w:tcW w:w="1941" w:type="dxa"/>
            <w:gridSpan w:val="2"/>
            <w:tcBorders>
              <w:top w:val="single" w:sz="4" w:space="0" w:color="auto"/>
              <w:left w:val="nil"/>
              <w:bottom w:val="single" w:sz="2" w:space="0" w:color="auto"/>
              <w:right w:val="nil"/>
            </w:tcBorders>
            <w:shd w:val="clear" w:color="000000" w:fill="8DB3E2"/>
            <w:vAlign w:val="center"/>
            <w:hideMark/>
          </w:tcPr>
          <w:p w:rsidR="00B01865" w:rsidRPr="00B01865" w:rsidRDefault="00B01865" w:rsidP="00CC440F">
            <w:pPr>
              <w:spacing w:after="0"/>
              <w:ind w:firstLineChars="300" w:firstLine="54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 xml:space="preserve">Total </w:t>
            </w:r>
            <w:r w:rsidR="00CC440F">
              <w:rPr>
                <w:rFonts w:ascii="Arial" w:hAnsi="Arial" w:cs="Arial"/>
                <w:color w:val="000000"/>
                <w:sz w:val="18"/>
                <w:szCs w:val="18"/>
                <w:lang w:val="es-ES" w:eastAsia="es-ES"/>
              </w:rPr>
              <w:t>p</w:t>
            </w:r>
            <w:r w:rsidRPr="00B01865">
              <w:rPr>
                <w:rFonts w:ascii="Arial" w:hAnsi="Arial" w:cs="Arial"/>
                <w:color w:val="000000"/>
                <w:sz w:val="18"/>
                <w:szCs w:val="18"/>
                <w:lang w:val="es-ES" w:eastAsia="es-ES"/>
              </w:rPr>
              <w:t>ersonal</w:t>
            </w:r>
          </w:p>
        </w:tc>
        <w:tc>
          <w:tcPr>
            <w:tcW w:w="2126" w:type="dxa"/>
            <w:gridSpan w:val="2"/>
            <w:tcBorders>
              <w:top w:val="single" w:sz="4" w:space="0" w:color="auto"/>
              <w:left w:val="nil"/>
              <w:bottom w:val="single" w:sz="2" w:space="0" w:color="auto"/>
              <w:right w:val="nil"/>
            </w:tcBorders>
            <w:shd w:val="clear" w:color="000000" w:fill="8DB3E2"/>
            <w:vAlign w:val="center"/>
            <w:hideMark/>
          </w:tcPr>
          <w:p w:rsidR="00B01865" w:rsidRPr="00B01865" w:rsidRDefault="00B01865" w:rsidP="00734A6D">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 personal temporal</w:t>
            </w:r>
          </w:p>
        </w:tc>
      </w:tr>
      <w:tr w:rsidR="00B01865" w:rsidRPr="00B01865" w:rsidTr="00EB25DD">
        <w:trPr>
          <w:trHeight w:val="198"/>
        </w:trPr>
        <w:tc>
          <w:tcPr>
            <w:tcW w:w="998" w:type="dxa"/>
            <w:vMerge/>
            <w:tcBorders>
              <w:top w:val="single" w:sz="2" w:space="0" w:color="auto"/>
              <w:left w:val="nil"/>
              <w:bottom w:val="single" w:sz="4" w:space="0" w:color="auto"/>
              <w:right w:val="nil"/>
            </w:tcBorders>
            <w:vAlign w:val="center"/>
            <w:hideMark/>
          </w:tcPr>
          <w:p w:rsidR="00B01865" w:rsidRPr="00B01865" w:rsidRDefault="00B01865" w:rsidP="00B01865">
            <w:pPr>
              <w:spacing w:after="0"/>
              <w:ind w:firstLine="0"/>
              <w:jc w:val="left"/>
              <w:rPr>
                <w:rFonts w:ascii="Arial" w:hAnsi="Arial" w:cs="Arial"/>
                <w:color w:val="000000"/>
                <w:sz w:val="18"/>
                <w:szCs w:val="18"/>
                <w:lang w:val="es-ES" w:eastAsia="es-ES"/>
              </w:rPr>
            </w:pPr>
          </w:p>
        </w:tc>
        <w:tc>
          <w:tcPr>
            <w:tcW w:w="791" w:type="dxa"/>
            <w:tcBorders>
              <w:top w:val="single" w:sz="2"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2016</w:t>
            </w:r>
          </w:p>
        </w:tc>
        <w:tc>
          <w:tcPr>
            <w:tcW w:w="791" w:type="dxa"/>
            <w:tcBorders>
              <w:top w:val="single" w:sz="2"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2017</w:t>
            </w:r>
          </w:p>
        </w:tc>
        <w:tc>
          <w:tcPr>
            <w:tcW w:w="979" w:type="dxa"/>
            <w:tcBorders>
              <w:top w:val="single" w:sz="2"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2016</w:t>
            </w:r>
          </w:p>
        </w:tc>
        <w:tc>
          <w:tcPr>
            <w:tcW w:w="1178" w:type="dxa"/>
            <w:tcBorders>
              <w:top w:val="single" w:sz="2"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2017</w:t>
            </w:r>
          </w:p>
        </w:tc>
        <w:tc>
          <w:tcPr>
            <w:tcW w:w="1090" w:type="dxa"/>
            <w:tcBorders>
              <w:top w:val="single" w:sz="2"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2016</w:t>
            </w:r>
          </w:p>
        </w:tc>
        <w:tc>
          <w:tcPr>
            <w:tcW w:w="851" w:type="dxa"/>
            <w:tcBorders>
              <w:top w:val="single" w:sz="2"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2017</w:t>
            </w:r>
          </w:p>
        </w:tc>
        <w:tc>
          <w:tcPr>
            <w:tcW w:w="996" w:type="dxa"/>
            <w:tcBorders>
              <w:top w:val="single" w:sz="2"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2016</w:t>
            </w:r>
          </w:p>
        </w:tc>
        <w:tc>
          <w:tcPr>
            <w:tcW w:w="1130" w:type="dxa"/>
            <w:tcBorders>
              <w:top w:val="single" w:sz="2"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2017</w:t>
            </w:r>
          </w:p>
        </w:tc>
      </w:tr>
      <w:tr w:rsidR="00B01865" w:rsidRPr="00B01865" w:rsidTr="00734A6D">
        <w:trPr>
          <w:trHeight w:val="198"/>
        </w:trPr>
        <w:tc>
          <w:tcPr>
            <w:tcW w:w="998" w:type="dxa"/>
            <w:tcBorders>
              <w:top w:val="single" w:sz="4"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Educación</w:t>
            </w:r>
          </w:p>
        </w:tc>
        <w:tc>
          <w:tcPr>
            <w:tcW w:w="791" w:type="dxa"/>
            <w:tcBorders>
              <w:top w:val="single" w:sz="4"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5.835</w:t>
            </w:r>
          </w:p>
        </w:tc>
        <w:tc>
          <w:tcPr>
            <w:tcW w:w="791" w:type="dxa"/>
            <w:tcBorders>
              <w:top w:val="single" w:sz="4"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5.433</w:t>
            </w:r>
          </w:p>
        </w:tc>
        <w:tc>
          <w:tcPr>
            <w:tcW w:w="979" w:type="dxa"/>
            <w:tcBorders>
              <w:top w:val="single" w:sz="4"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3.563</w:t>
            </w:r>
          </w:p>
        </w:tc>
        <w:tc>
          <w:tcPr>
            <w:tcW w:w="1178" w:type="dxa"/>
            <w:tcBorders>
              <w:top w:val="single" w:sz="4"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4.317</w:t>
            </w:r>
          </w:p>
        </w:tc>
        <w:tc>
          <w:tcPr>
            <w:tcW w:w="1090" w:type="dxa"/>
            <w:tcBorders>
              <w:top w:val="single" w:sz="4"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9.398</w:t>
            </w:r>
          </w:p>
        </w:tc>
        <w:tc>
          <w:tcPr>
            <w:tcW w:w="851" w:type="dxa"/>
            <w:tcBorders>
              <w:top w:val="single" w:sz="4"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9.750</w:t>
            </w:r>
          </w:p>
        </w:tc>
        <w:tc>
          <w:tcPr>
            <w:tcW w:w="996"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38</w:t>
            </w:r>
          </w:p>
        </w:tc>
        <w:tc>
          <w:tcPr>
            <w:tcW w:w="1130"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44</w:t>
            </w:r>
          </w:p>
        </w:tc>
      </w:tr>
      <w:tr w:rsidR="00B01865" w:rsidRPr="00B01865" w:rsidTr="000F5116">
        <w:trPr>
          <w:trHeight w:val="198"/>
        </w:trPr>
        <w:tc>
          <w:tcPr>
            <w:tcW w:w="998"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SNS-O</w:t>
            </w:r>
          </w:p>
        </w:tc>
        <w:tc>
          <w:tcPr>
            <w:tcW w:w="791"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5.570</w:t>
            </w:r>
          </w:p>
        </w:tc>
        <w:tc>
          <w:tcPr>
            <w:tcW w:w="791"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5.417</w:t>
            </w:r>
          </w:p>
        </w:tc>
        <w:tc>
          <w:tcPr>
            <w:tcW w:w="97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5.781</w:t>
            </w:r>
          </w:p>
        </w:tc>
        <w:tc>
          <w:tcPr>
            <w:tcW w:w="1178"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6.639</w:t>
            </w:r>
          </w:p>
        </w:tc>
        <w:tc>
          <w:tcPr>
            <w:tcW w:w="10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11.351</w:t>
            </w:r>
          </w:p>
        </w:tc>
        <w:tc>
          <w:tcPr>
            <w:tcW w:w="851"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12.056</w:t>
            </w:r>
          </w:p>
        </w:tc>
        <w:tc>
          <w:tcPr>
            <w:tcW w:w="996"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51</w:t>
            </w:r>
          </w:p>
        </w:tc>
        <w:tc>
          <w:tcPr>
            <w:tcW w:w="1130"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55</w:t>
            </w:r>
          </w:p>
        </w:tc>
      </w:tr>
      <w:tr w:rsidR="00B01865" w:rsidRPr="00B01865" w:rsidTr="00734A6D">
        <w:trPr>
          <w:trHeight w:val="198"/>
        </w:trPr>
        <w:tc>
          <w:tcPr>
            <w:tcW w:w="998" w:type="dxa"/>
            <w:tcBorders>
              <w:top w:val="single" w:sz="2" w:space="0" w:color="auto"/>
              <w:left w:val="nil"/>
              <w:bottom w:val="single" w:sz="4" w:space="0" w:color="auto"/>
              <w:right w:val="nil"/>
            </w:tcBorders>
            <w:shd w:val="clear" w:color="auto" w:fill="auto"/>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Núcleo</w:t>
            </w:r>
          </w:p>
        </w:tc>
        <w:tc>
          <w:tcPr>
            <w:tcW w:w="791" w:type="dxa"/>
            <w:tcBorders>
              <w:top w:val="single" w:sz="2" w:space="0" w:color="auto"/>
              <w:left w:val="nil"/>
              <w:bottom w:val="single" w:sz="4"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4.656</w:t>
            </w:r>
          </w:p>
        </w:tc>
        <w:tc>
          <w:tcPr>
            <w:tcW w:w="791" w:type="dxa"/>
            <w:tcBorders>
              <w:top w:val="single" w:sz="2" w:space="0" w:color="auto"/>
              <w:left w:val="nil"/>
              <w:bottom w:val="single" w:sz="4"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4.518</w:t>
            </w:r>
          </w:p>
        </w:tc>
        <w:tc>
          <w:tcPr>
            <w:tcW w:w="979" w:type="dxa"/>
            <w:tcBorders>
              <w:top w:val="single" w:sz="2" w:space="0" w:color="auto"/>
              <w:left w:val="nil"/>
              <w:bottom w:val="single" w:sz="4"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1.446</w:t>
            </w:r>
          </w:p>
        </w:tc>
        <w:tc>
          <w:tcPr>
            <w:tcW w:w="1178" w:type="dxa"/>
            <w:tcBorders>
              <w:top w:val="single" w:sz="2" w:space="0" w:color="auto"/>
              <w:left w:val="nil"/>
              <w:bottom w:val="single" w:sz="4"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1.696</w:t>
            </w:r>
          </w:p>
        </w:tc>
        <w:tc>
          <w:tcPr>
            <w:tcW w:w="1090" w:type="dxa"/>
            <w:tcBorders>
              <w:top w:val="single" w:sz="2" w:space="0" w:color="auto"/>
              <w:left w:val="nil"/>
              <w:bottom w:val="single" w:sz="4"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6.102</w:t>
            </w:r>
          </w:p>
        </w:tc>
        <w:tc>
          <w:tcPr>
            <w:tcW w:w="851" w:type="dxa"/>
            <w:tcBorders>
              <w:top w:val="single" w:sz="2" w:space="0" w:color="auto"/>
              <w:left w:val="nil"/>
              <w:bottom w:val="single" w:sz="4"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6.214</w:t>
            </w:r>
          </w:p>
        </w:tc>
        <w:tc>
          <w:tcPr>
            <w:tcW w:w="996"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24</w:t>
            </w:r>
          </w:p>
        </w:tc>
        <w:tc>
          <w:tcPr>
            <w:tcW w:w="1130"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27</w:t>
            </w:r>
          </w:p>
        </w:tc>
      </w:tr>
      <w:tr w:rsidR="00B01865" w:rsidRPr="00B01865" w:rsidTr="000F5116">
        <w:trPr>
          <w:trHeight w:val="255"/>
        </w:trPr>
        <w:tc>
          <w:tcPr>
            <w:tcW w:w="998" w:type="dxa"/>
            <w:tcBorders>
              <w:top w:val="single" w:sz="4"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left"/>
              <w:rPr>
                <w:rFonts w:ascii="Arial" w:hAnsi="Arial" w:cs="Arial"/>
                <w:color w:val="000000"/>
                <w:sz w:val="18"/>
                <w:szCs w:val="18"/>
                <w:lang w:val="es-ES" w:eastAsia="es-ES"/>
              </w:rPr>
            </w:pPr>
            <w:r w:rsidRPr="00B01865">
              <w:rPr>
                <w:rFonts w:ascii="Arial" w:hAnsi="Arial" w:cs="Arial"/>
                <w:color w:val="000000"/>
                <w:sz w:val="18"/>
                <w:szCs w:val="18"/>
                <w:lang w:val="es-ES" w:eastAsia="es-ES"/>
              </w:rPr>
              <w:t>Total</w:t>
            </w:r>
          </w:p>
        </w:tc>
        <w:tc>
          <w:tcPr>
            <w:tcW w:w="791"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16.061</w:t>
            </w:r>
          </w:p>
        </w:tc>
        <w:tc>
          <w:tcPr>
            <w:tcW w:w="791"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15.368</w:t>
            </w:r>
          </w:p>
        </w:tc>
        <w:tc>
          <w:tcPr>
            <w:tcW w:w="979" w:type="dxa"/>
            <w:tcBorders>
              <w:top w:val="single" w:sz="4"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10.790</w:t>
            </w:r>
          </w:p>
        </w:tc>
        <w:tc>
          <w:tcPr>
            <w:tcW w:w="1178" w:type="dxa"/>
            <w:tcBorders>
              <w:top w:val="single" w:sz="4"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12.652</w:t>
            </w:r>
          </w:p>
        </w:tc>
        <w:tc>
          <w:tcPr>
            <w:tcW w:w="1090" w:type="dxa"/>
            <w:tcBorders>
              <w:top w:val="single" w:sz="4"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26.851</w:t>
            </w:r>
          </w:p>
        </w:tc>
        <w:tc>
          <w:tcPr>
            <w:tcW w:w="851" w:type="dxa"/>
            <w:tcBorders>
              <w:top w:val="single" w:sz="4" w:space="0" w:color="auto"/>
              <w:left w:val="nil"/>
              <w:bottom w:val="single" w:sz="4" w:space="0" w:color="auto"/>
              <w:right w:val="nil"/>
            </w:tcBorders>
            <w:shd w:val="clear" w:color="000000" w:fill="8DB3E2"/>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28.020</w:t>
            </w:r>
          </w:p>
        </w:tc>
        <w:tc>
          <w:tcPr>
            <w:tcW w:w="996" w:type="dxa"/>
            <w:tcBorders>
              <w:top w:val="single" w:sz="4" w:space="0" w:color="auto"/>
              <w:left w:val="nil"/>
              <w:bottom w:val="single" w:sz="4" w:space="0" w:color="auto"/>
              <w:right w:val="nil"/>
            </w:tcBorders>
            <w:shd w:val="clear" w:color="000000" w:fill="95B3D7"/>
            <w:noWrap/>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40</w:t>
            </w:r>
          </w:p>
        </w:tc>
        <w:tc>
          <w:tcPr>
            <w:tcW w:w="1130" w:type="dxa"/>
            <w:tcBorders>
              <w:top w:val="single" w:sz="4" w:space="0" w:color="auto"/>
              <w:left w:val="nil"/>
              <w:bottom w:val="single" w:sz="4" w:space="0" w:color="auto"/>
              <w:right w:val="nil"/>
            </w:tcBorders>
            <w:shd w:val="clear" w:color="000000" w:fill="95B3D7"/>
            <w:noWrap/>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45</w:t>
            </w:r>
          </w:p>
        </w:tc>
      </w:tr>
    </w:tbl>
    <w:p w:rsidR="006860D5" w:rsidRDefault="006860D5" w:rsidP="00EA469E">
      <w:pPr>
        <w:pStyle w:val="texto"/>
        <w:spacing w:before="240" w:after="240"/>
        <w:rPr>
          <w:lang w:val="es-ES"/>
        </w:rPr>
      </w:pPr>
      <w:r>
        <w:rPr>
          <w:lang w:val="es-ES"/>
        </w:rPr>
        <w:t xml:space="preserve">Por otro lado, hemos analizado la edad del personal </w:t>
      </w:r>
      <w:r w:rsidR="000B1FDF">
        <w:rPr>
          <w:lang w:val="es-ES"/>
        </w:rPr>
        <w:t xml:space="preserve">fijo </w:t>
      </w:r>
      <w:r>
        <w:rPr>
          <w:lang w:val="es-ES"/>
        </w:rPr>
        <w:t>en el periodo 2013-2017 y los datos obtenidos a 31 de diciembre de cada</w:t>
      </w:r>
      <w:r w:rsidR="00FE4A24">
        <w:rPr>
          <w:lang w:val="es-ES"/>
        </w:rPr>
        <w:t xml:space="preserve"> año son:</w:t>
      </w:r>
    </w:p>
    <w:tbl>
      <w:tblPr>
        <w:tblStyle w:val="Tablaconcuadrcula"/>
        <w:tblW w:w="9717" w:type="dxa"/>
        <w:jc w:val="center"/>
        <w:tblBorders>
          <w:left w:val="none" w:sz="0" w:space="0" w:color="auto"/>
          <w:right w:val="none" w:sz="0" w:space="0" w:color="auto"/>
          <w:insideV w:val="single" w:sz="2" w:space="0" w:color="auto"/>
        </w:tblBorders>
        <w:tblLook w:val="04A0" w:firstRow="1" w:lastRow="0" w:firstColumn="1" w:lastColumn="0" w:noHBand="0" w:noVBand="1"/>
      </w:tblPr>
      <w:tblGrid>
        <w:gridCol w:w="1795"/>
        <w:gridCol w:w="747"/>
        <w:gridCol w:w="823"/>
        <w:gridCol w:w="686"/>
        <w:gridCol w:w="901"/>
        <w:gridCol w:w="753"/>
        <w:gridCol w:w="823"/>
        <w:gridCol w:w="716"/>
        <w:gridCol w:w="901"/>
        <w:gridCol w:w="741"/>
        <w:gridCol w:w="831"/>
      </w:tblGrid>
      <w:tr w:rsidR="000B1FDF" w:rsidRPr="00FE4A24" w:rsidTr="00EB25DD">
        <w:trPr>
          <w:jc w:val="center"/>
        </w:trPr>
        <w:tc>
          <w:tcPr>
            <w:tcW w:w="1795" w:type="dxa"/>
            <w:tcBorders>
              <w:bottom w:val="single" w:sz="4" w:space="0" w:color="auto"/>
            </w:tcBorders>
            <w:shd w:val="clear" w:color="auto" w:fill="8DB3E2" w:themeFill="text2" w:themeFillTint="66"/>
          </w:tcPr>
          <w:p w:rsidR="000B1FDF" w:rsidRPr="00FE4A24" w:rsidRDefault="000B1FDF" w:rsidP="000B1FDF">
            <w:pPr>
              <w:pStyle w:val="texto"/>
              <w:spacing w:after="0" w:line="240" w:lineRule="atLeast"/>
              <w:ind w:firstLine="0"/>
              <w:rPr>
                <w:rFonts w:ascii="Arial" w:hAnsi="Arial" w:cs="Arial"/>
                <w:sz w:val="18"/>
                <w:szCs w:val="18"/>
                <w:lang w:val="es-ES"/>
              </w:rPr>
            </w:pPr>
          </w:p>
        </w:tc>
        <w:tc>
          <w:tcPr>
            <w:tcW w:w="747" w:type="dxa"/>
            <w:tcBorders>
              <w:bottom w:val="single" w:sz="4" w:space="0" w:color="auto"/>
            </w:tcBorders>
            <w:shd w:val="clear" w:color="auto" w:fill="8DB3E2" w:themeFill="text2" w:themeFillTint="66"/>
            <w:vAlign w:val="center"/>
          </w:tcPr>
          <w:p w:rsidR="000B1FDF" w:rsidRPr="00FE4A24" w:rsidRDefault="000B1FDF" w:rsidP="000B1FDF">
            <w:pPr>
              <w:pStyle w:val="texto"/>
              <w:spacing w:after="0" w:line="240" w:lineRule="atLeast"/>
              <w:ind w:firstLine="0"/>
              <w:jc w:val="right"/>
              <w:rPr>
                <w:rFonts w:ascii="Arial" w:hAnsi="Arial" w:cs="Arial"/>
                <w:sz w:val="18"/>
                <w:szCs w:val="18"/>
                <w:lang w:val="es-ES"/>
              </w:rPr>
            </w:pPr>
            <w:r w:rsidRPr="00FE4A24">
              <w:rPr>
                <w:rFonts w:ascii="Arial" w:hAnsi="Arial" w:cs="Arial"/>
                <w:sz w:val="18"/>
                <w:szCs w:val="18"/>
                <w:lang w:val="es-ES"/>
              </w:rPr>
              <w:t>2013</w:t>
            </w:r>
          </w:p>
        </w:tc>
        <w:tc>
          <w:tcPr>
            <w:tcW w:w="823" w:type="dxa"/>
            <w:tcBorders>
              <w:bottom w:val="single" w:sz="4" w:space="0" w:color="auto"/>
            </w:tcBorders>
            <w:shd w:val="clear" w:color="auto" w:fill="8DB3E2" w:themeFill="text2" w:themeFillTint="66"/>
            <w:vAlign w:val="center"/>
          </w:tcPr>
          <w:p w:rsidR="000B1FDF" w:rsidRDefault="000B1FDF" w:rsidP="000B1FDF">
            <w:pPr>
              <w:pStyle w:val="texto"/>
              <w:spacing w:after="0" w:line="240" w:lineRule="atLeast"/>
              <w:ind w:firstLine="0"/>
              <w:jc w:val="right"/>
              <w:rPr>
                <w:rFonts w:ascii="Arial" w:hAnsi="Arial" w:cs="Arial"/>
                <w:sz w:val="18"/>
                <w:szCs w:val="18"/>
                <w:lang w:val="es-ES"/>
              </w:rPr>
            </w:pPr>
            <w:r>
              <w:rPr>
                <w:rFonts w:ascii="Arial" w:hAnsi="Arial" w:cs="Arial"/>
                <w:sz w:val="18"/>
                <w:szCs w:val="18"/>
                <w:lang w:val="es-ES"/>
              </w:rPr>
              <w:t xml:space="preserve">% </w:t>
            </w:r>
          </w:p>
          <w:p w:rsidR="000B1FDF" w:rsidRPr="00FE4A24" w:rsidRDefault="000B1FDF" w:rsidP="000B1FDF">
            <w:pPr>
              <w:pStyle w:val="texto"/>
              <w:spacing w:after="0" w:line="240" w:lineRule="atLeast"/>
              <w:ind w:firstLine="0"/>
              <w:jc w:val="right"/>
              <w:rPr>
                <w:rFonts w:ascii="Arial" w:hAnsi="Arial" w:cs="Arial"/>
                <w:sz w:val="18"/>
                <w:szCs w:val="18"/>
                <w:lang w:val="es-ES"/>
              </w:rPr>
            </w:pPr>
            <w:r>
              <w:rPr>
                <w:rFonts w:ascii="Arial" w:hAnsi="Arial" w:cs="Arial"/>
                <w:sz w:val="18"/>
                <w:szCs w:val="18"/>
                <w:lang w:val="es-ES"/>
              </w:rPr>
              <w:t>s/ total</w:t>
            </w:r>
          </w:p>
        </w:tc>
        <w:tc>
          <w:tcPr>
            <w:tcW w:w="686" w:type="dxa"/>
            <w:tcBorders>
              <w:bottom w:val="single" w:sz="4" w:space="0" w:color="auto"/>
            </w:tcBorders>
            <w:shd w:val="clear" w:color="auto" w:fill="8DB3E2" w:themeFill="text2" w:themeFillTint="66"/>
            <w:vAlign w:val="center"/>
          </w:tcPr>
          <w:p w:rsidR="000B1FDF" w:rsidRPr="00FE4A24" w:rsidRDefault="000B1FDF" w:rsidP="000B1FDF">
            <w:pPr>
              <w:pStyle w:val="texto"/>
              <w:spacing w:after="0" w:line="240" w:lineRule="atLeast"/>
              <w:ind w:firstLine="0"/>
              <w:jc w:val="right"/>
              <w:rPr>
                <w:rFonts w:ascii="Arial" w:hAnsi="Arial" w:cs="Arial"/>
                <w:sz w:val="18"/>
                <w:szCs w:val="18"/>
                <w:lang w:val="es-ES"/>
              </w:rPr>
            </w:pPr>
            <w:r w:rsidRPr="00FE4A24">
              <w:rPr>
                <w:rFonts w:ascii="Arial" w:hAnsi="Arial" w:cs="Arial"/>
                <w:sz w:val="18"/>
                <w:szCs w:val="18"/>
                <w:lang w:val="es-ES"/>
              </w:rPr>
              <w:t>2014</w:t>
            </w:r>
          </w:p>
        </w:tc>
        <w:tc>
          <w:tcPr>
            <w:tcW w:w="901" w:type="dxa"/>
            <w:tcBorders>
              <w:bottom w:val="single" w:sz="4" w:space="0" w:color="auto"/>
            </w:tcBorders>
            <w:shd w:val="clear" w:color="auto" w:fill="8DB3E2" w:themeFill="text2" w:themeFillTint="66"/>
            <w:vAlign w:val="center"/>
          </w:tcPr>
          <w:p w:rsidR="003D4409" w:rsidRDefault="000B1FDF" w:rsidP="003D4409">
            <w:pPr>
              <w:pStyle w:val="texto"/>
              <w:spacing w:after="0" w:line="240" w:lineRule="atLeast"/>
              <w:ind w:firstLine="0"/>
              <w:jc w:val="right"/>
              <w:rPr>
                <w:rFonts w:ascii="Arial" w:hAnsi="Arial" w:cs="Arial"/>
                <w:sz w:val="18"/>
                <w:szCs w:val="18"/>
                <w:lang w:val="es-ES"/>
              </w:rPr>
            </w:pPr>
            <w:r>
              <w:rPr>
                <w:rFonts w:ascii="Arial" w:hAnsi="Arial" w:cs="Arial"/>
                <w:sz w:val="18"/>
                <w:szCs w:val="18"/>
                <w:lang w:val="es-ES"/>
              </w:rPr>
              <w:t>%</w:t>
            </w:r>
          </w:p>
          <w:p w:rsidR="000B1FDF" w:rsidRPr="00FE4A24" w:rsidRDefault="000B1FDF" w:rsidP="003D4409">
            <w:pPr>
              <w:pStyle w:val="texto"/>
              <w:spacing w:after="0" w:line="240" w:lineRule="atLeast"/>
              <w:ind w:firstLine="0"/>
              <w:jc w:val="right"/>
              <w:rPr>
                <w:rFonts w:ascii="Arial" w:hAnsi="Arial" w:cs="Arial"/>
                <w:sz w:val="18"/>
                <w:szCs w:val="18"/>
                <w:lang w:val="es-ES"/>
              </w:rPr>
            </w:pPr>
            <w:r>
              <w:rPr>
                <w:rFonts w:ascii="Arial" w:hAnsi="Arial" w:cs="Arial"/>
                <w:sz w:val="18"/>
                <w:szCs w:val="18"/>
                <w:lang w:val="es-ES"/>
              </w:rPr>
              <w:t>s/ total</w:t>
            </w:r>
          </w:p>
        </w:tc>
        <w:tc>
          <w:tcPr>
            <w:tcW w:w="753" w:type="dxa"/>
            <w:tcBorders>
              <w:bottom w:val="single" w:sz="4" w:space="0" w:color="auto"/>
            </w:tcBorders>
            <w:shd w:val="clear" w:color="auto" w:fill="8DB3E2" w:themeFill="text2" w:themeFillTint="66"/>
            <w:vAlign w:val="center"/>
          </w:tcPr>
          <w:p w:rsidR="000B1FDF" w:rsidRPr="00FE4A24" w:rsidRDefault="000B1FDF" w:rsidP="000B1FDF">
            <w:pPr>
              <w:pStyle w:val="texto"/>
              <w:spacing w:after="0" w:line="240" w:lineRule="atLeast"/>
              <w:ind w:firstLine="0"/>
              <w:jc w:val="right"/>
              <w:rPr>
                <w:rFonts w:ascii="Arial" w:hAnsi="Arial" w:cs="Arial"/>
                <w:sz w:val="18"/>
                <w:szCs w:val="18"/>
                <w:lang w:val="es-ES"/>
              </w:rPr>
            </w:pPr>
            <w:r w:rsidRPr="00FE4A24">
              <w:rPr>
                <w:rFonts w:ascii="Arial" w:hAnsi="Arial" w:cs="Arial"/>
                <w:sz w:val="18"/>
                <w:szCs w:val="18"/>
                <w:lang w:val="es-ES"/>
              </w:rPr>
              <w:t>2015</w:t>
            </w:r>
          </w:p>
        </w:tc>
        <w:tc>
          <w:tcPr>
            <w:tcW w:w="823" w:type="dxa"/>
            <w:tcBorders>
              <w:bottom w:val="single" w:sz="4" w:space="0" w:color="auto"/>
            </w:tcBorders>
            <w:shd w:val="clear" w:color="auto" w:fill="8DB3E2" w:themeFill="text2" w:themeFillTint="66"/>
            <w:vAlign w:val="center"/>
          </w:tcPr>
          <w:p w:rsidR="000B1FDF" w:rsidRDefault="000B1FDF" w:rsidP="000B1FDF">
            <w:pPr>
              <w:pStyle w:val="texto"/>
              <w:spacing w:after="0" w:line="240" w:lineRule="atLeast"/>
              <w:ind w:firstLine="0"/>
              <w:jc w:val="right"/>
              <w:rPr>
                <w:rFonts w:ascii="Arial" w:hAnsi="Arial" w:cs="Arial"/>
                <w:sz w:val="18"/>
                <w:szCs w:val="18"/>
                <w:lang w:val="es-ES"/>
              </w:rPr>
            </w:pPr>
            <w:r>
              <w:rPr>
                <w:rFonts w:ascii="Arial" w:hAnsi="Arial" w:cs="Arial"/>
                <w:sz w:val="18"/>
                <w:szCs w:val="18"/>
                <w:lang w:val="es-ES"/>
              </w:rPr>
              <w:t xml:space="preserve">% </w:t>
            </w:r>
          </w:p>
          <w:p w:rsidR="000B1FDF" w:rsidRPr="00FE4A24" w:rsidRDefault="000B1FDF" w:rsidP="000B1FDF">
            <w:pPr>
              <w:pStyle w:val="texto"/>
              <w:spacing w:after="0" w:line="240" w:lineRule="atLeast"/>
              <w:ind w:firstLine="0"/>
              <w:jc w:val="right"/>
              <w:rPr>
                <w:rFonts w:ascii="Arial" w:hAnsi="Arial" w:cs="Arial"/>
                <w:sz w:val="18"/>
                <w:szCs w:val="18"/>
                <w:lang w:val="es-ES"/>
              </w:rPr>
            </w:pPr>
            <w:r>
              <w:rPr>
                <w:rFonts w:ascii="Arial" w:hAnsi="Arial" w:cs="Arial"/>
                <w:sz w:val="18"/>
                <w:szCs w:val="18"/>
                <w:lang w:val="es-ES"/>
              </w:rPr>
              <w:t>s/ total</w:t>
            </w:r>
          </w:p>
        </w:tc>
        <w:tc>
          <w:tcPr>
            <w:tcW w:w="716" w:type="dxa"/>
            <w:tcBorders>
              <w:bottom w:val="single" w:sz="4" w:space="0" w:color="auto"/>
            </w:tcBorders>
            <w:shd w:val="clear" w:color="auto" w:fill="8DB3E2" w:themeFill="text2" w:themeFillTint="66"/>
            <w:vAlign w:val="center"/>
          </w:tcPr>
          <w:p w:rsidR="000B1FDF" w:rsidRPr="00FE4A24" w:rsidRDefault="000B1FDF" w:rsidP="000B1FDF">
            <w:pPr>
              <w:pStyle w:val="texto"/>
              <w:spacing w:after="0" w:line="240" w:lineRule="atLeast"/>
              <w:ind w:firstLine="0"/>
              <w:jc w:val="right"/>
              <w:rPr>
                <w:rFonts w:ascii="Arial" w:hAnsi="Arial" w:cs="Arial"/>
                <w:sz w:val="18"/>
                <w:szCs w:val="18"/>
                <w:lang w:val="es-ES"/>
              </w:rPr>
            </w:pPr>
            <w:r w:rsidRPr="00FE4A24">
              <w:rPr>
                <w:rFonts w:ascii="Arial" w:hAnsi="Arial" w:cs="Arial"/>
                <w:sz w:val="18"/>
                <w:szCs w:val="18"/>
                <w:lang w:val="es-ES"/>
              </w:rPr>
              <w:t>2016</w:t>
            </w:r>
          </w:p>
        </w:tc>
        <w:tc>
          <w:tcPr>
            <w:tcW w:w="901" w:type="dxa"/>
            <w:tcBorders>
              <w:bottom w:val="single" w:sz="4" w:space="0" w:color="auto"/>
            </w:tcBorders>
            <w:shd w:val="clear" w:color="auto" w:fill="8DB3E2" w:themeFill="text2" w:themeFillTint="66"/>
            <w:vAlign w:val="center"/>
          </w:tcPr>
          <w:p w:rsidR="003D4409" w:rsidRDefault="000B1FDF" w:rsidP="003D4409">
            <w:pPr>
              <w:pStyle w:val="texto"/>
              <w:spacing w:after="0" w:line="240" w:lineRule="atLeast"/>
              <w:ind w:firstLine="0"/>
              <w:jc w:val="right"/>
              <w:rPr>
                <w:rFonts w:ascii="Arial" w:hAnsi="Arial" w:cs="Arial"/>
                <w:sz w:val="18"/>
                <w:szCs w:val="18"/>
                <w:lang w:val="es-ES"/>
              </w:rPr>
            </w:pPr>
            <w:r>
              <w:rPr>
                <w:rFonts w:ascii="Arial" w:hAnsi="Arial" w:cs="Arial"/>
                <w:sz w:val="18"/>
                <w:szCs w:val="18"/>
                <w:lang w:val="es-ES"/>
              </w:rPr>
              <w:t xml:space="preserve">% </w:t>
            </w:r>
          </w:p>
          <w:p w:rsidR="000B1FDF" w:rsidRPr="00FE4A24" w:rsidRDefault="000B1FDF" w:rsidP="003D4409">
            <w:pPr>
              <w:pStyle w:val="texto"/>
              <w:spacing w:after="0" w:line="240" w:lineRule="atLeast"/>
              <w:ind w:firstLine="0"/>
              <w:jc w:val="right"/>
              <w:rPr>
                <w:rFonts w:ascii="Arial" w:hAnsi="Arial" w:cs="Arial"/>
                <w:sz w:val="18"/>
                <w:szCs w:val="18"/>
                <w:lang w:val="es-ES"/>
              </w:rPr>
            </w:pPr>
            <w:r>
              <w:rPr>
                <w:rFonts w:ascii="Arial" w:hAnsi="Arial" w:cs="Arial"/>
                <w:sz w:val="18"/>
                <w:szCs w:val="18"/>
                <w:lang w:val="es-ES"/>
              </w:rPr>
              <w:t>s/ total</w:t>
            </w:r>
          </w:p>
        </w:tc>
        <w:tc>
          <w:tcPr>
            <w:tcW w:w="741" w:type="dxa"/>
            <w:tcBorders>
              <w:bottom w:val="single" w:sz="4" w:space="0" w:color="auto"/>
            </w:tcBorders>
            <w:shd w:val="clear" w:color="auto" w:fill="8DB3E2" w:themeFill="text2" w:themeFillTint="66"/>
            <w:vAlign w:val="center"/>
          </w:tcPr>
          <w:p w:rsidR="000B1FDF" w:rsidRPr="00FE4A24" w:rsidRDefault="000B1FDF" w:rsidP="000B1FDF">
            <w:pPr>
              <w:pStyle w:val="texto"/>
              <w:spacing w:after="0" w:line="240" w:lineRule="atLeast"/>
              <w:ind w:firstLine="0"/>
              <w:jc w:val="right"/>
              <w:rPr>
                <w:rFonts w:ascii="Arial" w:hAnsi="Arial" w:cs="Arial"/>
                <w:sz w:val="18"/>
                <w:szCs w:val="18"/>
                <w:lang w:val="es-ES"/>
              </w:rPr>
            </w:pPr>
            <w:r w:rsidRPr="00FE4A24">
              <w:rPr>
                <w:rFonts w:ascii="Arial" w:hAnsi="Arial" w:cs="Arial"/>
                <w:sz w:val="18"/>
                <w:szCs w:val="18"/>
                <w:lang w:val="es-ES"/>
              </w:rPr>
              <w:t>2017</w:t>
            </w:r>
          </w:p>
        </w:tc>
        <w:tc>
          <w:tcPr>
            <w:tcW w:w="831" w:type="dxa"/>
            <w:tcBorders>
              <w:bottom w:val="single" w:sz="4" w:space="0" w:color="auto"/>
            </w:tcBorders>
            <w:shd w:val="clear" w:color="auto" w:fill="8DB3E2" w:themeFill="text2" w:themeFillTint="66"/>
            <w:vAlign w:val="center"/>
          </w:tcPr>
          <w:p w:rsidR="000B1FDF" w:rsidRDefault="000B1FDF" w:rsidP="000B1FDF">
            <w:pPr>
              <w:pStyle w:val="texto"/>
              <w:spacing w:after="0" w:line="240" w:lineRule="atLeast"/>
              <w:ind w:firstLine="0"/>
              <w:jc w:val="right"/>
              <w:rPr>
                <w:rFonts w:ascii="Arial" w:hAnsi="Arial" w:cs="Arial"/>
                <w:sz w:val="18"/>
                <w:szCs w:val="18"/>
                <w:lang w:val="es-ES"/>
              </w:rPr>
            </w:pPr>
            <w:r>
              <w:rPr>
                <w:rFonts w:ascii="Arial" w:hAnsi="Arial" w:cs="Arial"/>
                <w:sz w:val="18"/>
                <w:szCs w:val="18"/>
                <w:lang w:val="es-ES"/>
              </w:rPr>
              <w:t xml:space="preserve">% </w:t>
            </w:r>
          </w:p>
          <w:p w:rsidR="000B1FDF" w:rsidRPr="00FE4A24" w:rsidRDefault="000B1FDF" w:rsidP="000B1FDF">
            <w:pPr>
              <w:pStyle w:val="texto"/>
              <w:spacing w:after="0" w:line="240" w:lineRule="atLeast"/>
              <w:ind w:firstLine="0"/>
              <w:jc w:val="right"/>
              <w:rPr>
                <w:rFonts w:ascii="Arial" w:hAnsi="Arial" w:cs="Arial"/>
                <w:sz w:val="18"/>
                <w:szCs w:val="18"/>
                <w:lang w:val="es-ES"/>
              </w:rPr>
            </w:pPr>
            <w:r>
              <w:rPr>
                <w:rFonts w:ascii="Arial" w:hAnsi="Arial" w:cs="Arial"/>
                <w:sz w:val="18"/>
                <w:szCs w:val="18"/>
                <w:lang w:val="es-ES"/>
              </w:rPr>
              <w:t>s/ total</w:t>
            </w:r>
          </w:p>
        </w:tc>
      </w:tr>
      <w:tr w:rsidR="000B1FDF" w:rsidRPr="00EB25DD" w:rsidTr="00EB25DD">
        <w:trPr>
          <w:jc w:val="center"/>
        </w:trPr>
        <w:tc>
          <w:tcPr>
            <w:tcW w:w="1795" w:type="dxa"/>
            <w:tcBorders>
              <w:bottom w:val="single" w:sz="2" w:space="0" w:color="auto"/>
            </w:tcBorders>
          </w:tcPr>
          <w:p w:rsidR="000B1FDF" w:rsidRPr="00EB25DD" w:rsidRDefault="000B1FDF" w:rsidP="000B1FDF">
            <w:pPr>
              <w:pStyle w:val="texto"/>
              <w:spacing w:after="0" w:line="240" w:lineRule="atLeast"/>
              <w:ind w:firstLine="0"/>
              <w:rPr>
                <w:rFonts w:ascii="Arial Narrow" w:hAnsi="Arial Narrow"/>
                <w:sz w:val="20"/>
                <w:szCs w:val="20"/>
                <w:lang w:val="es-ES"/>
              </w:rPr>
            </w:pPr>
            <w:r w:rsidRPr="00EB25DD">
              <w:rPr>
                <w:rFonts w:ascii="Arial Narrow" w:hAnsi="Arial Narrow"/>
                <w:sz w:val="20"/>
                <w:szCs w:val="20"/>
                <w:lang w:val="es-ES"/>
              </w:rPr>
              <w:t>Menores 30 años</w:t>
            </w:r>
          </w:p>
        </w:tc>
        <w:tc>
          <w:tcPr>
            <w:tcW w:w="747" w:type="dxa"/>
            <w:tcBorders>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400</w:t>
            </w:r>
          </w:p>
        </w:tc>
        <w:tc>
          <w:tcPr>
            <w:tcW w:w="823" w:type="dxa"/>
            <w:tcBorders>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2</w:t>
            </w:r>
          </w:p>
        </w:tc>
        <w:tc>
          <w:tcPr>
            <w:tcW w:w="686" w:type="dxa"/>
            <w:tcBorders>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276</w:t>
            </w:r>
          </w:p>
        </w:tc>
        <w:tc>
          <w:tcPr>
            <w:tcW w:w="901" w:type="dxa"/>
            <w:tcBorders>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2</w:t>
            </w:r>
          </w:p>
        </w:tc>
        <w:tc>
          <w:tcPr>
            <w:tcW w:w="753" w:type="dxa"/>
            <w:tcBorders>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188</w:t>
            </w:r>
          </w:p>
        </w:tc>
        <w:tc>
          <w:tcPr>
            <w:tcW w:w="823" w:type="dxa"/>
            <w:tcBorders>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1</w:t>
            </w:r>
          </w:p>
        </w:tc>
        <w:tc>
          <w:tcPr>
            <w:tcW w:w="716" w:type="dxa"/>
            <w:tcBorders>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201</w:t>
            </w:r>
          </w:p>
        </w:tc>
        <w:tc>
          <w:tcPr>
            <w:tcW w:w="901" w:type="dxa"/>
            <w:tcBorders>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1</w:t>
            </w:r>
          </w:p>
        </w:tc>
        <w:tc>
          <w:tcPr>
            <w:tcW w:w="741" w:type="dxa"/>
            <w:tcBorders>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130</w:t>
            </w:r>
          </w:p>
        </w:tc>
        <w:tc>
          <w:tcPr>
            <w:tcW w:w="831" w:type="dxa"/>
            <w:tcBorders>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1</w:t>
            </w:r>
          </w:p>
        </w:tc>
      </w:tr>
      <w:tr w:rsidR="000B1FDF" w:rsidRPr="00EB25DD" w:rsidTr="00EB25DD">
        <w:trPr>
          <w:jc w:val="center"/>
        </w:trPr>
        <w:tc>
          <w:tcPr>
            <w:tcW w:w="1795" w:type="dxa"/>
            <w:tcBorders>
              <w:top w:val="single" w:sz="2" w:space="0" w:color="auto"/>
              <w:bottom w:val="single" w:sz="2" w:space="0" w:color="auto"/>
            </w:tcBorders>
          </w:tcPr>
          <w:p w:rsidR="000B1FDF" w:rsidRPr="00EB25DD" w:rsidRDefault="000B1FDF" w:rsidP="000B1FDF">
            <w:pPr>
              <w:pStyle w:val="texto"/>
              <w:spacing w:after="0" w:line="240" w:lineRule="atLeast"/>
              <w:ind w:firstLine="0"/>
              <w:rPr>
                <w:rFonts w:ascii="Arial Narrow" w:hAnsi="Arial Narrow"/>
                <w:sz w:val="20"/>
                <w:szCs w:val="20"/>
                <w:lang w:val="es-ES"/>
              </w:rPr>
            </w:pPr>
            <w:r w:rsidRPr="00EB25DD">
              <w:rPr>
                <w:rFonts w:ascii="Arial Narrow" w:hAnsi="Arial Narrow"/>
                <w:sz w:val="20"/>
                <w:szCs w:val="20"/>
                <w:lang w:val="es-ES"/>
              </w:rPr>
              <w:t>Entre 31 y 40 años</w:t>
            </w:r>
          </w:p>
        </w:tc>
        <w:tc>
          <w:tcPr>
            <w:tcW w:w="747"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3.602</w:t>
            </w:r>
          </w:p>
        </w:tc>
        <w:tc>
          <w:tcPr>
            <w:tcW w:w="82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21</w:t>
            </w:r>
          </w:p>
        </w:tc>
        <w:tc>
          <w:tcPr>
            <w:tcW w:w="686"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3.306</w:t>
            </w:r>
          </w:p>
        </w:tc>
        <w:tc>
          <w:tcPr>
            <w:tcW w:w="90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19</w:t>
            </w:r>
          </w:p>
        </w:tc>
        <w:tc>
          <w:tcPr>
            <w:tcW w:w="75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2.904</w:t>
            </w:r>
          </w:p>
        </w:tc>
        <w:tc>
          <w:tcPr>
            <w:tcW w:w="82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18</w:t>
            </w:r>
          </w:p>
        </w:tc>
        <w:tc>
          <w:tcPr>
            <w:tcW w:w="716"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2.615</w:t>
            </w:r>
          </w:p>
        </w:tc>
        <w:tc>
          <w:tcPr>
            <w:tcW w:w="90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16</w:t>
            </w:r>
          </w:p>
        </w:tc>
        <w:tc>
          <w:tcPr>
            <w:tcW w:w="74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2.214</w:t>
            </w:r>
          </w:p>
        </w:tc>
        <w:tc>
          <w:tcPr>
            <w:tcW w:w="83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14</w:t>
            </w:r>
          </w:p>
        </w:tc>
      </w:tr>
      <w:tr w:rsidR="000B1FDF" w:rsidRPr="00EB25DD" w:rsidTr="00EB25DD">
        <w:trPr>
          <w:jc w:val="center"/>
        </w:trPr>
        <w:tc>
          <w:tcPr>
            <w:tcW w:w="1795" w:type="dxa"/>
            <w:tcBorders>
              <w:top w:val="single" w:sz="2" w:space="0" w:color="auto"/>
              <w:bottom w:val="single" w:sz="2" w:space="0" w:color="auto"/>
            </w:tcBorders>
          </w:tcPr>
          <w:p w:rsidR="000B1FDF" w:rsidRPr="00EB25DD" w:rsidRDefault="000B1FDF" w:rsidP="000B1FDF">
            <w:pPr>
              <w:pStyle w:val="texto"/>
              <w:spacing w:after="0" w:line="240" w:lineRule="atLeast"/>
              <w:ind w:firstLine="0"/>
              <w:rPr>
                <w:rFonts w:ascii="Arial Narrow" w:hAnsi="Arial Narrow"/>
                <w:sz w:val="20"/>
                <w:szCs w:val="20"/>
                <w:lang w:val="es-ES"/>
              </w:rPr>
            </w:pPr>
            <w:r w:rsidRPr="00EB25DD">
              <w:rPr>
                <w:rFonts w:ascii="Arial Narrow" w:hAnsi="Arial Narrow"/>
                <w:sz w:val="20"/>
                <w:szCs w:val="20"/>
                <w:lang w:val="es-ES"/>
              </w:rPr>
              <w:t>Entre 41 y 50 años</w:t>
            </w:r>
          </w:p>
        </w:tc>
        <w:tc>
          <w:tcPr>
            <w:tcW w:w="747"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6.309</w:t>
            </w:r>
          </w:p>
        </w:tc>
        <w:tc>
          <w:tcPr>
            <w:tcW w:w="82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36</w:t>
            </w:r>
          </w:p>
        </w:tc>
        <w:tc>
          <w:tcPr>
            <w:tcW w:w="686"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6.096</w:t>
            </w:r>
          </w:p>
        </w:tc>
        <w:tc>
          <w:tcPr>
            <w:tcW w:w="90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36</w:t>
            </w:r>
          </w:p>
        </w:tc>
        <w:tc>
          <w:tcPr>
            <w:tcW w:w="75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5.784</w:t>
            </w:r>
          </w:p>
        </w:tc>
        <w:tc>
          <w:tcPr>
            <w:tcW w:w="82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35</w:t>
            </w:r>
          </w:p>
        </w:tc>
        <w:tc>
          <w:tcPr>
            <w:tcW w:w="716"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5.559</w:t>
            </w:r>
          </w:p>
        </w:tc>
        <w:tc>
          <w:tcPr>
            <w:tcW w:w="90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35</w:t>
            </w:r>
          </w:p>
        </w:tc>
        <w:tc>
          <w:tcPr>
            <w:tcW w:w="74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5.288</w:t>
            </w:r>
          </w:p>
        </w:tc>
        <w:tc>
          <w:tcPr>
            <w:tcW w:w="83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34</w:t>
            </w:r>
          </w:p>
        </w:tc>
      </w:tr>
      <w:tr w:rsidR="000B1FDF" w:rsidRPr="00EB25DD" w:rsidTr="00EB25DD">
        <w:trPr>
          <w:jc w:val="center"/>
        </w:trPr>
        <w:tc>
          <w:tcPr>
            <w:tcW w:w="1795" w:type="dxa"/>
            <w:tcBorders>
              <w:top w:val="single" w:sz="2" w:space="0" w:color="auto"/>
              <w:bottom w:val="single" w:sz="2" w:space="0" w:color="auto"/>
            </w:tcBorders>
          </w:tcPr>
          <w:p w:rsidR="000B1FDF" w:rsidRPr="00EB25DD" w:rsidRDefault="000B1FDF" w:rsidP="000B1FDF">
            <w:pPr>
              <w:pStyle w:val="texto"/>
              <w:spacing w:after="0" w:line="240" w:lineRule="atLeast"/>
              <w:ind w:firstLine="0"/>
              <w:rPr>
                <w:rFonts w:ascii="Arial Narrow" w:hAnsi="Arial Narrow"/>
                <w:sz w:val="20"/>
                <w:szCs w:val="20"/>
                <w:lang w:val="es-ES"/>
              </w:rPr>
            </w:pPr>
            <w:r w:rsidRPr="00EB25DD">
              <w:rPr>
                <w:rFonts w:ascii="Arial Narrow" w:hAnsi="Arial Narrow"/>
                <w:sz w:val="20"/>
                <w:szCs w:val="20"/>
                <w:lang w:val="es-ES"/>
              </w:rPr>
              <w:t>Entre 51 y 55 años</w:t>
            </w:r>
          </w:p>
        </w:tc>
        <w:tc>
          <w:tcPr>
            <w:tcW w:w="747"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3.390</w:t>
            </w:r>
          </w:p>
        </w:tc>
        <w:tc>
          <w:tcPr>
            <w:tcW w:w="82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19</w:t>
            </w:r>
          </w:p>
        </w:tc>
        <w:tc>
          <w:tcPr>
            <w:tcW w:w="686"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3.447</w:t>
            </w:r>
          </w:p>
        </w:tc>
        <w:tc>
          <w:tcPr>
            <w:tcW w:w="90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20</w:t>
            </w:r>
          </w:p>
        </w:tc>
        <w:tc>
          <w:tcPr>
            <w:tcW w:w="75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3.542</w:t>
            </w:r>
          </w:p>
        </w:tc>
        <w:tc>
          <w:tcPr>
            <w:tcW w:w="82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22</w:t>
            </w:r>
          </w:p>
        </w:tc>
        <w:tc>
          <w:tcPr>
            <w:tcW w:w="716"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3.560</w:t>
            </w:r>
          </w:p>
        </w:tc>
        <w:tc>
          <w:tcPr>
            <w:tcW w:w="90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22</w:t>
            </w:r>
          </w:p>
        </w:tc>
        <w:tc>
          <w:tcPr>
            <w:tcW w:w="74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3.490</w:t>
            </w:r>
          </w:p>
        </w:tc>
        <w:tc>
          <w:tcPr>
            <w:tcW w:w="83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23</w:t>
            </w:r>
          </w:p>
        </w:tc>
      </w:tr>
      <w:tr w:rsidR="000B1FDF" w:rsidRPr="00EB25DD" w:rsidTr="00EB25DD">
        <w:trPr>
          <w:jc w:val="center"/>
        </w:trPr>
        <w:tc>
          <w:tcPr>
            <w:tcW w:w="1795" w:type="dxa"/>
            <w:tcBorders>
              <w:top w:val="single" w:sz="2" w:space="0" w:color="auto"/>
              <w:bottom w:val="single" w:sz="2" w:space="0" w:color="auto"/>
            </w:tcBorders>
          </w:tcPr>
          <w:p w:rsidR="000B1FDF" w:rsidRPr="00EB25DD" w:rsidRDefault="000B1FDF" w:rsidP="000B1FDF">
            <w:pPr>
              <w:pStyle w:val="texto"/>
              <w:spacing w:after="0" w:line="240" w:lineRule="atLeast"/>
              <w:ind w:firstLine="0"/>
              <w:rPr>
                <w:rFonts w:ascii="Arial Narrow" w:hAnsi="Arial Narrow"/>
                <w:sz w:val="20"/>
                <w:szCs w:val="20"/>
                <w:lang w:val="es-ES"/>
              </w:rPr>
            </w:pPr>
            <w:r w:rsidRPr="00EB25DD">
              <w:rPr>
                <w:rFonts w:ascii="Arial Narrow" w:hAnsi="Arial Narrow"/>
                <w:sz w:val="20"/>
                <w:szCs w:val="20"/>
                <w:lang w:val="es-ES"/>
              </w:rPr>
              <w:t xml:space="preserve">Mayores 55 años </w:t>
            </w:r>
          </w:p>
        </w:tc>
        <w:tc>
          <w:tcPr>
            <w:tcW w:w="747"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3.778</w:t>
            </w:r>
          </w:p>
        </w:tc>
        <w:tc>
          <w:tcPr>
            <w:tcW w:w="82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22</w:t>
            </w:r>
          </w:p>
        </w:tc>
        <w:tc>
          <w:tcPr>
            <w:tcW w:w="686"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3.948</w:t>
            </w:r>
          </w:p>
        </w:tc>
        <w:tc>
          <w:tcPr>
            <w:tcW w:w="90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23</w:t>
            </w:r>
          </w:p>
        </w:tc>
        <w:tc>
          <w:tcPr>
            <w:tcW w:w="75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4.007</w:t>
            </w:r>
          </w:p>
        </w:tc>
        <w:tc>
          <w:tcPr>
            <w:tcW w:w="823"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24</w:t>
            </w:r>
          </w:p>
        </w:tc>
        <w:tc>
          <w:tcPr>
            <w:tcW w:w="716"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4.126</w:t>
            </w:r>
          </w:p>
        </w:tc>
        <w:tc>
          <w:tcPr>
            <w:tcW w:w="90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26</w:t>
            </w:r>
          </w:p>
        </w:tc>
        <w:tc>
          <w:tcPr>
            <w:tcW w:w="74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4.246</w:t>
            </w:r>
          </w:p>
        </w:tc>
        <w:tc>
          <w:tcPr>
            <w:tcW w:w="831" w:type="dxa"/>
            <w:tcBorders>
              <w:top w:val="single" w:sz="2" w:space="0" w:color="auto"/>
              <w:bottom w:val="single" w:sz="2" w:space="0" w:color="auto"/>
            </w:tcBorders>
            <w:vAlign w:val="center"/>
          </w:tcPr>
          <w:p w:rsidR="000B1FDF" w:rsidRPr="00EB25DD" w:rsidRDefault="000B1FDF" w:rsidP="000B1FDF">
            <w:pPr>
              <w:spacing w:after="0" w:line="240" w:lineRule="atLeast"/>
              <w:ind w:firstLine="0"/>
              <w:jc w:val="right"/>
              <w:rPr>
                <w:rFonts w:ascii="Arial Narrow" w:hAnsi="Arial Narrow"/>
                <w:color w:val="000000"/>
                <w:lang w:val="es-ES" w:eastAsia="es-ES"/>
              </w:rPr>
            </w:pPr>
            <w:r w:rsidRPr="00EB25DD">
              <w:rPr>
                <w:rFonts w:ascii="Arial Narrow" w:hAnsi="Arial Narrow"/>
                <w:color w:val="000000"/>
                <w:lang w:val="es-ES" w:eastAsia="es-ES"/>
              </w:rPr>
              <w:t>28</w:t>
            </w:r>
          </w:p>
        </w:tc>
      </w:tr>
      <w:tr w:rsidR="000B1FDF" w:rsidRPr="00EB25DD" w:rsidTr="00EB25DD">
        <w:trPr>
          <w:jc w:val="center"/>
        </w:trPr>
        <w:tc>
          <w:tcPr>
            <w:tcW w:w="1795" w:type="dxa"/>
            <w:tcBorders>
              <w:top w:val="single" w:sz="2" w:space="0" w:color="auto"/>
            </w:tcBorders>
          </w:tcPr>
          <w:p w:rsidR="000B1FDF" w:rsidRPr="00EB25DD" w:rsidRDefault="000B1FDF" w:rsidP="000B1FDF">
            <w:pPr>
              <w:pStyle w:val="texto"/>
              <w:spacing w:after="0" w:line="240" w:lineRule="atLeast"/>
              <w:ind w:firstLine="0"/>
              <w:rPr>
                <w:rFonts w:ascii="Arial Narrow" w:hAnsi="Arial Narrow"/>
                <w:sz w:val="20"/>
                <w:szCs w:val="20"/>
                <w:lang w:val="es-ES"/>
              </w:rPr>
            </w:pPr>
            <w:r w:rsidRPr="00EB25DD">
              <w:rPr>
                <w:rFonts w:ascii="Arial Narrow" w:hAnsi="Arial Narrow"/>
                <w:sz w:val="20"/>
                <w:szCs w:val="20"/>
                <w:lang w:val="es-ES"/>
              </w:rPr>
              <w:t xml:space="preserve">Edad media </w:t>
            </w:r>
          </w:p>
        </w:tc>
        <w:tc>
          <w:tcPr>
            <w:tcW w:w="747" w:type="dxa"/>
            <w:tcBorders>
              <w:top w:val="single" w:sz="2" w:space="0" w:color="auto"/>
            </w:tcBorders>
            <w:vAlign w:val="center"/>
          </w:tcPr>
          <w:p w:rsidR="000B1FDF" w:rsidRPr="00EB25DD" w:rsidRDefault="000B1FDF" w:rsidP="000B1FDF">
            <w:pPr>
              <w:pStyle w:val="texto"/>
              <w:spacing w:after="0" w:line="240" w:lineRule="atLeast"/>
              <w:ind w:firstLine="0"/>
              <w:jc w:val="right"/>
              <w:rPr>
                <w:rFonts w:ascii="Arial Narrow" w:hAnsi="Arial Narrow"/>
                <w:sz w:val="20"/>
                <w:szCs w:val="20"/>
                <w:lang w:val="es-ES"/>
              </w:rPr>
            </w:pPr>
            <w:r w:rsidRPr="00EB25DD">
              <w:rPr>
                <w:rFonts w:ascii="Arial Narrow" w:hAnsi="Arial Narrow"/>
                <w:sz w:val="20"/>
                <w:szCs w:val="20"/>
                <w:lang w:val="es-ES"/>
              </w:rPr>
              <w:t>48</w:t>
            </w:r>
          </w:p>
        </w:tc>
        <w:tc>
          <w:tcPr>
            <w:tcW w:w="823" w:type="dxa"/>
            <w:tcBorders>
              <w:top w:val="single" w:sz="2" w:space="0" w:color="auto"/>
            </w:tcBorders>
            <w:vAlign w:val="center"/>
          </w:tcPr>
          <w:p w:rsidR="000B1FDF" w:rsidRPr="00EB25DD" w:rsidRDefault="000B1FDF" w:rsidP="000B1FDF">
            <w:pPr>
              <w:pStyle w:val="texto"/>
              <w:spacing w:after="0" w:line="240" w:lineRule="atLeast"/>
              <w:ind w:firstLine="0"/>
              <w:jc w:val="right"/>
              <w:rPr>
                <w:rFonts w:ascii="Arial Narrow" w:hAnsi="Arial Narrow"/>
                <w:sz w:val="20"/>
                <w:szCs w:val="20"/>
                <w:lang w:val="es-ES"/>
              </w:rPr>
            </w:pPr>
            <w:r w:rsidRPr="00EB25DD">
              <w:rPr>
                <w:rFonts w:ascii="Arial Narrow" w:hAnsi="Arial Narrow"/>
                <w:sz w:val="20"/>
                <w:szCs w:val="20"/>
                <w:lang w:val="es-ES"/>
              </w:rPr>
              <w:t>-</w:t>
            </w:r>
          </w:p>
        </w:tc>
        <w:tc>
          <w:tcPr>
            <w:tcW w:w="686" w:type="dxa"/>
            <w:tcBorders>
              <w:top w:val="single" w:sz="2" w:space="0" w:color="auto"/>
            </w:tcBorders>
            <w:vAlign w:val="center"/>
          </w:tcPr>
          <w:p w:rsidR="000B1FDF" w:rsidRPr="00EB25DD" w:rsidRDefault="000B1FDF" w:rsidP="000B1FDF">
            <w:pPr>
              <w:pStyle w:val="texto"/>
              <w:spacing w:after="0" w:line="240" w:lineRule="atLeast"/>
              <w:ind w:firstLine="0"/>
              <w:jc w:val="right"/>
              <w:rPr>
                <w:rFonts w:ascii="Arial Narrow" w:hAnsi="Arial Narrow"/>
                <w:sz w:val="20"/>
                <w:szCs w:val="20"/>
                <w:lang w:val="es-ES"/>
              </w:rPr>
            </w:pPr>
            <w:r w:rsidRPr="00EB25DD">
              <w:rPr>
                <w:rFonts w:ascii="Arial Narrow" w:hAnsi="Arial Narrow"/>
                <w:sz w:val="20"/>
                <w:szCs w:val="20"/>
                <w:lang w:val="es-ES"/>
              </w:rPr>
              <w:t>48</w:t>
            </w:r>
          </w:p>
        </w:tc>
        <w:tc>
          <w:tcPr>
            <w:tcW w:w="901" w:type="dxa"/>
            <w:tcBorders>
              <w:top w:val="single" w:sz="2" w:space="0" w:color="auto"/>
            </w:tcBorders>
            <w:vAlign w:val="center"/>
          </w:tcPr>
          <w:p w:rsidR="000B1FDF" w:rsidRPr="00EB25DD" w:rsidRDefault="000B1FDF" w:rsidP="000B1FDF">
            <w:pPr>
              <w:pStyle w:val="texto"/>
              <w:spacing w:after="0" w:line="240" w:lineRule="atLeast"/>
              <w:ind w:firstLine="0"/>
              <w:jc w:val="right"/>
              <w:rPr>
                <w:rFonts w:ascii="Arial Narrow" w:hAnsi="Arial Narrow"/>
                <w:sz w:val="20"/>
                <w:szCs w:val="20"/>
                <w:lang w:val="es-ES"/>
              </w:rPr>
            </w:pPr>
            <w:r w:rsidRPr="00EB25DD">
              <w:rPr>
                <w:rFonts w:ascii="Arial Narrow" w:hAnsi="Arial Narrow"/>
                <w:sz w:val="20"/>
                <w:szCs w:val="20"/>
                <w:lang w:val="es-ES"/>
              </w:rPr>
              <w:t>-</w:t>
            </w:r>
          </w:p>
        </w:tc>
        <w:tc>
          <w:tcPr>
            <w:tcW w:w="753" w:type="dxa"/>
            <w:tcBorders>
              <w:top w:val="single" w:sz="2" w:space="0" w:color="auto"/>
            </w:tcBorders>
            <w:vAlign w:val="center"/>
          </w:tcPr>
          <w:p w:rsidR="000B1FDF" w:rsidRPr="00EB25DD" w:rsidRDefault="000B1FDF" w:rsidP="000B1FDF">
            <w:pPr>
              <w:pStyle w:val="texto"/>
              <w:spacing w:after="0" w:line="240" w:lineRule="atLeast"/>
              <w:ind w:firstLine="0"/>
              <w:jc w:val="right"/>
              <w:rPr>
                <w:rFonts w:ascii="Arial Narrow" w:hAnsi="Arial Narrow"/>
                <w:sz w:val="20"/>
                <w:szCs w:val="20"/>
                <w:lang w:val="es-ES"/>
              </w:rPr>
            </w:pPr>
            <w:r w:rsidRPr="00EB25DD">
              <w:rPr>
                <w:rFonts w:ascii="Arial Narrow" w:hAnsi="Arial Narrow"/>
                <w:sz w:val="20"/>
                <w:szCs w:val="20"/>
                <w:lang w:val="es-ES"/>
              </w:rPr>
              <w:t>49</w:t>
            </w:r>
          </w:p>
        </w:tc>
        <w:tc>
          <w:tcPr>
            <w:tcW w:w="823" w:type="dxa"/>
            <w:tcBorders>
              <w:top w:val="single" w:sz="2" w:space="0" w:color="auto"/>
            </w:tcBorders>
            <w:vAlign w:val="center"/>
          </w:tcPr>
          <w:p w:rsidR="000B1FDF" w:rsidRPr="00EB25DD" w:rsidRDefault="000B1FDF" w:rsidP="000B1FDF">
            <w:pPr>
              <w:pStyle w:val="texto"/>
              <w:spacing w:after="0" w:line="240" w:lineRule="atLeast"/>
              <w:ind w:firstLine="0"/>
              <w:jc w:val="right"/>
              <w:rPr>
                <w:rFonts w:ascii="Arial Narrow" w:hAnsi="Arial Narrow"/>
                <w:sz w:val="20"/>
                <w:szCs w:val="20"/>
                <w:lang w:val="es-ES"/>
              </w:rPr>
            </w:pPr>
            <w:r w:rsidRPr="00EB25DD">
              <w:rPr>
                <w:rFonts w:ascii="Arial Narrow" w:hAnsi="Arial Narrow"/>
                <w:sz w:val="20"/>
                <w:szCs w:val="20"/>
                <w:lang w:val="es-ES"/>
              </w:rPr>
              <w:t>-</w:t>
            </w:r>
          </w:p>
        </w:tc>
        <w:tc>
          <w:tcPr>
            <w:tcW w:w="716" w:type="dxa"/>
            <w:tcBorders>
              <w:top w:val="single" w:sz="2" w:space="0" w:color="auto"/>
            </w:tcBorders>
            <w:vAlign w:val="center"/>
          </w:tcPr>
          <w:p w:rsidR="000B1FDF" w:rsidRPr="00EB25DD" w:rsidRDefault="000B1FDF" w:rsidP="000B1FDF">
            <w:pPr>
              <w:pStyle w:val="texto"/>
              <w:spacing w:after="0" w:line="240" w:lineRule="atLeast"/>
              <w:ind w:firstLine="0"/>
              <w:jc w:val="right"/>
              <w:rPr>
                <w:rFonts w:ascii="Arial Narrow" w:hAnsi="Arial Narrow"/>
                <w:sz w:val="20"/>
                <w:szCs w:val="20"/>
                <w:lang w:val="es-ES"/>
              </w:rPr>
            </w:pPr>
            <w:r w:rsidRPr="00EB25DD">
              <w:rPr>
                <w:rFonts w:ascii="Arial Narrow" w:hAnsi="Arial Narrow"/>
                <w:sz w:val="20"/>
                <w:szCs w:val="20"/>
                <w:lang w:val="es-ES"/>
              </w:rPr>
              <w:t>49</w:t>
            </w:r>
          </w:p>
        </w:tc>
        <w:tc>
          <w:tcPr>
            <w:tcW w:w="901" w:type="dxa"/>
            <w:tcBorders>
              <w:top w:val="single" w:sz="2" w:space="0" w:color="auto"/>
            </w:tcBorders>
            <w:vAlign w:val="center"/>
          </w:tcPr>
          <w:p w:rsidR="000B1FDF" w:rsidRPr="00EB25DD" w:rsidRDefault="000B1FDF" w:rsidP="000B1FDF">
            <w:pPr>
              <w:pStyle w:val="texto"/>
              <w:spacing w:after="0" w:line="240" w:lineRule="atLeast"/>
              <w:ind w:firstLine="0"/>
              <w:jc w:val="right"/>
              <w:rPr>
                <w:rFonts w:ascii="Arial Narrow" w:hAnsi="Arial Narrow"/>
                <w:sz w:val="20"/>
                <w:szCs w:val="20"/>
                <w:lang w:val="es-ES"/>
              </w:rPr>
            </w:pPr>
            <w:r w:rsidRPr="00EB25DD">
              <w:rPr>
                <w:rFonts w:ascii="Arial Narrow" w:hAnsi="Arial Narrow"/>
                <w:sz w:val="20"/>
                <w:szCs w:val="20"/>
                <w:lang w:val="es-ES"/>
              </w:rPr>
              <w:t>-</w:t>
            </w:r>
          </w:p>
        </w:tc>
        <w:tc>
          <w:tcPr>
            <w:tcW w:w="741" w:type="dxa"/>
            <w:tcBorders>
              <w:top w:val="single" w:sz="2" w:space="0" w:color="auto"/>
            </w:tcBorders>
            <w:vAlign w:val="center"/>
          </w:tcPr>
          <w:p w:rsidR="000B1FDF" w:rsidRPr="00EB25DD" w:rsidRDefault="000B1FDF" w:rsidP="000B1FDF">
            <w:pPr>
              <w:pStyle w:val="texto"/>
              <w:spacing w:after="0" w:line="240" w:lineRule="atLeast"/>
              <w:ind w:firstLine="0"/>
              <w:jc w:val="right"/>
              <w:rPr>
                <w:rFonts w:ascii="Arial Narrow" w:hAnsi="Arial Narrow"/>
                <w:sz w:val="20"/>
                <w:szCs w:val="20"/>
                <w:lang w:val="es-ES"/>
              </w:rPr>
            </w:pPr>
            <w:r w:rsidRPr="00EB25DD">
              <w:rPr>
                <w:rFonts w:ascii="Arial Narrow" w:hAnsi="Arial Narrow"/>
                <w:sz w:val="20"/>
                <w:szCs w:val="20"/>
                <w:lang w:val="es-ES"/>
              </w:rPr>
              <w:t>50</w:t>
            </w:r>
          </w:p>
        </w:tc>
        <w:tc>
          <w:tcPr>
            <w:tcW w:w="831" w:type="dxa"/>
            <w:tcBorders>
              <w:top w:val="single" w:sz="2" w:space="0" w:color="auto"/>
            </w:tcBorders>
            <w:vAlign w:val="center"/>
          </w:tcPr>
          <w:p w:rsidR="000B1FDF" w:rsidRPr="00EB25DD" w:rsidRDefault="000B1FDF" w:rsidP="000B1FDF">
            <w:pPr>
              <w:pStyle w:val="texto"/>
              <w:spacing w:after="0" w:line="240" w:lineRule="atLeast"/>
              <w:ind w:firstLine="0"/>
              <w:jc w:val="right"/>
              <w:rPr>
                <w:rFonts w:ascii="Arial Narrow" w:hAnsi="Arial Narrow"/>
                <w:sz w:val="20"/>
                <w:szCs w:val="20"/>
                <w:lang w:val="es-ES"/>
              </w:rPr>
            </w:pPr>
            <w:r w:rsidRPr="00EB25DD">
              <w:rPr>
                <w:rFonts w:ascii="Arial Narrow" w:hAnsi="Arial Narrow"/>
                <w:sz w:val="20"/>
                <w:szCs w:val="20"/>
                <w:lang w:val="es-ES"/>
              </w:rPr>
              <w:t>-</w:t>
            </w:r>
          </w:p>
        </w:tc>
      </w:tr>
    </w:tbl>
    <w:p w:rsidR="00FE4A24" w:rsidRPr="00B01865" w:rsidRDefault="00D36628" w:rsidP="000F5116">
      <w:pPr>
        <w:pStyle w:val="texto"/>
        <w:spacing w:before="240"/>
        <w:rPr>
          <w:lang w:val="es-ES"/>
        </w:rPr>
      </w:pPr>
      <w:r>
        <w:rPr>
          <w:lang w:val="es-ES"/>
        </w:rPr>
        <w:t>D</w:t>
      </w:r>
      <w:r w:rsidR="000B1FDF">
        <w:rPr>
          <w:lang w:val="es-ES"/>
        </w:rPr>
        <w:t>estacamos que el personal de edad superior a 50 años pasa del 41 por cie</w:t>
      </w:r>
      <w:r w:rsidR="000B1FDF">
        <w:rPr>
          <w:lang w:val="es-ES"/>
        </w:rPr>
        <w:t>n</w:t>
      </w:r>
      <w:r w:rsidR="000B1FDF">
        <w:rPr>
          <w:lang w:val="es-ES"/>
        </w:rPr>
        <w:t>to en 2013 al 51 por ciento en 2017</w:t>
      </w:r>
      <w:r>
        <w:rPr>
          <w:lang w:val="es-ES"/>
        </w:rPr>
        <w:t xml:space="preserve">; asimismo, las personas con edad superior a 60 años han pasado de suponer el siete por ciento en 2013 al 11 por ciento en 2017. Por otro lado, </w:t>
      </w:r>
      <w:r w:rsidR="001C32A3">
        <w:rPr>
          <w:lang w:val="es-ES"/>
        </w:rPr>
        <w:t>el personal con edad menor a 40 años era del 23 por ciento en 2013 frente al 15 por ciento en 2017.</w:t>
      </w:r>
    </w:p>
    <w:p w:rsidR="00657CF6" w:rsidRDefault="00B01865" w:rsidP="00657CF6">
      <w:pPr>
        <w:pStyle w:val="texto"/>
        <w:rPr>
          <w:lang w:val="es-ES"/>
        </w:rPr>
      </w:pPr>
      <w:r w:rsidRPr="00B01865">
        <w:rPr>
          <w:lang w:val="es-ES"/>
        </w:rPr>
        <w:t xml:space="preserve">En </w:t>
      </w:r>
      <w:r w:rsidRPr="00B01865">
        <w:rPr>
          <w:b/>
          <w:lang w:val="es-ES"/>
        </w:rPr>
        <w:t>definitiva</w:t>
      </w:r>
      <w:r w:rsidRPr="00B01865">
        <w:rPr>
          <w:lang w:val="es-ES"/>
        </w:rPr>
        <w:t xml:space="preserve">, podemos concluir que el número de plazas </w:t>
      </w:r>
      <w:r w:rsidR="009E512D">
        <w:rPr>
          <w:lang w:val="es-ES"/>
        </w:rPr>
        <w:t>fijas</w:t>
      </w:r>
      <w:r w:rsidRPr="00B01865">
        <w:rPr>
          <w:lang w:val="es-ES"/>
        </w:rPr>
        <w:t xml:space="preserve"> ha descend</w:t>
      </w:r>
      <w:r w:rsidRPr="00B01865">
        <w:rPr>
          <w:lang w:val="es-ES"/>
        </w:rPr>
        <w:t>i</w:t>
      </w:r>
      <w:r w:rsidRPr="00B01865">
        <w:rPr>
          <w:lang w:val="es-ES"/>
        </w:rPr>
        <w:t xml:space="preserve">do, </w:t>
      </w:r>
      <w:r w:rsidR="009E512D">
        <w:rPr>
          <w:lang w:val="es-ES"/>
        </w:rPr>
        <w:t>las bajas no se están cubriendo</w:t>
      </w:r>
      <w:r w:rsidR="00D350D1">
        <w:rPr>
          <w:lang w:val="es-ES"/>
        </w:rPr>
        <w:t xml:space="preserve">, las necesidades estructurales y permanentes se están </w:t>
      </w:r>
      <w:r w:rsidR="009E512D">
        <w:rPr>
          <w:lang w:val="es-ES"/>
        </w:rPr>
        <w:t xml:space="preserve">ocupando con personal temporal y el número de vacantes </w:t>
      </w:r>
      <w:r w:rsidRPr="00B01865">
        <w:rPr>
          <w:lang w:val="es-ES"/>
        </w:rPr>
        <w:t>ha aument</w:t>
      </w:r>
      <w:r w:rsidRPr="00B01865">
        <w:rPr>
          <w:lang w:val="es-ES"/>
        </w:rPr>
        <w:t>a</w:t>
      </w:r>
      <w:r w:rsidRPr="00B01865">
        <w:rPr>
          <w:lang w:val="es-ES"/>
        </w:rPr>
        <w:t>do</w:t>
      </w:r>
      <w:r w:rsidR="009E512D">
        <w:rPr>
          <w:lang w:val="es-ES"/>
        </w:rPr>
        <w:t xml:space="preserve">; </w:t>
      </w:r>
      <w:r w:rsidRPr="00B01865">
        <w:rPr>
          <w:lang w:val="es-ES"/>
        </w:rPr>
        <w:t>esto ha motivado que, ante la necesidad de seguir prestando los servicios al ciudadano, se haya incrementado la temporalidad en el empleo en la ACFN</w:t>
      </w:r>
      <w:r w:rsidR="009E512D">
        <w:rPr>
          <w:lang w:val="es-ES"/>
        </w:rPr>
        <w:t xml:space="preserve"> a</w:t>
      </w:r>
      <w:r w:rsidR="009E512D">
        <w:rPr>
          <w:lang w:val="es-ES"/>
        </w:rPr>
        <w:t>l</w:t>
      </w:r>
      <w:r w:rsidR="009E512D">
        <w:rPr>
          <w:lang w:val="es-ES"/>
        </w:rPr>
        <w:t>canzando un índice excesivo y preocupante,</w:t>
      </w:r>
      <w:r w:rsidRPr="00B01865">
        <w:rPr>
          <w:lang w:val="es-ES"/>
        </w:rPr>
        <w:t xml:space="preserve"> produ</w:t>
      </w:r>
      <w:r w:rsidR="009E512D">
        <w:rPr>
          <w:lang w:val="es-ES"/>
        </w:rPr>
        <w:t>ciéndose</w:t>
      </w:r>
      <w:r w:rsidRPr="00B01865">
        <w:rPr>
          <w:lang w:val="es-ES"/>
        </w:rPr>
        <w:t xml:space="preserve"> una cierta descap</w:t>
      </w:r>
      <w:r w:rsidRPr="00B01865">
        <w:rPr>
          <w:lang w:val="es-ES"/>
        </w:rPr>
        <w:t>i</w:t>
      </w:r>
      <w:r w:rsidRPr="00B01865">
        <w:rPr>
          <w:lang w:val="es-ES"/>
        </w:rPr>
        <w:t>talización del factor hu</w:t>
      </w:r>
      <w:r w:rsidR="009E512D">
        <w:rPr>
          <w:lang w:val="es-ES"/>
        </w:rPr>
        <w:t>mano y un</w:t>
      </w:r>
      <w:r w:rsidR="001C32A3">
        <w:rPr>
          <w:lang w:val="es-ES"/>
        </w:rPr>
        <w:t xml:space="preserve"> envejecimiento de la plantilla con los pr</w:t>
      </w:r>
      <w:r w:rsidR="001C32A3">
        <w:rPr>
          <w:lang w:val="es-ES"/>
        </w:rPr>
        <w:t>o</w:t>
      </w:r>
      <w:r w:rsidR="001C32A3">
        <w:rPr>
          <w:lang w:val="es-ES"/>
        </w:rPr>
        <w:t>blemas que esto puede conllevar.</w:t>
      </w:r>
      <w:r w:rsidR="009E512D">
        <w:rPr>
          <w:lang w:val="es-ES"/>
        </w:rPr>
        <w:t xml:space="preserve"> </w:t>
      </w:r>
    </w:p>
    <w:p w:rsidR="00B01865" w:rsidRPr="00B01865" w:rsidRDefault="00B01865" w:rsidP="00657CF6">
      <w:pPr>
        <w:spacing w:before="240" w:after="12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Previsión del gasto de pensiones del Gobierno de Navarra</w:t>
      </w:r>
    </w:p>
    <w:p w:rsidR="00B01865" w:rsidRPr="00B01865" w:rsidRDefault="00B01865" w:rsidP="000F5116">
      <w:pPr>
        <w:pStyle w:val="texto"/>
        <w:rPr>
          <w:lang w:val="es-ES"/>
        </w:rPr>
      </w:pPr>
      <w:r w:rsidRPr="00B01865">
        <w:rPr>
          <w:lang w:val="es-ES"/>
        </w:rPr>
        <w:t>Como ya ha indicado esta Cámara en informes previos, en marzo de 2013 la Dirección General de Función Pública elaboró un estudio sobre la previsión del gasto de pensiones del Gobierno de Navarra para presupuestar las pensiones ordinarias correspondientes al Montepío de la ACFN.</w:t>
      </w:r>
    </w:p>
    <w:p w:rsidR="00B01865" w:rsidRPr="00B01865" w:rsidRDefault="00B01865" w:rsidP="00192EF2">
      <w:pPr>
        <w:pStyle w:val="texto"/>
        <w:rPr>
          <w:lang w:val="es-ES"/>
        </w:rPr>
      </w:pPr>
      <w:r w:rsidRPr="00B01865">
        <w:rPr>
          <w:lang w:val="es-ES"/>
        </w:rPr>
        <w:lastRenderedPageBreak/>
        <w:t>El estudio utilizaba datos reales para el periodo 2006-2012; para el resto de años se realizan estimaciones del gasto anual en euros constantes en función de una serie de parámetros para el periodo 2013-2087.</w:t>
      </w:r>
    </w:p>
    <w:p w:rsidR="00B01865" w:rsidRPr="00B01865" w:rsidRDefault="00B01865" w:rsidP="00192EF2">
      <w:pPr>
        <w:pStyle w:val="texto"/>
        <w:rPr>
          <w:lang w:val="es-ES"/>
        </w:rPr>
      </w:pPr>
      <w:r w:rsidRPr="00B01865">
        <w:rPr>
          <w:lang w:val="es-ES"/>
        </w:rPr>
        <w:t>De acuerdo con este estudio, el coste total estimado hasta 2087 asciende a 2.785,64 millones de euros constantes, de los cuales el 77 por ciento está pr</w:t>
      </w:r>
      <w:r w:rsidRPr="00B01865">
        <w:rPr>
          <w:lang w:val="es-ES"/>
        </w:rPr>
        <w:t>e</w:t>
      </w:r>
      <w:r w:rsidRPr="00B01865">
        <w:rPr>
          <w:lang w:val="es-ES"/>
        </w:rPr>
        <w:t>visto que se destine a pensionistas y el 23 por ciento al resto de beneficiarios.</w:t>
      </w:r>
    </w:p>
    <w:p w:rsidR="00B01865" w:rsidRPr="00B01865" w:rsidRDefault="00B01865" w:rsidP="00192EF2">
      <w:pPr>
        <w:pStyle w:val="texto"/>
        <w:rPr>
          <w:lang w:val="es-ES"/>
        </w:rPr>
      </w:pPr>
      <w:r w:rsidRPr="00B01865">
        <w:rPr>
          <w:lang w:val="es-ES"/>
        </w:rPr>
        <w:t>En 2017, el gasto real en pensiones alcanzó los 89,83 millones de euros fre</w:t>
      </w:r>
      <w:r w:rsidRPr="00B01865">
        <w:rPr>
          <w:lang w:val="es-ES"/>
        </w:rPr>
        <w:t>n</w:t>
      </w:r>
      <w:r w:rsidRPr="00B01865">
        <w:rPr>
          <w:lang w:val="es-ES"/>
        </w:rPr>
        <w:t>te a una estimación de 78,91 millones de euros constantes.</w:t>
      </w:r>
    </w:p>
    <w:p w:rsidR="00B01865" w:rsidRPr="00B01865" w:rsidRDefault="00B01865" w:rsidP="00192EF2">
      <w:pPr>
        <w:pStyle w:val="texto"/>
        <w:rPr>
          <w:b/>
          <w:lang w:val="es-ES"/>
        </w:rPr>
      </w:pPr>
      <w:r w:rsidRPr="00B01865">
        <w:rPr>
          <w:lang w:val="es-ES"/>
        </w:rPr>
        <w:t>Para el periodo 2018-2087, el coste estimado asciende a 2.000 millones de euros constantes.</w:t>
      </w:r>
      <w:r w:rsidRPr="00B01865">
        <w:rPr>
          <w:b/>
          <w:lang w:val="es-ES"/>
        </w:rPr>
        <w:t xml:space="preserve">  </w:t>
      </w:r>
    </w:p>
    <w:p w:rsidR="00B01865" w:rsidRPr="00B01865" w:rsidRDefault="00B01865" w:rsidP="00192EF2">
      <w:pPr>
        <w:pStyle w:val="texto"/>
        <w:rPr>
          <w:rFonts w:cs="Arial"/>
          <w:lang w:val="es-ES"/>
        </w:rPr>
      </w:pPr>
      <w:r w:rsidRPr="00B01865">
        <w:rPr>
          <w:rFonts w:cs="Arial"/>
          <w:lang w:val="es-ES"/>
        </w:rPr>
        <w:t>Recomendamos:</w:t>
      </w:r>
    </w:p>
    <w:p w:rsidR="00B01865" w:rsidRPr="00B01865" w:rsidRDefault="00B01865" w:rsidP="00192EF2">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B01865">
        <w:rPr>
          <w:rFonts w:cs="Arial"/>
          <w:i/>
        </w:rPr>
        <w:t>Indicar en la oferta de empleo la previsión temporal para la provisión de las plazas ofertadas, convocándolas en los plazos establecidos en el Reglame</w:t>
      </w:r>
      <w:r w:rsidRPr="00B01865">
        <w:rPr>
          <w:rFonts w:cs="Arial"/>
          <w:i/>
        </w:rPr>
        <w:t>n</w:t>
      </w:r>
      <w:r w:rsidRPr="00B01865">
        <w:rPr>
          <w:rFonts w:cs="Arial"/>
          <w:i/>
        </w:rPr>
        <w:t>to de ingreso en las Administraciones Públicas.</w:t>
      </w:r>
    </w:p>
    <w:p w:rsidR="00B01865" w:rsidRPr="00B01865" w:rsidRDefault="00B01865" w:rsidP="00192EF2">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B01865">
        <w:rPr>
          <w:rFonts w:cs="Arial"/>
          <w:i/>
        </w:rPr>
        <w:t>Adoptar</w:t>
      </w:r>
      <w:r w:rsidR="00CF1188">
        <w:rPr>
          <w:rFonts w:cs="Arial"/>
          <w:i/>
        </w:rPr>
        <w:t xml:space="preserve"> urgentemente</w:t>
      </w:r>
      <w:r w:rsidRPr="00B01865">
        <w:rPr>
          <w:rFonts w:cs="Arial"/>
          <w:i/>
        </w:rPr>
        <w:t xml:space="preserve"> las medidas necesarias para cubrir las vacantes existentes y reducir la temporalidad del empleo en el contexto de la normativa.</w:t>
      </w:r>
    </w:p>
    <w:p w:rsidR="00B01865" w:rsidRPr="00B01865" w:rsidRDefault="00B01865" w:rsidP="00192EF2">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B01865">
        <w:rPr>
          <w:rFonts w:cs="Arial"/>
          <w:i/>
        </w:rPr>
        <w:t xml:space="preserve">Incluir información sobre el grado en la relación de personal. </w:t>
      </w:r>
    </w:p>
    <w:p w:rsidR="00B01865" w:rsidRPr="00B01865" w:rsidRDefault="00B01865" w:rsidP="00192EF2">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B01865">
        <w:rPr>
          <w:rFonts w:cs="Arial"/>
          <w:i/>
        </w:rPr>
        <w:t>Cotejar las cifras reflejadas en la memoria y en la plantilla y mostrar las cifras correctas en cada caso.</w:t>
      </w:r>
    </w:p>
    <w:p w:rsidR="00B01865" w:rsidRPr="00192EF2" w:rsidRDefault="00B01865" w:rsidP="00192EF2">
      <w:pPr>
        <w:pStyle w:val="atitulo2"/>
        <w:spacing w:before="240"/>
        <w:rPr>
          <w:bCs w:val="0"/>
          <w:iCs w:val="0"/>
        </w:rPr>
      </w:pPr>
      <w:bookmarkStart w:id="79" w:name="_Toc494270387"/>
      <w:bookmarkStart w:id="80" w:name="_Toc525907443"/>
      <w:bookmarkStart w:id="81" w:name="_Toc530034671"/>
      <w:r w:rsidRPr="00192EF2">
        <w:rPr>
          <w:bCs w:val="0"/>
          <w:iCs w:val="0"/>
        </w:rPr>
        <w:t>V.</w:t>
      </w:r>
      <w:r w:rsidR="001C37BF">
        <w:rPr>
          <w:bCs w:val="0"/>
          <w:iCs w:val="0"/>
        </w:rPr>
        <w:t>6</w:t>
      </w:r>
      <w:r w:rsidRPr="00192EF2">
        <w:rPr>
          <w:bCs w:val="0"/>
          <w:iCs w:val="0"/>
        </w:rPr>
        <w:t>. Gastos corrientes en bienes y servicios</w:t>
      </w:r>
      <w:bookmarkEnd w:id="79"/>
      <w:bookmarkEnd w:id="80"/>
      <w:bookmarkEnd w:id="81"/>
    </w:p>
    <w:p w:rsidR="00B01865" w:rsidRPr="00B01865" w:rsidRDefault="00B01865" w:rsidP="00192EF2">
      <w:pPr>
        <w:pStyle w:val="texto"/>
      </w:pPr>
      <w:r w:rsidRPr="00B01865">
        <w:t>Los gastos corrientes en bienes y servicios del ejercicio 2017 ascendieron a 587,27 millones de euros</w:t>
      </w:r>
      <w:r w:rsidR="00904024">
        <w:t>.</w:t>
      </w:r>
      <w:r w:rsidRPr="00B01865">
        <w:t xml:space="preserve"> </w:t>
      </w:r>
      <w:r w:rsidR="00904024">
        <w:t>Suponen</w:t>
      </w:r>
      <w:r w:rsidRPr="00B01865">
        <w:t xml:space="preserve"> el 15 por ciento del total de gastos, de los cuales el 53 por ciento corresponde al Departamento de Salud y el 16 por cie</w:t>
      </w:r>
      <w:r w:rsidRPr="00B01865">
        <w:t>n</w:t>
      </w:r>
      <w:r w:rsidRPr="00B01865">
        <w:t>to al de Derechos Sociales. Al cierre del ejercicio se había pagado el 90 por ciento de estos gastos.</w:t>
      </w:r>
    </w:p>
    <w:p w:rsidR="00B01865" w:rsidRPr="00B01865" w:rsidRDefault="00B01865" w:rsidP="00192EF2">
      <w:pPr>
        <w:pStyle w:val="texto"/>
      </w:pPr>
      <w:r w:rsidRPr="00B01865">
        <w:t>Respecto al ejercicio 2016, se incrementaron en un uno por ciento, destaca</w:t>
      </w:r>
      <w:r w:rsidRPr="00B01865">
        <w:t>n</w:t>
      </w:r>
      <w:r w:rsidRPr="00B01865">
        <w:t>do el aumento de algunos conceptos relacionados con el SNS-O como el mat</w:t>
      </w:r>
      <w:r w:rsidRPr="00B01865">
        <w:t>e</w:t>
      </w:r>
      <w:r w:rsidRPr="00B01865">
        <w:t>rial sanitario de consumo en un 11 por ciento, o las prótesis en un diez por ciento; por otro lado, destacamos la reducción de otros, también relacionados con este organismo, como la disminución en un 11 por ciento de los conciertos de asistencia sanitaria.</w:t>
      </w:r>
    </w:p>
    <w:p w:rsidR="00B01865" w:rsidRPr="00B01865" w:rsidRDefault="00B01865" w:rsidP="0098185D">
      <w:pPr>
        <w:pStyle w:val="texto"/>
        <w:spacing w:after="240"/>
        <w:rPr>
          <w:lang w:val="es-ES"/>
        </w:rPr>
      </w:pPr>
      <w:r w:rsidRPr="00B01865">
        <w:rPr>
          <w:lang w:val="es-ES"/>
        </w:rPr>
        <w:t>El plan de control interno del Servicio de Intervención General del Gobierno de Navarra incluye el control financiero permanente de los gastos en sumini</w:t>
      </w:r>
      <w:r w:rsidRPr="00B01865">
        <w:rPr>
          <w:lang w:val="es-ES"/>
        </w:rPr>
        <w:t>s</w:t>
      </w:r>
      <w:r w:rsidRPr="00B01865">
        <w:rPr>
          <w:lang w:val="es-ES"/>
        </w:rPr>
        <w:t>tros sanitarios, medicamentos, conciertos sanitarios, prótesis y prestaciones farmacéuticas, declarados exentos de fiscalización previa. Estos gastos asce</w:t>
      </w:r>
      <w:r w:rsidRPr="00B01865">
        <w:rPr>
          <w:lang w:val="es-ES"/>
        </w:rPr>
        <w:t>n</w:t>
      </w:r>
      <w:r w:rsidRPr="00B01865">
        <w:rPr>
          <w:lang w:val="es-ES"/>
        </w:rPr>
        <w:t>dieron a 242,19 millones de euros en 2017. Además, esta Cámara emitió un i</w:t>
      </w:r>
      <w:r w:rsidRPr="00B01865">
        <w:rPr>
          <w:lang w:val="es-ES"/>
        </w:rPr>
        <w:t>n</w:t>
      </w:r>
      <w:r w:rsidRPr="00B01865">
        <w:rPr>
          <w:lang w:val="es-ES"/>
        </w:rPr>
        <w:t xml:space="preserve">forme en junio de 2018 sobre los contratos de asistencia de la Agencia Navarra </w:t>
      </w:r>
      <w:r w:rsidRPr="00B01865">
        <w:rPr>
          <w:lang w:val="es-ES"/>
        </w:rPr>
        <w:lastRenderedPageBreak/>
        <w:t>para la Autonomía y Desarrollo de las Personas cuyo gasto alcanzó en 2017 los 45,76 millones de euros.</w:t>
      </w:r>
    </w:p>
    <w:p w:rsidR="00B01865" w:rsidRPr="00B01865" w:rsidRDefault="00B01865" w:rsidP="00B01865">
      <w:pPr>
        <w:spacing w:before="120" w:after="20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Contratación en situación de enriquecimiento injusto</w:t>
      </w:r>
    </w:p>
    <w:p w:rsidR="00B01865" w:rsidRPr="00B01865" w:rsidRDefault="00B01865" w:rsidP="00192EF2">
      <w:pPr>
        <w:pStyle w:val="texto"/>
        <w:rPr>
          <w:lang w:val="es-ES"/>
        </w:rPr>
      </w:pPr>
      <w:r w:rsidRPr="00B01865">
        <w:rPr>
          <w:lang w:val="es-ES"/>
        </w:rPr>
        <w:t>El informe de esta Cámara sobre las Cuentas Generales correspondiente al ejercicio 2016, incluía el análisis sobre los gastos presupuestarios de la ACFN relacionados con prestaciones soportadas en contratos cuya vigencia había fin</w:t>
      </w:r>
      <w:r w:rsidRPr="00B01865">
        <w:rPr>
          <w:lang w:val="es-ES"/>
        </w:rPr>
        <w:t>a</w:t>
      </w:r>
      <w:r w:rsidRPr="00B01865">
        <w:rPr>
          <w:lang w:val="es-ES"/>
        </w:rPr>
        <w:t>lizado a 31 de mayo de 2017.</w:t>
      </w:r>
    </w:p>
    <w:p w:rsidR="00B01865" w:rsidRPr="00B01865" w:rsidRDefault="00B01865" w:rsidP="00192EF2">
      <w:pPr>
        <w:pStyle w:val="texto"/>
        <w:rPr>
          <w:lang w:val="es-ES"/>
        </w:rPr>
      </w:pPr>
      <w:r w:rsidRPr="00B01865">
        <w:rPr>
          <w:lang w:val="es-ES"/>
        </w:rPr>
        <w:t>Dado que tanto el número de contratos como el importe acumulado era rel</w:t>
      </w:r>
      <w:r w:rsidRPr="00B01865">
        <w:rPr>
          <w:lang w:val="es-ES"/>
        </w:rPr>
        <w:t>e</w:t>
      </w:r>
      <w:r w:rsidRPr="00B01865">
        <w:rPr>
          <w:lang w:val="es-ES"/>
        </w:rPr>
        <w:t>vante, el Servicio de Intervención General del Gobierno de Navarra ha realiz</w:t>
      </w:r>
      <w:r w:rsidRPr="00B01865">
        <w:rPr>
          <w:lang w:val="es-ES"/>
        </w:rPr>
        <w:t>a</w:t>
      </w:r>
      <w:r w:rsidRPr="00B01865">
        <w:rPr>
          <w:lang w:val="es-ES"/>
        </w:rPr>
        <w:t>do un seguimiento de esta situación.</w:t>
      </w:r>
    </w:p>
    <w:p w:rsidR="00B01865" w:rsidRPr="00B01865" w:rsidRDefault="00B01865" w:rsidP="00192EF2">
      <w:pPr>
        <w:pStyle w:val="texto"/>
        <w:spacing w:after="240"/>
        <w:rPr>
          <w:lang w:val="es-ES"/>
        </w:rPr>
      </w:pPr>
      <w:r w:rsidRPr="00B01865">
        <w:rPr>
          <w:lang w:val="es-ES"/>
        </w:rPr>
        <w:t>En concreto, y según información proporcionada por</w:t>
      </w:r>
      <w:r w:rsidR="006D2426">
        <w:rPr>
          <w:lang w:val="es-ES"/>
        </w:rPr>
        <w:t xml:space="preserve"> los departamentos a</w:t>
      </w:r>
      <w:r w:rsidRPr="00B01865">
        <w:rPr>
          <w:lang w:val="es-ES"/>
        </w:rPr>
        <w:t xml:space="preserve"> e</w:t>
      </w:r>
      <w:r w:rsidRPr="00B01865">
        <w:rPr>
          <w:lang w:val="es-ES"/>
        </w:rPr>
        <w:t>s</w:t>
      </w:r>
      <w:r w:rsidRPr="00B01865">
        <w:rPr>
          <w:lang w:val="es-ES"/>
        </w:rPr>
        <w:t xml:space="preserve">te servicio, los datos relacionados con las prestaciones </w:t>
      </w:r>
      <w:r w:rsidR="00C37D37">
        <w:rPr>
          <w:lang w:val="es-ES"/>
        </w:rPr>
        <w:t xml:space="preserve">abonadas </w:t>
      </w:r>
      <w:r w:rsidRPr="00B01865">
        <w:rPr>
          <w:lang w:val="es-ES"/>
        </w:rPr>
        <w:t>en situación de enriquecimiento injusto a 1 de julio de 2018, en comparación con las existentes a 31 de mayo de 2017, son los siguientes:</w:t>
      </w:r>
    </w:p>
    <w:tbl>
      <w:tblPr>
        <w:tblW w:w="9167" w:type="dxa"/>
        <w:jc w:val="center"/>
        <w:tblInd w:w="60" w:type="dxa"/>
        <w:tblLayout w:type="fixed"/>
        <w:tblCellMar>
          <w:left w:w="70" w:type="dxa"/>
          <w:right w:w="70" w:type="dxa"/>
        </w:tblCellMar>
        <w:tblLook w:val="04A0" w:firstRow="1" w:lastRow="0" w:firstColumn="1" w:lastColumn="0" w:noHBand="0" w:noVBand="1"/>
      </w:tblPr>
      <w:tblGrid>
        <w:gridCol w:w="2302"/>
        <w:gridCol w:w="1081"/>
        <w:gridCol w:w="845"/>
        <w:gridCol w:w="1318"/>
        <w:gridCol w:w="1211"/>
        <w:gridCol w:w="851"/>
        <w:gridCol w:w="1559"/>
      </w:tblGrid>
      <w:tr w:rsidR="00B01865" w:rsidRPr="00B01865" w:rsidTr="00C37D37">
        <w:trPr>
          <w:trHeight w:val="198"/>
          <w:jc w:val="center"/>
        </w:trPr>
        <w:tc>
          <w:tcPr>
            <w:tcW w:w="2302"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F5587B">
            <w:pPr>
              <w:spacing w:after="0"/>
              <w:ind w:right="-78" w:firstLine="0"/>
              <w:rPr>
                <w:rFonts w:ascii="Arial" w:hAnsi="Arial" w:cs="Arial"/>
                <w:bCs/>
                <w:color w:val="000000"/>
                <w:sz w:val="18"/>
                <w:szCs w:val="18"/>
                <w:lang w:val="es-ES" w:eastAsia="es-ES"/>
              </w:rPr>
            </w:pPr>
            <w:r w:rsidRPr="00B01865">
              <w:rPr>
                <w:rFonts w:ascii="Arial" w:hAnsi="Arial" w:cs="Arial"/>
                <w:bCs/>
                <w:color w:val="000000"/>
                <w:sz w:val="18"/>
                <w:szCs w:val="18"/>
                <w:lang w:val="es-ES" w:eastAsia="es-ES"/>
              </w:rPr>
              <w:t>Departamento</w:t>
            </w:r>
          </w:p>
        </w:tc>
        <w:tc>
          <w:tcPr>
            <w:tcW w:w="1081"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Gasto acumulado fin contrato 31/05/2017</w:t>
            </w:r>
          </w:p>
        </w:tc>
        <w:tc>
          <w:tcPr>
            <w:tcW w:w="845"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F5587B">
            <w:pPr>
              <w:spacing w:after="0"/>
              <w:ind w:left="-51"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N</w:t>
            </w:r>
            <w:r w:rsidR="00CC440F">
              <w:rPr>
                <w:rFonts w:ascii="Arial" w:hAnsi="Arial" w:cs="Arial"/>
                <w:color w:val="000000"/>
                <w:sz w:val="18"/>
                <w:szCs w:val="18"/>
                <w:lang w:val="es-ES" w:eastAsia="es-ES"/>
              </w:rPr>
              <w:t>úmero</w:t>
            </w:r>
          </w:p>
          <w:p w:rsidR="00B01865" w:rsidRPr="00B01865" w:rsidRDefault="00B01865" w:rsidP="00F5587B">
            <w:pPr>
              <w:spacing w:after="0"/>
              <w:ind w:left="-51"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contratos</w:t>
            </w:r>
          </w:p>
        </w:tc>
        <w:tc>
          <w:tcPr>
            <w:tcW w:w="1318" w:type="dxa"/>
            <w:tcBorders>
              <w:top w:val="single" w:sz="4" w:space="0" w:color="auto"/>
              <w:bottom w:val="single" w:sz="4" w:space="0" w:color="auto"/>
              <w:right w:val="single" w:sz="2" w:space="0" w:color="auto"/>
            </w:tcBorders>
            <w:shd w:val="clear" w:color="auto" w:fill="8DB3E2" w:themeFill="text2" w:themeFillTint="66"/>
            <w:vAlign w:val="center"/>
            <w:hideMark/>
          </w:tcPr>
          <w:p w:rsidR="00192EF2"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 xml:space="preserve">Fecha </w:t>
            </w:r>
          </w:p>
          <w:p w:rsidR="00192EF2" w:rsidRDefault="0006499F" w:rsidP="00B01865">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 xml:space="preserve">mínima inicio </w:t>
            </w:r>
            <w:proofErr w:type="spellStart"/>
            <w:r>
              <w:rPr>
                <w:rFonts w:ascii="Arial" w:hAnsi="Arial" w:cs="Arial"/>
                <w:color w:val="000000"/>
                <w:sz w:val="18"/>
                <w:szCs w:val="18"/>
                <w:lang w:val="es-ES" w:eastAsia="es-ES"/>
              </w:rPr>
              <w:t>enriquecim</w:t>
            </w:r>
            <w:proofErr w:type="spellEnd"/>
            <w:r>
              <w:rPr>
                <w:rFonts w:ascii="Arial" w:hAnsi="Arial" w:cs="Arial"/>
                <w:color w:val="000000"/>
                <w:sz w:val="18"/>
                <w:szCs w:val="18"/>
                <w:lang w:val="es-ES" w:eastAsia="es-ES"/>
              </w:rPr>
              <w:t>.</w:t>
            </w:r>
          </w:p>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injusto</w:t>
            </w:r>
          </w:p>
        </w:tc>
        <w:tc>
          <w:tcPr>
            <w:tcW w:w="1211" w:type="dxa"/>
            <w:tcBorders>
              <w:top w:val="single" w:sz="4" w:space="0" w:color="auto"/>
              <w:left w:val="single" w:sz="2" w:space="0" w:color="auto"/>
              <w:bottom w:val="single" w:sz="4" w:space="0" w:color="auto"/>
            </w:tcBorders>
            <w:shd w:val="clear" w:color="auto" w:fill="8DB3E2" w:themeFill="text2" w:themeFillTint="66"/>
            <w:vAlign w:val="center"/>
            <w:hideMark/>
          </w:tcPr>
          <w:p w:rsidR="00C37D37" w:rsidRDefault="00B01865" w:rsidP="00C37D37">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 xml:space="preserve">Gasto </w:t>
            </w:r>
          </w:p>
          <w:p w:rsidR="00C37D37" w:rsidRDefault="00B01865" w:rsidP="00C37D37">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acumulado</w:t>
            </w:r>
            <w:r w:rsidR="00C37D37">
              <w:rPr>
                <w:rFonts w:ascii="Arial" w:hAnsi="Arial" w:cs="Arial"/>
                <w:color w:val="000000"/>
                <w:sz w:val="18"/>
                <w:szCs w:val="18"/>
                <w:lang w:val="es-ES" w:eastAsia="es-ES"/>
              </w:rPr>
              <w:t xml:space="preserve"> </w:t>
            </w:r>
          </w:p>
          <w:p w:rsidR="00B01865" w:rsidRPr="00B01865" w:rsidRDefault="00B01865" w:rsidP="00C37D37">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 xml:space="preserve"> fin contrato 01/07/2018</w:t>
            </w:r>
          </w:p>
        </w:tc>
        <w:tc>
          <w:tcPr>
            <w:tcW w:w="851"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15347D">
            <w:pPr>
              <w:spacing w:after="0"/>
              <w:ind w:left="-186"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N</w:t>
            </w:r>
            <w:r w:rsidR="00CC440F">
              <w:rPr>
                <w:rFonts w:ascii="Arial" w:hAnsi="Arial" w:cs="Arial"/>
                <w:color w:val="000000"/>
                <w:sz w:val="18"/>
                <w:szCs w:val="18"/>
                <w:lang w:val="es-ES" w:eastAsia="es-ES"/>
              </w:rPr>
              <w:t>úmero</w:t>
            </w:r>
            <w:r w:rsidRPr="00B01865">
              <w:rPr>
                <w:rFonts w:ascii="Arial" w:hAnsi="Arial" w:cs="Arial"/>
                <w:color w:val="000000"/>
                <w:sz w:val="18"/>
                <w:szCs w:val="18"/>
                <w:lang w:val="es-ES" w:eastAsia="es-ES"/>
              </w:rPr>
              <w:t xml:space="preserve"> </w:t>
            </w:r>
          </w:p>
          <w:p w:rsidR="00B01865" w:rsidRPr="00B01865" w:rsidRDefault="00B01865" w:rsidP="0015347D">
            <w:pPr>
              <w:spacing w:after="0"/>
              <w:ind w:left="-186"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contratos</w:t>
            </w:r>
          </w:p>
        </w:tc>
        <w:tc>
          <w:tcPr>
            <w:tcW w:w="1559" w:type="dxa"/>
            <w:tcBorders>
              <w:top w:val="single" w:sz="4" w:space="0" w:color="auto"/>
              <w:bottom w:val="single" w:sz="4" w:space="0" w:color="auto"/>
            </w:tcBorders>
            <w:shd w:val="clear" w:color="auto" w:fill="8DB3E2" w:themeFill="text2" w:themeFillTint="66"/>
            <w:vAlign w:val="center"/>
            <w:hideMark/>
          </w:tcPr>
          <w:p w:rsidR="0015347D"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 xml:space="preserve">Fecha </w:t>
            </w:r>
          </w:p>
          <w:p w:rsidR="00192EF2"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 xml:space="preserve">mínima inicio </w:t>
            </w:r>
            <w:proofErr w:type="spellStart"/>
            <w:r w:rsidRPr="00B01865">
              <w:rPr>
                <w:rFonts w:ascii="Arial" w:hAnsi="Arial" w:cs="Arial"/>
                <w:color w:val="000000"/>
                <w:sz w:val="18"/>
                <w:szCs w:val="18"/>
                <w:lang w:val="es-ES" w:eastAsia="es-ES"/>
              </w:rPr>
              <w:t>enriq</w:t>
            </w:r>
            <w:r w:rsidR="0006499F">
              <w:rPr>
                <w:rFonts w:ascii="Arial" w:hAnsi="Arial" w:cs="Arial"/>
                <w:color w:val="000000"/>
                <w:sz w:val="18"/>
                <w:szCs w:val="18"/>
                <w:lang w:val="es-ES" w:eastAsia="es-ES"/>
              </w:rPr>
              <w:t>uecim</w:t>
            </w:r>
            <w:proofErr w:type="spellEnd"/>
            <w:r w:rsidR="0006499F">
              <w:rPr>
                <w:rFonts w:ascii="Arial" w:hAnsi="Arial" w:cs="Arial"/>
                <w:color w:val="000000"/>
                <w:sz w:val="18"/>
                <w:szCs w:val="18"/>
                <w:lang w:val="es-ES" w:eastAsia="es-ES"/>
              </w:rPr>
              <w:t>.</w:t>
            </w:r>
          </w:p>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injusto</w:t>
            </w:r>
          </w:p>
        </w:tc>
      </w:tr>
      <w:tr w:rsidR="00B01865" w:rsidRPr="00B01865" w:rsidTr="00C37D37">
        <w:trPr>
          <w:trHeight w:val="198"/>
          <w:jc w:val="center"/>
        </w:trPr>
        <w:tc>
          <w:tcPr>
            <w:tcW w:w="2302" w:type="dxa"/>
            <w:tcBorders>
              <w:top w:val="single" w:sz="4" w:space="0" w:color="auto"/>
              <w:bottom w:val="single" w:sz="2" w:space="0" w:color="auto"/>
            </w:tcBorders>
            <w:shd w:val="clear" w:color="auto" w:fill="auto"/>
            <w:noWrap/>
            <w:vAlign w:val="bottom"/>
            <w:hideMark/>
          </w:tcPr>
          <w:p w:rsidR="00B01865" w:rsidRPr="00B01865" w:rsidRDefault="00B01865" w:rsidP="00F5587B">
            <w:pPr>
              <w:spacing w:after="0"/>
              <w:ind w:right="-78" w:firstLine="0"/>
              <w:jc w:val="left"/>
              <w:rPr>
                <w:rFonts w:ascii="Arial Narrow" w:hAnsi="Arial Narrow"/>
                <w:color w:val="000000"/>
                <w:lang w:val="es-ES" w:eastAsia="es-ES"/>
              </w:rPr>
            </w:pPr>
            <w:proofErr w:type="spellStart"/>
            <w:r w:rsidRPr="00B01865">
              <w:rPr>
                <w:rFonts w:ascii="Arial Narrow" w:hAnsi="Arial Narrow"/>
                <w:color w:val="000000"/>
                <w:lang w:val="es-ES" w:eastAsia="es-ES"/>
              </w:rPr>
              <w:t>Cult</w:t>
            </w:r>
            <w:proofErr w:type="spellEnd"/>
            <w:r w:rsidRPr="00B01865">
              <w:rPr>
                <w:rFonts w:ascii="Arial Narrow" w:hAnsi="Arial Narrow"/>
                <w:color w:val="000000"/>
                <w:lang w:val="es-ES" w:eastAsia="es-ES"/>
              </w:rPr>
              <w:t xml:space="preserve">., </w:t>
            </w:r>
            <w:proofErr w:type="spellStart"/>
            <w:r w:rsidRPr="00B01865">
              <w:rPr>
                <w:rFonts w:ascii="Arial Narrow" w:hAnsi="Arial Narrow"/>
                <w:color w:val="000000"/>
                <w:lang w:val="es-ES" w:eastAsia="es-ES"/>
              </w:rPr>
              <w:t>Dep</w:t>
            </w:r>
            <w:proofErr w:type="spellEnd"/>
            <w:r w:rsidRPr="00B01865">
              <w:rPr>
                <w:rFonts w:ascii="Arial Narrow" w:hAnsi="Arial Narrow"/>
                <w:color w:val="000000"/>
                <w:lang w:val="es-ES" w:eastAsia="es-ES"/>
              </w:rPr>
              <w:t>. y Juventud</w:t>
            </w:r>
          </w:p>
        </w:tc>
        <w:tc>
          <w:tcPr>
            <w:tcW w:w="1081" w:type="dxa"/>
            <w:tcBorders>
              <w:top w:val="single" w:sz="4"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81.673   </w:t>
            </w:r>
          </w:p>
        </w:tc>
        <w:tc>
          <w:tcPr>
            <w:tcW w:w="845" w:type="dxa"/>
            <w:tcBorders>
              <w:top w:val="single" w:sz="4" w:space="0" w:color="auto"/>
              <w:bottom w:val="single" w:sz="2" w:space="0" w:color="auto"/>
            </w:tcBorders>
            <w:shd w:val="clear" w:color="auto" w:fill="auto"/>
            <w:noWrap/>
            <w:vAlign w:val="center"/>
            <w:hideMark/>
          </w:tcPr>
          <w:p w:rsidR="00B01865" w:rsidRPr="00B01865" w:rsidRDefault="00B01865" w:rsidP="00F5587B">
            <w:pPr>
              <w:spacing w:after="0"/>
              <w:ind w:left="-51" w:firstLine="0"/>
              <w:jc w:val="right"/>
              <w:rPr>
                <w:rFonts w:ascii="Arial Narrow" w:hAnsi="Arial Narrow"/>
                <w:color w:val="000000"/>
                <w:lang w:val="es-ES" w:eastAsia="es-ES"/>
              </w:rPr>
            </w:pPr>
            <w:r w:rsidRPr="00B01865">
              <w:rPr>
                <w:rFonts w:ascii="Arial Narrow" w:hAnsi="Arial Narrow"/>
                <w:color w:val="000000"/>
                <w:lang w:val="es-ES" w:eastAsia="es-ES"/>
              </w:rPr>
              <w:t>3</w:t>
            </w:r>
          </w:p>
        </w:tc>
        <w:tc>
          <w:tcPr>
            <w:tcW w:w="1318" w:type="dxa"/>
            <w:tcBorders>
              <w:top w:val="single" w:sz="4" w:space="0" w:color="auto"/>
              <w:bottom w:val="single" w:sz="2" w:space="0" w:color="auto"/>
              <w:right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01/01/2017</w:t>
            </w:r>
          </w:p>
        </w:tc>
        <w:tc>
          <w:tcPr>
            <w:tcW w:w="1211" w:type="dxa"/>
            <w:tcBorders>
              <w:top w:val="single" w:sz="4" w:space="0" w:color="auto"/>
              <w:left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 236.321   </w:t>
            </w:r>
          </w:p>
        </w:tc>
        <w:tc>
          <w:tcPr>
            <w:tcW w:w="851" w:type="dxa"/>
            <w:tcBorders>
              <w:top w:val="single" w:sz="4" w:space="0" w:color="auto"/>
              <w:bottom w:val="single" w:sz="2" w:space="0" w:color="auto"/>
            </w:tcBorders>
            <w:shd w:val="clear" w:color="auto" w:fill="auto"/>
            <w:noWrap/>
            <w:vAlign w:val="center"/>
            <w:hideMark/>
          </w:tcPr>
          <w:p w:rsidR="00B01865" w:rsidRPr="00B01865" w:rsidRDefault="00B01865" w:rsidP="0015347D">
            <w:pPr>
              <w:spacing w:after="0"/>
              <w:ind w:left="-186" w:firstLine="0"/>
              <w:jc w:val="right"/>
              <w:rPr>
                <w:rFonts w:ascii="Arial Narrow" w:hAnsi="Arial Narrow"/>
                <w:color w:val="000000"/>
                <w:lang w:val="es-ES" w:eastAsia="es-ES"/>
              </w:rPr>
            </w:pPr>
            <w:r w:rsidRPr="00B01865">
              <w:rPr>
                <w:rFonts w:ascii="Arial Narrow" w:hAnsi="Arial Narrow"/>
                <w:color w:val="000000"/>
                <w:lang w:val="es-ES" w:eastAsia="es-ES"/>
              </w:rPr>
              <w:t>5</w:t>
            </w:r>
          </w:p>
        </w:tc>
        <w:tc>
          <w:tcPr>
            <w:tcW w:w="1559" w:type="dxa"/>
            <w:tcBorders>
              <w:top w:val="single" w:sz="4"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01/01/2018</w:t>
            </w:r>
          </w:p>
        </w:tc>
      </w:tr>
      <w:tr w:rsidR="00B01865" w:rsidRPr="00B01865" w:rsidTr="00C37D37">
        <w:trPr>
          <w:trHeight w:val="198"/>
          <w:jc w:val="center"/>
        </w:trPr>
        <w:tc>
          <w:tcPr>
            <w:tcW w:w="2302" w:type="dxa"/>
            <w:tcBorders>
              <w:top w:val="single" w:sz="2" w:space="0" w:color="auto"/>
              <w:bottom w:val="single" w:sz="2" w:space="0" w:color="auto"/>
            </w:tcBorders>
            <w:shd w:val="clear" w:color="auto" w:fill="auto"/>
            <w:noWrap/>
            <w:vAlign w:val="bottom"/>
            <w:hideMark/>
          </w:tcPr>
          <w:p w:rsidR="00B01865" w:rsidRPr="00B01865" w:rsidRDefault="00B01865" w:rsidP="00F5587B">
            <w:pPr>
              <w:spacing w:after="0"/>
              <w:ind w:right="-78" w:firstLine="0"/>
              <w:jc w:val="left"/>
              <w:rPr>
                <w:rFonts w:ascii="Arial Narrow" w:hAnsi="Arial Narrow"/>
                <w:color w:val="000000"/>
                <w:lang w:val="es-ES" w:eastAsia="es-ES"/>
              </w:rPr>
            </w:pPr>
            <w:r w:rsidRPr="00B01865">
              <w:rPr>
                <w:rFonts w:ascii="Arial Narrow" w:hAnsi="Arial Narrow"/>
                <w:color w:val="000000"/>
                <w:lang w:val="es-ES" w:eastAsia="es-ES"/>
              </w:rPr>
              <w:t>Derechos Sociales</w:t>
            </w:r>
          </w:p>
        </w:tc>
        <w:tc>
          <w:tcPr>
            <w:tcW w:w="1081"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12.585.427   </w:t>
            </w:r>
          </w:p>
        </w:tc>
        <w:tc>
          <w:tcPr>
            <w:tcW w:w="845" w:type="dxa"/>
            <w:tcBorders>
              <w:top w:val="single" w:sz="2" w:space="0" w:color="auto"/>
              <w:bottom w:val="single" w:sz="2" w:space="0" w:color="auto"/>
            </w:tcBorders>
            <w:shd w:val="clear" w:color="auto" w:fill="auto"/>
            <w:noWrap/>
            <w:vAlign w:val="center"/>
            <w:hideMark/>
          </w:tcPr>
          <w:p w:rsidR="00B01865" w:rsidRPr="00B01865" w:rsidRDefault="00B01865" w:rsidP="00F5587B">
            <w:pPr>
              <w:spacing w:after="0"/>
              <w:ind w:left="-51" w:firstLine="0"/>
              <w:jc w:val="right"/>
              <w:rPr>
                <w:rFonts w:ascii="Arial Narrow" w:hAnsi="Arial Narrow"/>
                <w:color w:val="000000"/>
                <w:lang w:val="es-ES" w:eastAsia="es-ES"/>
              </w:rPr>
            </w:pPr>
            <w:r w:rsidRPr="00B01865">
              <w:rPr>
                <w:rFonts w:ascii="Arial Narrow" w:hAnsi="Arial Narrow"/>
                <w:color w:val="000000"/>
                <w:lang w:val="es-ES" w:eastAsia="es-ES"/>
              </w:rPr>
              <w:t>19</w:t>
            </w:r>
          </w:p>
        </w:tc>
        <w:tc>
          <w:tcPr>
            <w:tcW w:w="1318" w:type="dxa"/>
            <w:tcBorders>
              <w:top w:val="single" w:sz="2" w:space="0" w:color="auto"/>
              <w:bottom w:val="single" w:sz="2" w:space="0" w:color="auto"/>
              <w:right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31/12/2012</w:t>
            </w:r>
          </w:p>
        </w:tc>
        <w:tc>
          <w:tcPr>
            <w:tcW w:w="1211" w:type="dxa"/>
            <w:tcBorders>
              <w:top w:val="single" w:sz="2" w:space="0" w:color="auto"/>
              <w:left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21.856.924   </w:t>
            </w:r>
          </w:p>
        </w:tc>
        <w:tc>
          <w:tcPr>
            <w:tcW w:w="851" w:type="dxa"/>
            <w:tcBorders>
              <w:top w:val="single" w:sz="2" w:space="0" w:color="auto"/>
              <w:bottom w:val="single" w:sz="2" w:space="0" w:color="auto"/>
            </w:tcBorders>
            <w:shd w:val="clear" w:color="auto" w:fill="auto"/>
            <w:noWrap/>
            <w:vAlign w:val="center"/>
            <w:hideMark/>
          </w:tcPr>
          <w:p w:rsidR="00B01865" w:rsidRPr="00B01865" w:rsidRDefault="00B01865" w:rsidP="0015347D">
            <w:pPr>
              <w:spacing w:after="0"/>
              <w:ind w:left="-186" w:firstLine="0"/>
              <w:jc w:val="right"/>
              <w:rPr>
                <w:rFonts w:ascii="Arial Narrow" w:hAnsi="Arial Narrow"/>
                <w:color w:val="000000"/>
                <w:lang w:val="es-ES" w:eastAsia="es-ES"/>
              </w:rPr>
            </w:pPr>
            <w:r w:rsidRPr="00B01865">
              <w:rPr>
                <w:rFonts w:ascii="Arial Narrow" w:hAnsi="Arial Narrow"/>
                <w:color w:val="000000"/>
                <w:lang w:val="es-ES" w:eastAsia="es-ES"/>
              </w:rPr>
              <w:t>41</w:t>
            </w:r>
          </w:p>
        </w:tc>
        <w:tc>
          <w:tcPr>
            <w:tcW w:w="1559"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01/07/2013</w:t>
            </w:r>
          </w:p>
        </w:tc>
      </w:tr>
      <w:tr w:rsidR="00B01865" w:rsidRPr="00B01865" w:rsidTr="00C37D37">
        <w:trPr>
          <w:trHeight w:val="198"/>
          <w:jc w:val="center"/>
        </w:trPr>
        <w:tc>
          <w:tcPr>
            <w:tcW w:w="2302" w:type="dxa"/>
            <w:tcBorders>
              <w:top w:val="single" w:sz="2" w:space="0" w:color="auto"/>
              <w:bottom w:val="single" w:sz="2" w:space="0" w:color="auto"/>
            </w:tcBorders>
            <w:shd w:val="clear" w:color="auto" w:fill="auto"/>
            <w:noWrap/>
            <w:vAlign w:val="bottom"/>
            <w:hideMark/>
          </w:tcPr>
          <w:p w:rsidR="00B01865" w:rsidRPr="00B01865" w:rsidRDefault="00B01865" w:rsidP="00F5587B">
            <w:pPr>
              <w:spacing w:after="0"/>
              <w:ind w:right="-78" w:firstLine="0"/>
              <w:jc w:val="left"/>
              <w:rPr>
                <w:rFonts w:ascii="Arial Narrow" w:hAnsi="Arial Narrow"/>
                <w:color w:val="000000"/>
                <w:lang w:val="es-ES" w:eastAsia="es-ES"/>
              </w:rPr>
            </w:pPr>
            <w:r w:rsidRPr="00B01865">
              <w:rPr>
                <w:rFonts w:ascii="Arial Narrow" w:hAnsi="Arial Narrow"/>
                <w:color w:val="000000"/>
                <w:lang w:val="es-ES" w:eastAsia="es-ES"/>
              </w:rPr>
              <w:t>Desarrollo Económico</w:t>
            </w:r>
          </w:p>
        </w:tc>
        <w:tc>
          <w:tcPr>
            <w:tcW w:w="1081"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3.479.654   </w:t>
            </w:r>
          </w:p>
        </w:tc>
        <w:tc>
          <w:tcPr>
            <w:tcW w:w="845" w:type="dxa"/>
            <w:tcBorders>
              <w:top w:val="single" w:sz="2" w:space="0" w:color="auto"/>
              <w:bottom w:val="single" w:sz="2" w:space="0" w:color="auto"/>
            </w:tcBorders>
            <w:shd w:val="clear" w:color="auto" w:fill="auto"/>
            <w:noWrap/>
            <w:vAlign w:val="center"/>
            <w:hideMark/>
          </w:tcPr>
          <w:p w:rsidR="00B01865" w:rsidRPr="00B01865" w:rsidRDefault="00B01865" w:rsidP="00F5587B">
            <w:pPr>
              <w:spacing w:after="0"/>
              <w:ind w:left="-51" w:firstLine="0"/>
              <w:jc w:val="right"/>
              <w:rPr>
                <w:rFonts w:ascii="Arial Narrow" w:hAnsi="Arial Narrow"/>
                <w:color w:val="000000"/>
                <w:lang w:val="es-ES" w:eastAsia="es-ES"/>
              </w:rPr>
            </w:pPr>
            <w:r w:rsidRPr="00B01865">
              <w:rPr>
                <w:rFonts w:ascii="Arial Narrow" w:hAnsi="Arial Narrow"/>
                <w:color w:val="000000"/>
                <w:lang w:val="es-ES" w:eastAsia="es-ES"/>
              </w:rPr>
              <w:t>41</w:t>
            </w:r>
          </w:p>
        </w:tc>
        <w:tc>
          <w:tcPr>
            <w:tcW w:w="1318" w:type="dxa"/>
            <w:tcBorders>
              <w:top w:val="single" w:sz="2" w:space="0" w:color="auto"/>
              <w:bottom w:val="single" w:sz="2" w:space="0" w:color="auto"/>
              <w:right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01/01/2014</w:t>
            </w:r>
          </w:p>
        </w:tc>
        <w:tc>
          <w:tcPr>
            <w:tcW w:w="1211" w:type="dxa"/>
            <w:tcBorders>
              <w:top w:val="single" w:sz="2" w:space="0" w:color="auto"/>
              <w:left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5.087.114   </w:t>
            </w:r>
          </w:p>
        </w:tc>
        <w:tc>
          <w:tcPr>
            <w:tcW w:w="851" w:type="dxa"/>
            <w:tcBorders>
              <w:top w:val="single" w:sz="2" w:space="0" w:color="auto"/>
              <w:bottom w:val="single" w:sz="2" w:space="0" w:color="auto"/>
            </w:tcBorders>
            <w:shd w:val="clear" w:color="auto" w:fill="auto"/>
            <w:noWrap/>
            <w:vAlign w:val="center"/>
            <w:hideMark/>
          </w:tcPr>
          <w:p w:rsidR="00B01865" w:rsidRPr="00B01865" w:rsidRDefault="00B01865" w:rsidP="0015347D">
            <w:pPr>
              <w:spacing w:after="0"/>
              <w:ind w:left="-186" w:firstLine="0"/>
              <w:jc w:val="right"/>
              <w:rPr>
                <w:rFonts w:ascii="Arial Narrow" w:hAnsi="Arial Narrow"/>
                <w:color w:val="000000"/>
                <w:lang w:val="es-ES" w:eastAsia="es-ES"/>
              </w:rPr>
            </w:pPr>
            <w:r w:rsidRPr="00B01865">
              <w:rPr>
                <w:rFonts w:ascii="Arial Narrow" w:hAnsi="Arial Narrow"/>
                <w:color w:val="000000"/>
                <w:lang w:val="es-ES" w:eastAsia="es-ES"/>
              </w:rPr>
              <w:t>37</w:t>
            </w:r>
          </w:p>
        </w:tc>
        <w:tc>
          <w:tcPr>
            <w:tcW w:w="1559"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01/01/2014</w:t>
            </w:r>
          </w:p>
        </w:tc>
      </w:tr>
      <w:tr w:rsidR="00B01865" w:rsidRPr="00B01865" w:rsidTr="00C37D37">
        <w:trPr>
          <w:trHeight w:val="198"/>
          <w:jc w:val="center"/>
        </w:trPr>
        <w:tc>
          <w:tcPr>
            <w:tcW w:w="2302" w:type="dxa"/>
            <w:tcBorders>
              <w:top w:val="single" w:sz="2" w:space="0" w:color="auto"/>
              <w:bottom w:val="single" w:sz="2" w:space="0" w:color="auto"/>
            </w:tcBorders>
            <w:shd w:val="clear" w:color="auto" w:fill="auto"/>
            <w:noWrap/>
            <w:vAlign w:val="bottom"/>
            <w:hideMark/>
          </w:tcPr>
          <w:p w:rsidR="00B01865" w:rsidRPr="00B01865" w:rsidRDefault="00B01865" w:rsidP="00F5587B">
            <w:pPr>
              <w:spacing w:after="0"/>
              <w:ind w:right="-78" w:firstLine="0"/>
              <w:jc w:val="left"/>
              <w:rPr>
                <w:rFonts w:ascii="Arial Narrow" w:hAnsi="Arial Narrow"/>
                <w:color w:val="000000"/>
                <w:lang w:val="es-ES" w:eastAsia="es-ES"/>
              </w:rPr>
            </w:pPr>
            <w:proofErr w:type="spellStart"/>
            <w:r w:rsidRPr="00B01865">
              <w:rPr>
                <w:rFonts w:ascii="Arial Narrow" w:hAnsi="Arial Narrow"/>
                <w:color w:val="000000"/>
                <w:lang w:val="es-ES" w:eastAsia="es-ES"/>
              </w:rPr>
              <w:t>DRMAyAL</w:t>
            </w:r>
            <w:proofErr w:type="spellEnd"/>
          </w:p>
        </w:tc>
        <w:tc>
          <w:tcPr>
            <w:tcW w:w="1081"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    *     </w:t>
            </w:r>
          </w:p>
        </w:tc>
        <w:tc>
          <w:tcPr>
            <w:tcW w:w="845" w:type="dxa"/>
            <w:tcBorders>
              <w:top w:val="single" w:sz="2" w:space="0" w:color="auto"/>
              <w:bottom w:val="single" w:sz="2" w:space="0" w:color="auto"/>
            </w:tcBorders>
            <w:shd w:val="clear" w:color="auto" w:fill="auto"/>
            <w:noWrap/>
            <w:vAlign w:val="center"/>
            <w:hideMark/>
          </w:tcPr>
          <w:p w:rsidR="00B01865" w:rsidRPr="00B01865" w:rsidRDefault="00B01865" w:rsidP="00F5587B">
            <w:pPr>
              <w:spacing w:after="0"/>
              <w:ind w:left="-51" w:firstLine="0"/>
              <w:jc w:val="right"/>
              <w:rPr>
                <w:rFonts w:ascii="Arial Narrow" w:hAnsi="Arial Narrow"/>
                <w:color w:val="000000"/>
                <w:lang w:val="es-ES" w:eastAsia="es-ES"/>
              </w:rPr>
            </w:pPr>
            <w:r w:rsidRPr="00B01865">
              <w:rPr>
                <w:rFonts w:ascii="Arial Narrow" w:hAnsi="Arial Narrow"/>
                <w:color w:val="000000"/>
                <w:lang w:val="es-ES" w:eastAsia="es-ES"/>
              </w:rPr>
              <w:t>1</w:t>
            </w:r>
          </w:p>
        </w:tc>
        <w:tc>
          <w:tcPr>
            <w:tcW w:w="1318" w:type="dxa"/>
            <w:tcBorders>
              <w:top w:val="single" w:sz="2" w:space="0" w:color="auto"/>
              <w:bottom w:val="single" w:sz="2" w:space="0" w:color="auto"/>
              <w:right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02/01/2017</w:t>
            </w:r>
          </w:p>
        </w:tc>
        <w:tc>
          <w:tcPr>
            <w:tcW w:w="1211" w:type="dxa"/>
            <w:tcBorders>
              <w:top w:val="single" w:sz="2" w:space="0" w:color="auto"/>
              <w:left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742.414   </w:t>
            </w:r>
          </w:p>
        </w:tc>
        <w:tc>
          <w:tcPr>
            <w:tcW w:w="851" w:type="dxa"/>
            <w:tcBorders>
              <w:top w:val="single" w:sz="2" w:space="0" w:color="auto"/>
              <w:bottom w:val="single" w:sz="2" w:space="0" w:color="auto"/>
            </w:tcBorders>
            <w:shd w:val="clear" w:color="auto" w:fill="auto"/>
            <w:noWrap/>
            <w:vAlign w:val="center"/>
            <w:hideMark/>
          </w:tcPr>
          <w:p w:rsidR="00B01865" w:rsidRPr="00B01865" w:rsidRDefault="00B01865" w:rsidP="0015347D">
            <w:pPr>
              <w:spacing w:after="0"/>
              <w:ind w:left="-186" w:firstLine="0"/>
              <w:jc w:val="right"/>
              <w:rPr>
                <w:rFonts w:ascii="Arial Narrow" w:hAnsi="Arial Narrow"/>
                <w:color w:val="000000"/>
                <w:lang w:val="es-ES" w:eastAsia="es-ES"/>
              </w:rPr>
            </w:pPr>
            <w:r w:rsidRPr="00B01865">
              <w:rPr>
                <w:rFonts w:ascii="Arial Narrow" w:hAnsi="Arial Narrow"/>
                <w:color w:val="000000"/>
                <w:lang w:val="es-ES" w:eastAsia="es-ES"/>
              </w:rPr>
              <w:t>5</w:t>
            </w:r>
          </w:p>
        </w:tc>
        <w:tc>
          <w:tcPr>
            <w:tcW w:w="1559"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01/01/2017</w:t>
            </w:r>
          </w:p>
        </w:tc>
      </w:tr>
      <w:tr w:rsidR="00B01865" w:rsidRPr="00B01865" w:rsidTr="00C37D37">
        <w:trPr>
          <w:trHeight w:val="198"/>
          <w:jc w:val="center"/>
        </w:trPr>
        <w:tc>
          <w:tcPr>
            <w:tcW w:w="2302" w:type="dxa"/>
            <w:tcBorders>
              <w:top w:val="single" w:sz="2" w:space="0" w:color="auto"/>
              <w:bottom w:val="single" w:sz="2" w:space="0" w:color="auto"/>
            </w:tcBorders>
            <w:shd w:val="clear" w:color="auto" w:fill="auto"/>
            <w:noWrap/>
            <w:vAlign w:val="bottom"/>
            <w:hideMark/>
          </w:tcPr>
          <w:p w:rsidR="00B01865" w:rsidRPr="00B01865" w:rsidRDefault="00B01865" w:rsidP="00F5587B">
            <w:pPr>
              <w:spacing w:after="0"/>
              <w:ind w:right="-78" w:firstLine="0"/>
              <w:jc w:val="left"/>
              <w:rPr>
                <w:rFonts w:ascii="Arial Narrow" w:hAnsi="Arial Narrow"/>
                <w:color w:val="000000"/>
                <w:lang w:val="es-ES" w:eastAsia="es-ES"/>
              </w:rPr>
            </w:pPr>
            <w:r w:rsidRPr="00B01865">
              <w:rPr>
                <w:rFonts w:ascii="Arial Narrow" w:hAnsi="Arial Narrow"/>
                <w:color w:val="000000"/>
                <w:lang w:val="es-ES" w:eastAsia="es-ES"/>
              </w:rPr>
              <w:t>Educación</w:t>
            </w:r>
          </w:p>
        </w:tc>
        <w:tc>
          <w:tcPr>
            <w:tcW w:w="1081"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  *     </w:t>
            </w:r>
          </w:p>
        </w:tc>
        <w:tc>
          <w:tcPr>
            <w:tcW w:w="845" w:type="dxa"/>
            <w:tcBorders>
              <w:top w:val="single" w:sz="2" w:space="0" w:color="auto"/>
              <w:bottom w:val="single" w:sz="2" w:space="0" w:color="auto"/>
            </w:tcBorders>
            <w:shd w:val="clear" w:color="auto" w:fill="auto"/>
            <w:noWrap/>
            <w:vAlign w:val="center"/>
            <w:hideMark/>
          </w:tcPr>
          <w:p w:rsidR="00B01865" w:rsidRPr="00B01865" w:rsidRDefault="00B01865" w:rsidP="00F5587B">
            <w:pPr>
              <w:spacing w:after="0"/>
              <w:ind w:left="-51" w:firstLine="0"/>
              <w:jc w:val="right"/>
              <w:rPr>
                <w:rFonts w:ascii="Arial Narrow" w:hAnsi="Arial Narrow"/>
                <w:color w:val="000000"/>
                <w:lang w:val="es-ES" w:eastAsia="es-ES"/>
              </w:rPr>
            </w:pPr>
            <w:r w:rsidRPr="00B01865">
              <w:rPr>
                <w:rFonts w:ascii="Arial Narrow" w:hAnsi="Arial Narrow"/>
                <w:color w:val="000000"/>
                <w:lang w:val="es-ES" w:eastAsia="es-ES"/>
              </w:rPr>
              <w:t>1</w:t>
            </w:r>
          </w:p>
        </w:tc>
        <w:tc>
          <w:tcPr>
            <w:tcW w:w="1318" w:type="dxa"/>
            <w:tcBorders>
              <w:top w:val="single" w:sz="2" w:space="0" w:color="auto"/>
              <w:bottom w:val="single" w:sz="2" w:space="0" w:color="auto"/>
              <w:right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01/01/2017</w:t>
            </w:r>
          </w:p>
        </w:tc>
        <w:tc>
          <w:tcPr>
            <w:tcW w:w="1211" w:type="dxa"/>
            <w:tcBorders>
              <w:top w:val="single" w:sz="2" w:space="0" w:color="auto"/>
              <w:left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8.153.408</w:t>
            </w:r>
          </w:p>
        </w:tc>
        <w:tc>
          <w:tcPr>
            <w:tcW w:w="851" w:type="dxa"/>
            <w:tcBorders>
              <w:top w:val="single" w:sz="2" w:space="0" w:color="auto"/>
              <w:bottom w:val="single" w:sz="2" w:space="0" w:color="auto"/>
            </w:tcBorders>
            <w:shd w:val="clear" w:color="auto" w:fill="auto"/>
            <w:noWrap/>
            <w:vAlign w:val="center"/>
            <w:hideMark/>
          </w:tcPr>
          <w:p w:rsidR="00B01865" w:rsidRPr="00B01865" w:rsidRDefault="00B01865" w:rsidP="0015347D">
            <w:pPr>
              <w:spacing w:after="0"/>
              <w:ind w:left="-186" w:firstLine="0"/>
              <w:jc w:val="right"/>
              <w:rPr>
                <w:rFonts w:ascii="Arial Narrow" w:hAnsi="Arial Narrow"/>
                <w:color w:val="000000"/>
                <w:lang w:val="es-ES" w:eastAsia="es-ES"/>
              </w:rPr>
            </w:pPr>
            <w:r w:rsidRPr="00B01865">
              <w:rPr>
                <w:rFonts w:ascii="Arial Narrow" w:hAnsi="Arial Narrow"/>
                <w:color w:val="000000"/>
                <w:lang w:val="es-ES" w:eastAsia="es-ES"/>
              </w:rPr>
              <w:t>5</w:t>
            </w:r>
          </w:p>
        </w:tc>
        <w:tc>
          <w:tcPr>
            <w:tcW w:w="1559"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01/09/2017</w:t>
            </w:r>
          </w:p>
        </w:tc>
      </w:tr>
      <w:tr w:rsidR="00B01865" w:rsidRPr="00B01865" w:rsidTr="00C37D37">
        <w:trPr>
          <w:trHeight w:val="198"/>
          <w:jc w:val="center"/>
        </w:trPr>
        <w:tc>
          <w:tcPr>
            <w:tcW w:w="2302" w:type="dxa"/>
            <w:tcBorders>
              <w:top w:val="single" w:sz="2" w:space="0" w:color="auto"/>
              <w:bottom w:val="single" w:sz="2" w:space="0" w:color="auto"/>
            </w:tcBorders>
            <w:shd w:val="clear" w:color="auto" w:fill="auto"/>
            <w:noWrap/>
            <w:vAlign w:val="bottom"/>
            <w:hideMark/>
          </w:tcPr>
          <w:p w:rsidR="00B01865" w:rsidRPr="00B01865" w:rsidRDefault="00B01865" w:rsidP="00F5587B">
            <w:pPr>
              <w:spacing w:after="0"/>
              <w:ind w:right="-78" w:firstLine="0"/>
              <w:jc w:val="left"/>
              <w:rPr>
                <w:rFonts w:ascii="Arial Narrow" w:hAnsi="Arial Narrow"/>
                <w:color w:val="000000"/>
                <w:lang w:val="es-ES" w:eastAsia="es-ES"/>
              </w:rPr>
            </w:pPr>
            <w:proofErr w:type="spellStart"/>
            <w:r w:rsidRPr="00B01865">
              <w:rPr>
                <w:rFonts w:ascii="Arial Narrow" w:hAnsi="Arial Narrow"/>
                <w:color w:val="000000"/>
                <w:lang w:val="es-ES" w:eastAsia="es-ES"/>
              </w:rPr>
              <w:t>Hac</w:t>
            </w:r>
            <w:proofErr w:type="spellEnd"/>
            <w:r w:rsidRPr="00B01865">
              <w:rPr>
                <w:rFonts w:ascii="Arial Narrow" w:hAnsi="Arial Narrow"/>
                <w:color w:val="000000"/>
                <w:lang w:val="es-ES" w:eastAsia="es-ES"/>
              </w:rPr>
              <w:t>.</w:t>
            </w:r>
            <w:r w:rsidR="0015347D">
              <w:rPr>
                <w:rFonts w:ascii="Arial Narrow" w:hAnsi="Arial Narrow"/>
                <w:color w:val="000000"/>
                <w:lang w:val="es-ES" w:eastAsia="es-ES"/>
              </w:rPr>
              <w:t xml:space="preserve"> </w:t>
            </w:r>
            <w:r w:rsidRPr="00B01865">
              <w:rPr>
                <w:rFonts w:ascii="Arial Narrow" w:hAnsi="Arial Narrow"/>
                <w:color w:val="000000"/>
                <w:lang w:val="es-ES" w:eastAsia="es-ES"/>
              </w:rPr>
              <w:t>Pol.</w:t>
            </w:r>
            <w:r w:rsidR="0015347D">
              <w:rPr>
                <w:rFonts w:ascii="Arial Narrow" w:hAnsi="Arial Narrow"/>
                <w:color w:val="000000"/>
                <w:lang w:val="es-ES" w:eastAsia="es-ES"/>
              </w:rPr>
              <w:t xml:space="preserve"> </w:t>
            </w:r>
            <w:proofErr w:type="spellStart"/>
            <w:r w:rsidRPr="00B01865">
              <w:rPr>
                <w:rFonts w:ascii="Arial Narrow" w:hAnsi="Arial Narrow"/>
                <w:color w:val="000000"/>
                <w:lang w:val="es-ES" w:eastAsia="es-ES"/>
              </w:rPr>
              <w:t>Financ</w:t>
            </w:r>
            <w:proofErr w:type="spellEnd"/>
            <w:r w:rsidRPr="00B01865">
              <w:rPr>
                <w:rFonts w:ascii="Arial Narrow" w:hAnsi="Arial Narrow"/>
                <w:color w:val="000000"/>
                <w:lang w:val="es-ES" w:eastAsia="es-ES"/>
              </w:rPr>
              <w:t>.</w:t>
            </w:r>
          </w:p>
        </w:tc>
        <w:tc>
          <w:tcPr>
            <w:tcW w:w="1081"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3.618   </w:t>
            </w:r>
          </w:p>
        </w:tc>
        <w:tc>
          <w:tcPr>
            <w:tcW w:w="845" w:type="dxa"/>
            <w:tcBorders>
              <w:top w:val="single" w:sz="2" w:space="0" w:color="auto"/>
              <w:bottom w:val="single" w:sz="2" w:space="0" w:color="auto"/>
            </w:tcBorders>
            <w:shd w:val="clear" w:color="auto" w:fill="auto"/>
            <w:noWrap/>
            <w:vAlign w:val="center"/>
            <w:hideMark/>
          </w:tcPr>
          <w:p w:rsidR="00B01865" w:rsidRPr="00B01865" w:rsidRDefault="00B01865" w:rsidP="00F5587B">
            <w:pPr>
              <w:spacing w:after="0"/>
              <w:ind w:left="-51" w:firstLine="0"/>
              <w:jc w:val="right"/>
              <w:rPr>
                <w:rFonts w:ascii="Arial Narrow" w:hAnsi="Arial Narrow"/>
                <w:color w:val="000000"/>
                <w:lang w:val="es-ES" w:eastAsia="es-ES"/>
              </w:rPr>
            </w:pPr>
            <w:r w:rsidRPr="00B01865">
              <w:rPr>
                <w:rFonts w:ascii="Arial Narrow" w:hAnsi="Arial Narrow"/>
                <w:color w:val="000000"/>
                <w:lang w:val="es-ES" w:eastAsia="es-ES"/>
              </w:rPr>
              <w:t>2</w:t>
            </w:r>
          </w:p>
        </w:tc>
        <w:tc>
          <w:tcPr>
            <w:tcW w:w="1318" w:type="dxa"/>
            <w:tcBorders>
              <w:top w:val="single" w:sz="2" w:space="0" w:color="auto"/>
              <w:bottom w:val="single" w:sz="2" w:space="0" w:color="auto"/>
              <w:right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01/03/2017</w:t>
            </w:r>
          </w:p>
        </w:tc>
        <w:tc>
          <w:tcPr>
            <w:tcW w:w="1211" w:type="dxa"/>
            <w:tcBorders>
              <w:top w:val="single" w:sz="2" w:space="0" w:color="auto"/>
              <w:left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254.932   </w:t>
            </w:r>
          </w:p>
        </w:tc>
        <w:tc>
          <w:tcPr>
            <w:tcW w:w="851" w:type="dxa"/>
            <w:tcBorders>
              <w:top w:val="single" w:sz="2" w:space="0" w:color="auto"/>
              <w:bottom w:val="single" w:sz="2" w:space="0" w:color="auto"/>
            </w:tcBorders>
            <w:shd w:val="clear" w:color="auto" w:fill="auto"/>
            <w:noWrap/>
            <w:vAlign w:val="center"/>
            <w:hideMark/>
          </w:tcPr>
          <w:p w:rsidR="00B01865" w:rsidRPr="00B01865" w:rsidRDefault="00B01865" w:rsidP="0015347D">
            <w:pPr>
              <w:spacing w:after="0"/>
              <w:ind w:left="-186" w:firstLine="0"/>
              <w:jc w:val="right"/>
              <w:rPr>
                <w:rFonts w:ascii="Arial Narrow" w:hAnsi="Arial Narrow"/>
                <w:color w:val="000000"/>
                <w:lang w:val="es-ES" w:eastAsia="es-ES"/>
              </w:rPr>
            </w:pPr>
            <w:r w:rsidRPr="00B01865">
              <w:rPr>
                <w:rFonts w:ascii="Arial Narrow" w:hAnsi="Arial Narrow"/>
                <w:color w:val="000000"/>
                <w:lang w:val="es-ES" w:eastAsia="es-ES"/>
              </w:rPr>
              <w:t>5</w:t>
            </w:r>
          </w:p>
        </w:tc>
        <w:tc>
          <w:tcPr>
            <w:tcW w:w="1559" w:type="dxa"/>
            <w:tcBorders>
              <w:top w:val="single" w:sz="2" w:space="0" w:color="auto"/>
              <w:bottom w:val="single" w:sz="2" w:space="0" w:color="auto"/>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01/01/2017</w:t>
            </w:r>
          </w:p>
        </w:tc>
      </w:tr>
      <w:tr w:rsidR="00B01865" w:rsidRPr="00B01865" w:rsidTr="00C37D37">
        <w:trPr>
          <w:trHeight w:val="198"/>
          <w:jc w:val="center"/>
        </w:trPr>
        <w:tc>
          <w:tcPr>
            <w:tcW w:w="2302" w:type="dxa"/>
            <w:tcBorders>
              <w:top w:val="single" w:sz="2" w:space="0" w:color="auto"/>
              <w:bottom w:val="single" w:sz="2" w:space="0" w:color="auto"/>
            </w:tcBorders>
            <w:shd w:val="clear" w:color="auto" w:fill="auto"/>
            <w:noWrap/>
            <w:vAlign w:val="bottom"/>
            <w:hideMark/>
          </w:tcPr>
          <w:p w:rsidR="00B01865" w:rsidRPr="00B01865" w:rsidRDefault="00B01865" w:rsidP="00F5587B">
            <w:pPr>
              <w:spacing w:after="0"/>
              <w:ind w:right="-78" w:firstLine="0"/>
              <w:jc w:val="left"/>
              <w:rPr>
                <w:rFonts w:ascii="Arial Narrow" w:hAnsi="Arial Narrow"/>
                <w:color w:val="000000"/>
                <w:lang w:val="es-ES" w:eastAsia="es-ES"/>
              </w:rPr>
            </w:pPr>
            <w:proofErr w:type="spellStart"/>
            <w:r w:rsidRPr="00B01865">
              <w:rPr>
                <w:rFonts w:ascii="Arial Narrow" w:hAnsi="Arial Narrow"/>
                <w:color w:val="000000"/>
                <w:lang w:val="es-ES" w:eastAsia="es-ES"/>
              </w:rPr>
              <w:t>Presid</w:t>
            </w:r>
            <w:proofErr w:type="spellEnd"/>
            <w:r w:rsidRPr="00B01865">
              <w:rPr>
                <w:rFonts w:ascii="Arial Narrow" w:hAnsi="Arial Narrow"/>
                <w:color w:val="000000"/>
                <w:lang w:val="es-ES" w:eastAsia="es-ES"/>
              </w:rPr>
              <w:t xml:space="preserve">., </w:t>
            </w:r>
            <w:proofErr w:type="spellStart"/>
            <w:r w:rsidRPr="00B01865">
              <w:rPr>
                <w:rFonts w:ascii="Arial Narrow" w:hAnsi="Arial Narrow"/>
                <w:color w:val="000000"/>
                <w:lang w:val="es-ES" w:eastAsia="es-ES"/>
              </w:rPr>
              <w:t>Func</w:t>
            </w:r>
            <w:proofErr w:type="spellEnd"/>
            <w:r w:rsidRPr="00B01865">
              <w:rPr>
                <w:rFonts w:ascii="Arial Narrow" w:hAnsi="Arial Narrow"/>
                <w:color w:val="000000"/>
                <w:lang w:val="es-ES" w:eastAsia="es-ES"/>
              </w:rPr>
              <w:t xml:space="preserve">. </w:t>
            </w:r>
            <w:proofErr w:type="spellStart"/>
            <w:r w:rsidRPr="00B01865">
              <w:rPr>
                <w:rFonts w:ascii="Arial Narrow" w:hAnsi="Arial Narrow"/>
                <w:color w:val="000000"/>
                <w:lang w:val="es-ES" w:eastAsia="es-ES"/>
              </w:rPr>
              <w:t>Púb</w:t>
            </w:r>
            <w:proofErr w:type="spellEnd"/>
            <w:r w:rsidRPr="00B01865">
              <w:rPr>
                <w:rFonts w:ascii="Arial Narrow" w:hAnsi="Arial Narrow"/>
                <w:color w:val="000000"/>
                <w:lang w:val="es-ES" w:eastAsia="es-ES"/>
              </w:rPr>
              <w:t xml:space="preserve">., </w:t>
            </w:r>
            <w:proofErr w:type="spellStart"/>
            <w:r w:rsidRPr="00B01865">
              <w:rPr>
                <w:rFonts w:ascii="Arial Narrow" w:hAnsi="Arial Narrow"/>
                <w:color w:val="000000"/>
                <w:lang w:val="es-ES" w:eastAsia="es-ES"/>
              </w:rPr>
              <w:t>Int</w:t>
            </w:r>
            <w:proofErr w:type="spellEnd"/>
            <w:r w:rsidRPr="00B01865">
              <w:rPr>
                <w:rFonts w:ascii="Arial Narrow" w:hAnsi="Arial Narrow"/>
                <w:color w:val="000000"/>
                <w:lang w:val="es-ES" w:eastAsia="es-ES"/>
              </w:rPr>
              <w:t xml:space="preserve">. y </w:t>
            </w:r>
            <w:proofErr w:type="spellStart"/>
            <w:r w:rsidRPr="00B01865">
              <w:rPr>
                <w:rFonts w:ascii="Arial Narrow" w:hAnsi="Arial Narrow"/>
                <w:color w:val="000000"/>
                <w:lang w:val="es-ES" w:eastAsia="es-ES"/>
              </w:rPr>
              <w:t>Just</w:t>
            </w:r>
            <w:proofErr w:type="spellEnd"/>
            <w:r w:rsidRPr="00B01865">
              <w:rPr>
                <w:rFonts w:ascii="Arial Narrow" w:hAnsi="Arial Narrow"/>
                <w:color w:val="000000"/>
                <w:lang w:val="es-ES" w:eastAsia="es-ES"/>
              </w:rPr>
              <w:t>.</w:t>
            </w:r>
          </w:p>
        </w:tc>
        <w:tc>
          <w:tcPr>
            <w:tcW w:w="1081"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1.288.371   </w:t>
            </w:r>
          </w:p>
        </w:tc>
        <w:tc>
          <w:tcPr>
            <w:tcW w:w="845" w:type="dxa"/>
            <w:tcBorders>
              <w:top w:val="single" w:sz="2" w:space="0" w:color="auto"/>
              <w:bottom w:val="single" w:sz="2" w:space="0" w:color="auto"/>
            </w:tcBorders>
            <w:shd w:val="clear" w:color="auto" w:fill="auto"/>
            <w:noWrap/>
            <w:vAlign w:val="center"/>
            <w:hideMark/>
          </w:tcPr>
          <w:p w:rsidR="00B01865" w:rsidRPr="00B01865" w:rsidRDefault="00B01865" w:rsidP="00F5587B">
            <w:pPr>
              <w:spacing w:after="0"/>
              <w:ind w:left="-51" w:firstLine="0"/>
              <w:jc w:val="right"/>
              <w:rPr>
                <w:rFonts w:ascii="Arial Narrow" w:hAnsi="Arial Narrow"/>
                <w:color w:val="000000"/>
                <w:lang w:val="es-ES" w:eastAsia="es-ES"/>
              </w:rPr>
            </w:pPr>
            <w:r w:rsidRPr="00B01865">
              <w:rPr>
                <w:rFonts w:ascii="Arial Narrow" w:hAnsi="Arial Narrow"/>
                <w:color w:val="000000"/>
                <w:lang w:val="es-ES" w:eastAsia="es-ES"/>
              </w:rPr>
              <w:t>23</w:t>
            </w:r>
          </w:p>
        </w:tc>
        <w:tc>
          <w:tcPr>
            <w:tcW w:w="1318" w:type="dxa"/>
            <w:tcBorders>
              <w:top w:val="single" w:sz="2" w:space="0" w:color="auto"/>
              <w:bottom w:val="single" w:sz="2" w:space="0" w:color="auto"/>
              <w:right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01/01/2016</w:t>
            </w:r>
          </w:p>
        </w:tc>
        <w:tc>
          <w:tcPr>
            <w:tcW w:w="1211" w:type="dxa"/>
            <w:tcBorders>
              <w:top w:val="single" w:sz="2" w:space="0" w:color="auto"/>
              <w:left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1.958.662   </w:t>
            </w:r>
          </w:p>
        </w:tc>
        <w:tc>
          <w:tcPr>
            <w:tcW w:w="851" w:type="dxa"/>
            <w:tcBorders>
              <w:top w:val="single" w:sz="2" w:space="0" w:color="auto"/>
              <w:bottom w:val="single" w:sz="2" w:space="0" w:color="auto"/>
            </w:tcBorders>
            <w:shd w:val="clear" w:color="auto" w:fill="auto"/>
            <w:noWrap/>
            <w:vAlign w:val="center"/>
            <w:hideMark/>
          </w:tcPr>
          <w:p w:rsidR="00B01865" w:rsidRPr="00B01865" w:rsidRDefault="00B01865" w:rsidP="0015347D">
            <w:pPr>
              <w:spacing w:after="0"/>
              <w:ind w:left="-186" w:firstLine="0"/>
              <w:jc w:val="right"/>
              <w:rPr>
                <w:rFonts w:ascii="Arial Narrow" w:hAnsi="Arial Narrow"/>
                <w:color w:val="000000"/>
                <w:lang w:val="es-ES" w:eastAsia="es-ES"/>
              </w:rPr>
            </w:pPr>
            <w:r w:rsidRPr="00B01865">
              <w:rPr>
                <w:rFonts w:ascii="Arial Narrow" w:hAnsi="Arial Narrow"/>
                <w:color w:val="000000"/>
                <w:lang w:val="es-ES" w:eastAsia="es-ES"/>
              </w:rPr>
              <w:t>8</w:t>
            </w:r>
          </w:p>
        </w:tc>
        <w:tc>
          <w:tcPr>
            <w:tcW w:w="1559" w:type="dxa"/>
            <w:tcBorders>
              <w:top w:val="single" w:sz="2" w:space="0" w:color="auto"/>
              <w:bottom w:val="single" w:sz="2" w:space="0" w:color="auto"/>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01/01/2017</w:t>
            </w:r>
          </w:p>
        </w:tc>
      </w:tr>
      <w:tr w:rsidR="00B01865" w:rsidRPr="00B01865" w:rsidTr="00C37D37">
        <w:trPr>
          <w:trHeight w:val="198"/>
          <w:jc w:val="center"/>
        </w:trPr>
        <w:tc>
          <w:tcPr>
            <w:tcW w:w="2302" w:type="dxa"/>
            <w:tcBorders>
              <w:top w:val="single" w:sz="2" w:space="0" w:color="auto"/>
              <w:bottom w:val="single" w:sz="2" w:space="0" w:color="auto"/>
            </w:tcBorders>
            <w:shd w:val="clear" w:color="auto" w:fill="auto"/>
            <w:noWrap/>
            <w:vAlign w:val="bottom"/>
            <w:hideMark/>
          </w:tcPr>
          <w:p w:rsidR="00B01865" w:rsidRPr="00B01865" w:rsidRDefault="00B01865" w:rsidP="00F5587B">
            <w:pPr>
              <w:spacing w:after="0"/>
              <w:ind w:right="-78" w:firstLine="0"/>
              <w:jc w:val="left"/>
              <w:rPr>
                <w:rFonts w:ascii="Arial Narrow" w:hAnsi="Arial Narrow"/>
                <w:color w:val="000000"/>
                <w:lang w:val="es-ES" w:eastAsia="es-ES"/>
              </w:rPr>
            </w:pPr>
            <w:proofErr w:type="spellStart"/>
            <w:r w:rsidRPr="00B01865">
              <w:rPr>
                <w:rFonts w:ascii="Arial Narrow" w:hAnsi="Arial Narrow"/>
                <w:color w:val="000000"/>
                <w:lang w:val="es-ES" w:eastAsia="es-ES"/>
              </w:rPr>
              <w:t>Relac</w:t>
            </w:r>
            <w:proofErr w:type="spellEnd"/>
            <w:r w:rsidRPr="00B01865">
              <w:rPr>
                <w:rFonts w:ascii="Arial Narrow" w:hAnsi="Arial Narrow"/>
                <w:color w:val="000000"/>
                <w:lang w:val="es-ES" w:eastAsia="es-ES"/>
              </w:rPr>
              <w:t xml:space="preserve">. Ciudad. e </w:t>
            </w:r>
            <w:proofErr w:type="spellStart"/>
            <w:r w:rsidRPr="00B01865">
              <w:rPr>
                <w:rFonts w:ascii="Arial Narrow" w:hAnsi="Arial Narrow"/>
                <w:color w:val="000000"/>
                <w:lang w:val="es-ES" w:eastAsia="es-ES"/>
              </w:rPr>
              <w:t>Instit</w:t>
            </w:r>
            <w:proofErr w:type="spellEnd"/>
            <w:r w:rsidRPr="00B01865">
              <w:rPr>
                <w:rFonts w:ascii="Arial Narrow" w:hAnsi="Arial Narrow"/>
                <w:color w:val="000000"/>
                <w:lang w:val="es-ES" w:eastAsia="es-ES"/>
              </w:rPr>
              <w:t>.</w:t>
            </w:r>
          </w:p>
        </w:tc>
        <w:tc>
          <w:tcPr>
            <w:tcW w:w="1081"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 1.178.569   </w:t>
            </w:r>
          </w:p>
        </w:tc>
        <w:tc>
          <w:tcPr>
            <w:tcW w:w="845" w:type="dxa"/>
            <w:tcBorders>
              <w:top w:val="single" w:sz="2" w:space="0" w:color="auto"/>
              <w:bottom w:val="single" w:sz="2" w:space="0" w:color="auto"/>
            </w:tcBorders>
            <w:shd w:val="clear" w:color="auto" w:fill="auto"/>
            <w:noWrap/>
            <w:vAlign w:val="center"/>
            <w:hideMark/>
          </w:tcPr>
          <w:p w:rsidR="00B01865" w:rsidRPr="00B01865" w:rsidRDefault="00B01865" w:rsidP="00F5587B">
            <w:pPr>
              <w:spacing w:after="0"/>
              <w:ind w:left="-51" w:firstLine="0"/>
              <w:jc w:val="right"/>
              <w:rPr>
                <w:rFonts w:ascii="Arial Narrow" w:hAnsi="Arial Narrow"/>
                <w:color w:val="000000"/>
                <w:lang w:val="es-ES" w:eastAsia="es-ES"/>
              </w:rPr>
            </w:pPr>
            <w:r w:rsidRPr="00B01865">
              <w:rPr>
                <w:rFonts w:ascii="Arial Narrow" w:hAnsi="Arial Narrow"/>
                <w:color w:val="000000"/>
                <w:lang w:val="es-ES" w:eastAsia="es-ES"/>
              </w:rPr>
              <w:t>17</w:t>
            </w:r>
          </w:p>
        </w:tc>
        <w:tc>
          <w:tcPr>
            <w:tcW w:w="1318" w:type="dxa"/>
            <w:tcBorders>
              <w:top w:val="single" w:sz="2" w:space="0" w:color="auto"/>
              <w:bottom w:val="single" w:sz="2" w:space="0" w:color="auto"/>
              <w:right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01/04/2015</w:t>
            </w:r>
          </w:p>
        </w:tc>
        <w:tc>
          <w:tcPr>
            <w:tcW w:w="1211" w:type="dxa"/>
            <w:tcBorders>
              <w:top w:val="single" w:sz="2" w:space="0" w:color="auto"/>
              <w:left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71.478   </w:t>
            </w:r>
          </w:p>
        </w:tc>
        <w:tc>
          <w:tcPr>
            <w:tcW w:w="851" w:type="dxa"/>
            <w:tcBorders>
              <w:top w:val="single" w:sz="2" w:space="0" w:color="auto"/>
              <w:bottom w:val="single" w:sz="2" w:space="0" w:color="auto"/>
            </w:tcBorders>
            <w:shd w:val="clear" w:color="auto" w:fill="auto"/>
            <w:noWrap/>
            <w:vAlign w:val="center"/>
            <w:hideMark/>
          </w:tcPr>
          <w:p w:rsidR="00B01865" w:rsidRPr="00B01865" w:rsidRDefault="00B01865" w:rsidP="0015347D">
            <w:pPr>
              <w:spacing w:after="0"/>
              <w:ind w:left="-186" w:firstLine="0"/>
              <w:jc w:val="right"/>
              <w:rPr>
                <w:rFonts w:ascii="Arial Narrow" w:hAnsi="Arial Narrow"/>
                <w:color w:val="000000"/>
                <w:lang w:val="es-ES" w:eastAsia="es-ES"/>
              </w:rPr>
            </w:pPr>
            <w:r w:rsidRPr="00B01865">
              <w:rPr>
                <w:rFonts w:ascii="Arial Narrow" w:hAnsi="Arial Narrow"/>
                <w:color w:val="000000"/>
                <w:lang w:val="es-ES" w:eastAsia="es-ES"/>
              </w:rPr>
              <w:t>8</w:t>
            </w:r>
          </w:p>
        </w:tc>
        <w:tc>
          <w:tcPr>
            <w:tcW w:w="1559" w:type="dxa"/>
            <w:tcBorders>
              <w:top w:val="single" w:sz="2" w:space="0" w:color="auto"/>
              <w:bottom w:val="single" w:sz="2" w:space="0" w:color="auto"/>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16/11/2016</w:t>
            </w:r>
          </w:p>
        </w:tc>
      </w:tr>
      <w:tr w:rsidR="00B01865" w:rsidRPr="00B01865" w:rsidTr="00C37D37">
        <w:trPr>
          <w:trHeight w:val="198"/>
          <w:jc w:val="center"/>
        </w:trPr>
        <w:tc>
          <w:tcPr>
            <w:tcW w:w="2302" w:type="dxa"/>
            <w:tcBorders>
              <w:top w:val="single" w:sz="2" w:space="0" w:color="auto"/>
              <w:bottom w:val="single" w:sz="4" w:space="0" w:color="auto"/>
            </w:tcBorders>
            <w:shd w:val="clear" w:color="auto" w:fill="auto"/>
            <w:noWrap/>
            <w:vAlign w:val="bottom"/>
            <w:hideMark/>
          </w:tcPr>
          <w:p w:rsidR="00B01865" w:rsidRPr="00B01865" w:rsidRDefault="00B01865" w:rsidP="00F5587B">
            <w:pPr>
              <w:spacing w:after="0"/>
              <w:ind w:right="-78" w:firstLine="0"/>
              <w:jc w:val="left"/>
              <w:rPr>
                <w:rFonts w:ascii="Arial Narrow" w:hAnsi="Arial Narrow"/>
                <w:color w:val="000000"/>
                <w:lang w:val="es-ES" w:eastAsia="es-ES"/>
              </w:rPr>
            </w:pPr>
            <w:r w:rsidRPr="00B01865">
              <w:rPr>
                <w:rFonts w:ascii="Arial Narrow" w:hAnsi="Arial Narrow"/>
                <w:color w:val="000000"/>
                <w:lang w:val="es-ES" w:eastAsia="es-ES"/>
              </w:rPr>
              <w:t>Salud</w:t>
            </w:r>
          </w:p>
        </w:tc>
        <w:tc>
          <w:tcPr>
            <w:tcW w:w="1081" w:type="dxa"/>
            <w:tcBorders>
              <w:top w:val="single" w:sz="2"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32.610.448   </w:t>
            </w:r>
          </w:p>
        </w:tc>
        <w:tc>
          <w:tcPr>
            <w:tcW w:w="845" w:type="dxa"/>
            <w:tcBorders>
              <w:top w:val="single" w:sz="2" w:space="0" w:color="auto"/>
              <w:bottom w:val="single" w:sz="4" w:space="0" w:color="auto"/>
            </w:tcBorders>
            <w:shd w:val="clear" w:color="auto" w:fill="auto"/>
            <w:noWrap/>
            <w:vAlign w:val="center"/>
            <w:hideMark/>
          </w:tcPr>
          <w:p w:rsidR="00B01865" w:rsidRPr="00B01865" w:rsidRDefault="00B01865" w:rsidP="00F5587B">
            <w:pPr>
              <w:spacing w:after="0"/>
              <w:ind w:left="-51" w:firstLine="0"/>
              <w:jc w:val="right"/>
              <w:rPr>
                <w:rFonts w:ascii="Arial Narrow" w:hAnsi="Arial Narrow"/>
                <w:color w:val="000000"/>
                <w:lang w:val="es-ES" w:eastAsia="es-ES"/>
              </w:rPr>
            </w:pPr>
            <w:r w:rsidRPr="00B01865">
              <w:rPr>
                <w:rFonts w:ascii="Arial Narrow" w:hAnsi="Arial Narrow"/>
                <w:color w:val="000000"/>
                <w:lang w:val="es-ES" w:eastAsia="es-ES"/>
              </w:rPr>
              <w:t>48</w:t>
            </w:r>
          </w:p>
        </w:tc>
        <w:tc>
          <w:tcPr>
            <w:tcW w:w="1318" w:type="dxa"/>
            <w:tcBorders>
              <w:top w:val="single" w:sz="2" w:space="0" w:color="auto"/>
              <w:bottom w:val="single" w:sz="4" w:space="0" w:color="auto"/>
              <w:right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01/01/2014</w:t>
            </w:r>
          </w:p>
        </w:tc>
        <w:tc>
          <w:tcPr>
            <w:tcW w:w="1211" w:type="dxa"/>
            <w:tcBorders>
              <w:top w:val="single" w:sz="2" w:space="0" w:color="auto"/>
              <w:left w:val="single" w:sz="2" w:space="0" w:color="auto"/>
              <w:bottom w:val="single" w:sz="4" w:space="0" w:color="auto"/>
            </w:tcBorders>
            <w:shd w:val="clear" w:color="auto" w:fill="auto"/>
            <w:noWrap/>
            <w:vAlign w:val="center"/>
            <w:hideMark/>
          </w:tcPr>
          <w:p w:rsidR="00B01865" w:rsidRPr="00B01865" w:rsidRDefault="00C37D37" w:rsidP="00C37D37">
            <w:pPr>
              <w:spacing w:after="0"/>
              <w:ind w:firstLine="0"/>
              <w:jc w:val="right"/>
              <w:rPr>
                <w:rFonts w:ascii="Arial Narrow" w:hAnsi="Arial Narrow"/>
                <w:color w:val="000000"/>
                <w:lang w:val="es-ES" w:eastAsia="es-ES"/>
              </w:rPr>
            </w:pPr>
            <w:r>
              <w:rPr>
                <w:rFonts w:ascii="Arial Narrow" w:hAnsi="Arial Narrow"/>
                <w:color w:val="000000"/>
                <w:lang w:val="es-ES" w:eastAsia="es-ES"/>
              </w:rPr>
              <w:t>24.669.179</w:t>
            </w:r>
          </w:p>
        </w:tc>
        <w:tc>
          <w:tcPr>
            <w:tcW w:w="851" w:type="dxa"/>
            <w:tcBorders>
              <w:top w:val="single" w:sz="2" w:space="0" w:color="auto"/>
              <w:bottom w:val="single" w:sz="4" w:space="0" w:color="auto"/>
            </w:tcBorders>
            <w:shd w:val="clear" w:color="auto" w:fill="auto"/>
            <w:noWrap/>
            <w:vAlign w:val="center"/>
            <w:hideMark/>
          </w:tcPr>
          <w:p w:rsidR="00B01865" w:rsidRPr="00B01865" w:rsidRDefault="00B01865" w:rsidP="0015347D">
            <w:pPr>
              <w:spacing w:after="0"/>
              <w:ind w:left="-186" w:firstLine="0"/>
              <w:jc w:val="right"/>
              <w:rPr>
                <w:rFonts w:ascii="Arial Narrow" w:hAnsi="Arial Narrow"/>
                <w:color w:val="000000"/>
                <w:lang w:val="es-ES" w:eastAsia="es-ES"/>
              </w:rPr>
            </w:pPr>
            <w:r w:rsidRPr="00B01865">
              <w:rPr>
                <w:rFonts w:ascii="Arial Narrow" w:hAnsi="Arial Narrow"/>
                <w:color w:val="000000"/>
                <w:lang w:val="es-ES" w:eastAsia="es-ES"/>
              </w:rPr>
              <w:t>16</w:t>
            </w:r>
          </w:p>
        </w:tc>
        <w:tc>
          <w:tcPr>
            <w:tcW w:w="1559" w:type="dxa"/>
            <w:tcBorders>
              <w:top w:val="single" w:sz="2" w:space="0" w:color="auto"/>
              <w:bottom w:val="single" w:sz="4" w:space="0" w:color="auto"/>
            </w:tcBorders>
            <w:shd w:val="clear" w:color="auto" w:fill="auto"/>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01/01/2016</w:t>
            </w:r>
          </w:p>
        </w:tc>
      </w:tr>
      <w:tr w:rsidR="00B01865" w:rsidRPr="00B01865" w:rsidTr="00C37D37">
        <w:trPr>
          <w:trHeight w:val="255"/>
          <w:jc w:val="center"/>
        </w:trPr>
        <w:tc>
          <w:tcPr>
            <w:tcW w:w="2302"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F5587B">
            <w:pPr>
              <w:spacing w:after="0"/>
              <w:ind w:right="-78" w:firstLine="0"/>
              <w:rPr>
                <w:rFonts w:ascii="Arial" w:hAnsi="Arial" w:cs="Arial"/>
                <w:bCs/>
                <w:color w:val="000000"/>
                <w:sz w:val="18"/>
                <w:szCs w:val="18"/>
                <w:lang w:val="es-ES" w:eastAsia="es-ES"/>
              </w:rPr>
            </w:pPr>
            <w:r w:rsidRPr="00B01865">
              <w:rPr>
                <w:rFonts w:ascii="Arial" w:hAnsi="Arial" w:cs="Arial"/>
                <w:bCs/>
                <w:color w:val="000000"/>
                <w:sz w:val="18"/>
                <w:szCs w:val="18"/>
                <w:lang w:val="es-ES" w:eastAsia="es-ES"/>
              </w:rPr>
              <w:t xml:space="preserve">Total </w:t>
            </w:r>
          </w:p>
        </w:tc>
        <w:tc>
          <w:tcPr>
            <w:tcW w:w="1081"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 xml:space="preserve">51.227.760   </w:t>
            </w:r>
          </w:p>
        </w:tc>
        <w:tc>
          <w:tcPr>
            <w:tcW w:w="845"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F5587B">
            <w:pPr>
              <w:spacing w:after="0"/>
              <w:ind w:left="-51"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155</w:t>
            </w:r>
          </w:p>
        </w:tc>
        <w:tc>
          <w:tcPr>
            <w:tcW w:w="1318" w:type="dxa"/>
            <w:tcBorders>
              <w:top w:val="single" w:sz="4" w:space="0" w:color="auto"/>
              <w:bottom w:val="single" w:sz="4" w:space="0" w:color="auto"/>
              <w:right w:val="single" w:sz="2" w:space="0" w:color="auto"/>
            </w:tcBorders>
            <w:shd w:val="clear" w:color="auto" w:fill="8DB3E2" w:themeFill="text2" w:themeFillTint="66"/>
            <w:noWrap/>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31/12/2012</w:t>
            </w:r>
          </w:p>
        </w:tc>
        <w:tc>
          <w:tcPr>
            <w:tcW w:w="1211" w:type="dxa"/>
            <w:tcBorders>
              <w:top w:val="single" w:sz="4" w:space="0" w:color="auto"/>
              <w:left w:val="single" w:sz="2" w:space="0" w:color="auto"/>
              <w:bottom w:val="single" w:sz="4" w:space="0" w:color="auto"/>
            </w:tcBorders>
            <w:shd w:val="clear" w:color="auto" w:fill="8DB3E2" w:themeFill="text2" w:themeFillTint="66"/>
            <w:noWrap/>
            <w:vAlign w:val="center"/>
            <w:hideMark/>
          </w:tcPr>
          <w:p w:rsidR="00B01865" w:rsidRPr="00B01865" w:rsidRDefault="00C37D37" w:rsidP="00B01865">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63.030.431</w:t>
            </w:r>
          </w:p>
        </w:tc>
        <w:tc>
          <w:tcPr>
            <w:tcW w:w="851"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15347D">
            <w:pPr>
              <w:spacing w:after="0"/>
              <w:ind w:left="-186"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130</w:t>
            </w:r>
          </w:p>
        </w:tc>
        <w:tc>
          <w:tcPr>
            <w:tcW w:w="1559"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01/07/2013</w:t>
            </w:r>
          </w:p>
        </w:tc>
      </w:tr>
    </w:tbl>
    <w:p w:rsidR="0015347D" w:rsidRPr="00B01865" w:rsidRDefault="0015347D" w:rsidP="00201AEC">
      <w:pPr>
        <w:spacing w:before="60" w:after="0"/>
        <w:ind w:hanging="142"/>
        <w:jc w:val="left"/>
        <w:rPr>
          <w:rFonts w:ascii="Arial" w:hAnsi="Arial" w:cs="Arial"/>
          <w:sz w:val="16"/>
          <w:szCs w:val="16"/>
          <w:lang w:val="es-ES" w:eastAsia="es-ES"/>
        </w:rPr>
      </w:pPr>
      <w:r w:rsidRPr="00B01865">
        <w:rPr>
          <w:rFonts w:ascii="Arial" w:hAnsi="Arial" w:cs="Arial"/>
          <w:sz w:val="16"/>
          <w:szCs w:val="16"/>
          <w:lang w:eastAsia="es-ES"/>
        </w:rPr>
        <w:t xml:space="preserve">* </w:t>
      </w:r>
      <w:r w:rsidRPr="00B01865">
        <w:rPr>
          <w:rFonts w:ascii="Arial" w:hAnsi="Arial" w:cs="Arial"/>
          <w:sz w:val="16"/>
          <w:szCs w:val="16"/>
          <w:lang w:val="es-ES" w:eastAsia="es-ES"/>
        </w:rPr>
        <w:t>En estos casos, aún no se había abonado cantidad alguna a la fecha indicada.</w:t>
      </w:r>
    </w:p>
    <w:p w:rsidR="006D2426" w:rsidRDefault="006D2426" w:rsidP="006D2426">
      <w:pPr>
        <w:pStyle w:val="texto"/>
        <w:spacing w:before="240"/>
        <w:rPr>
          <w:lang w:val="es-ES"/>
        </w:rPr>
      </w:pPr>
      <w:r>
        <w:rPr>
          <w:lang w:val="es-ES"/>
        </w:rPr>
        <w:t xml:space="preserve">Como se observa, el gasto a 1 de julio de 2018 se ha incrementado respecto al que existía en mayo de 2017, si bien el número de contratos ha disminuido. </w:t>
      </w:r>
    </w:p>
    <w:p w:rsidR="006D2426" w:rsidRDefault="006D2426" w:rsidP="006D2426">
      <w:pPr>
        <w:pStyle w:val="texto"/>
        <w:spacing w:before="120"/>
        <w:rPr>
          <w:lang w:val="es-ES"/>
        </w:rPr>
      </w:pPr>
      <w:r>
        <w:rPr>
          <w:lang w:val="es-ES"/>
        </w:rPr>
        <w:t>Las causas que han provocado que se produzca este abono para prestaciones cuya vigencia de contrato ha finalizado son diversas</w:t>
      </w:r>
      <w:r w:rsidR="00090B51">
        <w:rPr>
          <w:lang w:val="es-ES"/>
        </w:rPr>
        <w:t>,</w:t>
      </w:r>
      <w:r>
        <w:rPr>
          <w:lang w:val="es-ES"/>
        </w:rPr>
        <w:t xml:space="preserve"> y no varían respecto a las señaladas en nuestro informe sobre las Cuentas Generales de la ACFN </w:t>
      </w:r>
      <w:r w:rsidR="00090B51">
        <w:rPr>
          <w:lang w:val="es-ES"/>
        </w:rPr>
        <w:t>del</w:t>
      </w:r>
      <w:r>
        <w:rPr>
          <w:lang w:val="es-ES"/>
        </w:rPr>
        <w:t xml:space="preserve"> eje</w:t>
      </w:r>
      <w:r>
        <w:rPr>
          <w:lang w:val="es-ES"/>
        </w:rPr>
        <w:t>r</w:t>
      </w:r>
      <w:r>
        <w:rPr>
          <w:lang w:val="es-ES"/>
        </w:rPr>
        <w:t>cicio 2016 (retraso inicio expedientes, recursos interpuestos, etc.).</w:t>
      </w:r>
    </w:p>
    <w:p w:rsidR="00E7109D" w:rsidRDefault="00E7109D" w:rsidP="006D2426">
      <w:pPr>
        <w:pStyle w:val="texto"/>
        <w:spacing w:before="120"/>
        <w:rPr>
          <w:lang w:val="es-ES"/>
        </w:rPr>
      </w:pPr>
      <w:r>
        <w:rPr>
          <w:lang w:val="es-ES"/>
        </w:rPr>
        <w:t>Si se analiza la situación por departamentos se observa que las prestaciones que se encuentran en esta situación en el caso del Departamento de Presidencia han decrecido un 65 por ciento, si bien el gasto se ha incrementado un 52 por ciento. En el caso del Departamento de Relaciones Ciudadanas e Institucion</w:t>
      </w:r>
      <w:r>
        <w:rPr>
          <w:lang w:val="es-ES"/>
        </w:rPr>
        <w:t>a</w:t>
      </w:r>
      <w:r>
        <w:rPr>
          <w:lang w:val="es-ES"/>
        </w:rPr>
        <w:t>les, tanto los contratos como el gasto acumulado se han reducido en un 53 y en un 94 por ciento respectivamente.</w:t>
      </w:r>
    </w:p>
    <w:p w:rsidR="00E7109D" w:rsidRDefault="00E7109D" w:rsidP="006D2426">
      <w:pPr>
        <w:pStyle w:val="texto"/>
        <w:spacing w:before="120"/>
        <w:rPr>
          <w:lang w:val="es-ES"/>
        </w:rPr>
      </w:pPr>
      <w:r>
        <w:rPr>
          <w:lang w:val="es-ES"/>
        </w:rPr>
        <w:lastRenderedPageBreak/>
        <w:t>Por otro lado, destacamos al Departamento de Educación cuyos contratos han pasado de uno a cinco, y el gasto asociado se ha incrementado significat</w:t>
      </w:r>
      <w:r>
        <w:rPr>
          <w:lang w:val="es-ES"/>
        </w:rPr>
        <w:t>i</w:t>
      </w:r>
      <w:r>
        <w:rPr>
          <w:lang w:val="es-ES"/>
        </w:rPr>
        <w:t>vamente, ya que ha pasado de cero euros en mayo de 2017 a 8,15 millones en julio de 2018</w:t>
      </w:r>
      <w:r w:rsidR="00BC745B">
        <w:rPr>
          <w:lang w:val="es-ES"/>
        </w:rPr>
        <w:t xml:space="preserve">; la causa principal de este incremento es el </w:t>
      </w:r>
      <w:r>
        <w:rPr>
          <w:lang w:val="es-ES"/>
        </w:rPr>
        <w:t>contrato relacionado con el transporte escolar cuya adjudicación fue recurrida sin que</w:t>
      </w:r>
      <w:r w:rsidR="00904024">
        <w:rPr>
          <w:lang w:val="es-ES"/>
        </w:rPr>
        <w:t>,</w:t>
      </w:r>
      <w:r>
        <w:rPr>
          <w:lang w:val="es-ES"/>
        </w:rPr>
        <w:t xml:space="preserve"> por lo tanto</w:t>
      </w:r>
      <w:r w:rsidR="00904024">
        <w:rPr>
          <w:lang w:val="es-ES"/>
        </w:rPr>
        <w:t>,</w:t>
      </w:r>
      <w:r>
        <w:rPr>
          <w:lang w:val="es-ES"/>
        </w:rPr>
        <w:t xml:space="preserve"> sea esta una causa imputable a esta organización</w:t>
      </w:r>
      <w:r w:rsidR="00BC745B">
        <w:rPr>
          <w:lang w:val="es-ES"/>
        </w:rPr>
        <w:t>. A</w:t>
      </w:r>
      <w:r>
        <w:rPr>
          <w:lang w:val="es-ES"/>
        </w:rPr>
        <w:t xml:space="preserve">l respecto señalamos que </w:t>
      </w:r>
      <w:r w:rsidR="00BC745B">
        <w:rPr>
          <w:lang w:val="es-ES"/>
        </w:rPr>
        <w:t xml:space="preserve">sobre el recurso a esta contratación se ha dictado </w:t>
      </w:r>
      <w:r>
        <w:rPr>
          <w:lang w:val="es-ES"/>
        </w:rPr>
        <w:t>recientemente sentencia a f</w:t>
      </w:r>
      <w:r>
        <w:rPr>
          <w:lang w:val="es-ES"/>
        </w:rPr>
        <w:t>a</w:t>
      </w:r>
      <w:r>
        <w:rPr>
          <w:lang w:val="es-ES"/>
        </w:rPr>
        <w:t xml:space="preserve">vor del departamento. </w:t>
      </w:r>
    </w:p>
    <w:p w:rsidR="00E7109D" w:rsidRDefault="00E7109D" w:rsidP="006D2426">
      <w:pPr>
        <w:pStyle w:val="texto"/>
        <w:spacing w:before="120"/>
        <w:rPr>
          <w:lang w:val="es-ES"/>
        </w:rPr>
      </w:pPr>
      <w:r>
        <w:rPr>
          <w:lang w:val="es-ES"/>
        </w:rPr>
        <w:t>En esta tendencia creciente se encuentra también el Departamento de Der</w:t>
      </w:r>
      <w:r>
        <w:rPr>
          <w:lang w:val="es-ES"/>
        </w:rPr>
        <w:t>e</w:t>
      </w:r>
      <w:r>
        <w:rPr>
          <w:lang w:val="es-ES"/>
        </w:rPr>
        <w:t>chos Sociales con un aumento en el número de contratos y en el gasto acum</w:t>
      </w:r>
      <w:r>
        <w:rPr>
          <w:lang w:val="es-ES"/>
        </w:rPr>
        <w:t>u</w:t>
      </w:r>
      <w:r>
        <w:rPr>
          <w:lang w:val="es-ES"/>
        </w:rPr>
        <w:t>lado del 116 y del 74 por ciento respectivamente.</w:t>
      </w:r>
    </w:p>
    <w:p w:rsidR="006D2426" w:rsidRDefault="00E7109D" w:rsidP="006D2426">
      <w:pPr>
        <w:pStyle w:val="texto"/>
        <w:spacing w:before="120"/>
        <w:rPr>
          <w:lang w:val="es-ES"/>
        </w:rPr>
      </w:pPr>
      <w:r>
        <w:rPr>
          <w:lang w:val="es-ES"/>
        </w:rPr>
        <w:t>En cuanto al Departamento de Salud, e</w:t>
      </w:r>
      <w:r w:rsidR="006D2426">
        <w:rPr>
          <w:lang w:val="es-ES"/>
        </w:rPr>
        <w:t>n las cifras recogidas en el cuadro a</w:t>
      </w:r>
      <w:r w:rsidR="006D2426">
        <w:rPr>
          <w:lang w:val="es-ES"/>
        </w:rPr>
        <w:t>n</w:t>
      </w:r>
      <w:r w:rsidR="006D2426">
        <w:rPr>
          <w:lang w:val="es-ES"/>
        </w:rPr>
        <w:t xml:space="preserve">terior no están reflejados, para ninguna de las dos fechas evaluadas, los datos referidos a algunos gastos del </w:t>
      </w:r>
      <w:r w:rsidR="009C1D5A">
        <w:rPr>
          <w:lang w:val="es-ES"/>
        </w:rPr>
        <w:t>SNS-O</w:t>
      </w:r>
      <w:r w:rsidR="006D2426">
        <w:rPr>
          <w:lang w:val="es-ES"/>
        </w:rPr>
        <w:t xml:space="preserve"> de diversos suministros sanitarios y fá</w:t>
      </w:r>
      <w:r w:rsidR="006D2426">
        <w:rPr>
          <w:lang w:val="es-ES"/>
        </w:rPr>
        <w:t>r</w:t>
      </w:r>
      <w:r w:rsidR="006D2426">
        <w:rPr>
          <w:lang w:val="es-ES"/>
        </w:rPr>
        <w:t xml:space="preserve">macos que se están abonando a pesar de que la vigencia de sus contratos haya finalizado o </w:t>
      </w:r>
      <w:r w:rsidR="00BC745B">
        <w:rPr>
          <w:lang w:val="es-ES"/>
        </w:rPr>
        <w:t xml:space="preserve">se encuentren </w:t>
      </w:r>
      <w:r w:rsidR="006D2426">
        <w:rPr>
          <w:lang w:val="es-ES"/>
        </w:rPr>
        <w:t>sin soporte contractual.</w:t>
      </w:r>
    </w:p>
    <w:p w:rsidR="006D2426" w:rsidRDefault="006D2426" w:rsidP="006D2426">
      <w:pPr>
        <w:pStyle w:val="texto"/>
        <w:spacing w:before="120"/>
        <w:rPr>
          <w:lang w:val="es-ES"/>
        </w:rPr>
      </w:pPr>
      <w:r>
        <w:rPr>
          <w:lang w:val="es-ES"/>
        </w:rPr>
        <w:t xml:space="preserve">En mayo de 2016, </w:t>
      </w:r>
      <w:r w:rsidR="009C1D5A">
        <w:rPr>
          <w:lang w:val="es-ES"/>
        </w:rPr>
        <w:t>y teniendo en cuenta los planes de acción de control i</w:t>
      </w:r>
      <w:r w:rsidR="009C1D5A">
        <w:rPr>
          <w:lang w:val="es-ES"/>
        </w:rPr>
        <w:t>n</w:t>
      </w:r>
      <w:r w:rsidR="009C1D5A">
        <w:rPr>
          <w:lang w:val="es-ES"/>
        </w:rPr>
        <w:t xml:space="preserve">terno del Servicio de Intervención General, </w:t>
      </w:r>
      <w:r>
        <w:rPr>
          <w:lang w:val="es-ES"/>
        </w:rPr>
        <w:t>el SNS-O</w:t>
      </w:r>
      <w:r w:rsidR="009C1D5A">
        <w:rPr>
          <w:lang w:val="es-ES"/>
        </w:rPr>
        <w:t xml:space="preserve"> implantó un plan de a</w:t>
      </w:r>
      <w:r w:rsidR="009C1D5A">
        <w:rPr>
          <w:lang w:val="es-ES"/>
        </w:rPr>
        <w:t>c</w:t>
      </w:r>
      <w:r w:rsidR="009C1D5A">
        <w:rPr>
          <w:lang w:val="es-ES"/>
        </w:rPr>
        <w:t>ción con el objeti</w:t>
      </w:r>
      <w:r w:rsidR="00090B51">
        <w:rPr>
          <w:lang w:val="es-ES"/>
        </w:rPr>
        <w:t xml:space="preserve">vo de que la totalidad </w:t>
      </w:r>
      <w:r w:rsidR="009C1D5A">
        <w:rPr>
          <w:lang w:val="es-ES"/>
        </w:rPr>
        <w:t>de las compras para el año 2020 est</w:t>
      </w:r>
      <w:r w:rsidR="00BC745B">
        <w:rPr>
          <w:lang w:val="es-ES"/>
        </w:rPr>
        <w:t>u</w:t>
      </w:r>
      <w:r w:rsidR="00BC745B">
        <w:rPr>
          <w:lang w:val="es-ES"/>
        </w:rPr>
        <w:t>viera</w:t>
      </w:r>
      <w:r w:rsidR="009C1D5A">
        <w:rPr>
          <w:lang w:val="es-ES"/>
        </w:rPr>
        <w:t>n adjudicadas de acuerdo a las normas de contratación aplicables. Al re</w:t>
      </w:r>
      <w:r w:rsidR="009C1D5A">
        <w:rPr>
          <w:lang w:val="es-ES"/>
        </w:rPr>
        <w:t>s</w:t>
      </w:r>
      <w:r w:rsidR="009C1D5A">
        <w:rPr>
          <w:lang w:val="es-ES"/>
        </w:rPr>
        <w:t>pecto, esta Cámara de Comptos ya analizó la gestión de los fármacos en el á</w:t>
      </w:r>
      <w:r w:rsidR="009C1D5A">
        <w:rPr>
          <w:lang w:val="es-ES"/>
        </w:rPr>
        <w:t>m</w:t>
      </w:r>
      <w:r w:rsidR="009C1D5A">
        <w:rPr>
          <w:lang w:val="es-ES"/>
        </w:rPr>
        <w:t xml:space="preserve">bito hospitalario recomendando </w:t>
      </w:r>
      <w:r w:rsidR="00090B51">
        <w:rPr>
          <w:lang w:val="es-ES"/>
        </w:rPr>
        <w:t>el contenido del objetivo indicado</w:t>
      </w:r>
      <w:r w:rsidR="009C1D5A">
        <w:rPr>
          <w:lang w:val="es-ES"/>
        </w:rPr>
        <w:t xml:space="preserve">. </w:t>
      </w:r>
    </w:p>
    <w:p w:rsidR="009C1D5A" w:rsidRDefault="009C1D5A" w:rsidP="006D2426">
      <w:pPr>
        <w:pStyle w:val="texto"/>
        <w:spacing w:before="120"/>
        <w:rPr>
          <w:lang w:val="es-ES"/>
        </w:rPr>
      </w:pPr>
      <w:r>
        <w:rPr>
          <w:lang w:val="es-ES"/>
        </w:rPr>
        <w:t>La situ</w:t>
      </w:r>
      <w:r w:rsidR="00356DD9">
        <w:rPr>
          <w:lang w:val="es-ES"/>
        </w:rPr>
        <w:t>ación actual, según los datos aportados por el SNS-O en relación con el cumplimiento del plan de acción mencionado, es que se han seguido proc</w:t>
      </w:r>
      <w:r w:rsidR="00356DD9">
        <w:rPr>
          <w:lang w:val="es-ES"/>
        </w:rPr>
        <w:t>e</w:t>
      </w:r>
      <w:r w:rsidR="00356DD9">
        <w:rPr>
          <w:lang w:val="es-ES"/>
        </w:rPr>
        <w:t xml:space="preserve">dimientos legalmente establecidos para el </w:t>
      </w:r>
      <w:r w:rsidR="00F36D8D">
        <w:rPr>
          <w:lang w:val="es-ES"/>
        </w:rPr>
        <w:t>38</w:t>
      </w:r>
      <w:r w:rsidR="00356DD9">
        <w:rPr>
          <w:lang w:val="es-ES"/>
        </w:rPr>
        <w:t xml:space="preserve"> por ciento del gasto relacionado con los suministros sanitarios y fármacos</w:t>
      </w:r>
      <w:r w:rsidR="00BC745B">
        <w:rPr>
          <w:lang w:val="es-ES"/>
        </w:rPr>
        <w:t xml:space="preserve"> señalados anteriormente</w:t>
      </w:r>
      <w:r w:rsidR="00356DD9">
        <w:rPr>
          <w:lang w:val="es-ES"/>
        </w:rPr>
        <w:t xml:space="preserve">, y sobre el resto se están llevando a cabo acciones para llevar a cabo el procedimiento de contratación correspondiente.  </w:t>
      </w:r>
    </w:p>
    <w:p w:rsidR="008F1A3B" w:rsidRPr="00EB25DD" w:rsidRDefault="00356DD9" w:rsidP="006D2426">
      <w:pPr>
        <w:pStyle w:val="texto"/>
        <w:spacing w:before="120"/>
        <w:rPr>
          <w:lang w:val="es-ES"/>
        </w:rPr>
      </w:pPr>
      <w:r>
        <w:rPr>
          <w:lang w:val="es-ES"/>
        </w:rPr>
        <w:t>Teniendo en cuenta todo lo anterior,</w:t>
      </w:r>
      <w:r w:rsidR="00BC745B">
        <w:rPr>
          <w:lang w:val="es-ES"/>
        </w:rPr>
        <w:t xml:space="preserve"> y considerando que son datos propo</w:t>
      </w:r>
      <w:r w:rsidR="00BC745B">
        <w:rPr>
          <w:lang w:val="es-ES"/>
        </w:rPr>
        <w:t>r</w:t>
      </w:r>
      <w:r w:rsidR="00BC745B">
        <w:rPr>
          <w:lang w:val="es-ES"/>
        </w:rPr>
        <w:t>cionados por los departamentos, sin que hayamos analizado si pudieran existir más gastos que se encuentren en esta situación,</w:t>
      </w:r>
      <w:r>
        <w:rPr>
          <w:lang w:val="es-ES"/>
        </w:rPr>
        <w:t xml:space="preserve"> hemos realizado una estimación del gasto presupuestario correspondiente a bienes corrientes y servicios que en 2017 se abonó a pesar de que la vigencia de sus contratos hubiera finalizado</w:t>
      </w:r>
      <w:r w:rsidR="00AD6EF1">
        <w:rPr>
          <w:lang w:val="es-ES"/>
        </w:rPr>
        <w:t>, calculando el importe anual equivalente de cada contrato,</w:t>
      </w:r>
      <w:r>
        <w:rPr>
          <w:lang w:val="es-ES"/>
        </w:rPr>
        <w:t xml:space="preserve"> o sin el sopo</w:t>
      </w:r>
      <w:r w:rsidR="00AD6EF1">
        <w:rPr>
          <w:lang w:val="es-ES"/>
        </w:rPr>
        <w:t>rte co</w:t>
      </w:r>
      <w:r w:rsidR="00AD6EF1">
        <w:rPr>
          <w:lang w:val="es-ES"/>
        </w:rPr>
        <w:t>n</w:t>
      </w:r>
      <w:r w:rsidR="00AD6EF1">
        <w:rPr>
          <w:lang w:val="es-ES"/>
        </w:rPr>
        <w:t xml:space="preserve">tractual correspondiente; </w:t>
      </w:r>
      <w:r w:rsidR="00BC745B">
        <w:rPr>
          <w:lang w:val="es-ES"/>
        </w:rPr>
        <w:t>la cifra estimada</w:t>
      </w:r>
      <w:r w:rsidR="00AD6EF1">
        <w:rPr>
          <w:lang w:val="es-ES"/>
        </w:rPr>
        <w:t xml:space="preserve"> asciende a </w:t>
      </w:r>
      <w:r w:rsidR="00090B51">
        <w:rPr>
          <w:lang w:val="es-ES"/>
        </w:rPr>
        <w:t>167,75 millones de euros que supone el 28,56 por ciento del gasto total</w:t>
      </w:r>
      <w:r w:rsidR="00BC745B">
        <w:rPr>
          <w:lang w:val="es-ES"/>
        </w:rPr>
        <w:t xml:space="preserve"> presupuestario</w:t>
      </w:r>
      <w:r w:rsidR="00090B51">
        <w:rPr>
          <w:lang w:val="es-ES"/>
        </w:rPr>
        <w:t xml:space="preserve"> del capítulo 2 </w:t>
      </w:r>
      <w:r w:rsidR="00BC745B">
        <w:rPr>
          <w:lang w:val="es-ES"/>
        </w:rPr>
        <w:t xml:space="preserve">de bienes corrientes y servicios. </w:t>
      </w:r>
    </w:p>
    <w:p w:rsidR="00BC745B" w:rsidRDefault="00BC745B">
      <w:pPr>
        <w:spacing w:after="0"/>
        <w:ind w:firstLine="0"/>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br w:type="page"/>
      </w:r>
    </w:p>
    <w:p w:rsidR="00B01865" w:rsidRPr="00B01865" w:rsidRDefault="00B01865" w:rsidP="00B01865">
      <w:pPr>
        <w:spacing w:before="240" w:after="20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lastRenderedPageBreak/>
        <w:t>Revisión de una muestra de gastos</w:t>
      </w:r>
    </w:p>
    <w:p w:rsidR="00B01865" w:rsidRPr="00B01865" w:rsidRDefault="00B01865" w:rsidP="00BC745B">
      <w:pPr>
        <w:pStyle w:val="texto"/>
        <w:spacing w:after="240"/>
        <w:rPr>
          <w:lang w:val="es-ES"/>
        </w:rPr>
      </w:pPr>
      <w:r w:rsidRPr="00B01865">
        <w:rPr>
          <w:lang w:val="es-ES"/>
        </w:rPr>
        <w:t xml:space="preserve">Hemos revisado </w:t>
      </w:r>
      <w:r w:rsidR="0098185D">
        <w:rPr>
          <w:lang w:val="es-ES"/>
        </w:rPr>
        <w:t>una muestra</w:t>
      </w:r>
      <w:r w:rsidRPr="00B01865">
        <w:rPr>
          <w:lang w:val="es-ES"/>
        </w:rPr>
        <w:t xml:space="preserve"> de los siguientes conceptos económicos</w:t>
      </w:r>
      <w:r w:rsidR="0098185D">
        <w:rPr>
          <w:lang w:val="es-ES"/>
        </w:rPr>
        <w:t>:</w:t>
      </w:r>
    </w:p>
    <w:tbl>
      <w:tblPr>
        <w:tblW w:w="8833" w:type="dxa"/>
        <w:tblInd w:w="70" w:type="dxa"/>
        <w:tblCellMar>
          <w:left w:w="70" w:type="dxa"/>
          <w:right w:w="70" w:type="dxa"/>
        </w:tblCellMar>
        <w:tblLook w:val="04A0" w:firstRow="1" w:lastRow="0" w:firstColumn="1" w:lastColumn="0" w:noHBand="0" w:noVBand="1"/>
      </w:tblPr>
      <w:tblGrid>
        <w:gridCol w:w="3950"/>
        <w:gridCol w:w="1636"/>
        <w:gridCol w:w="1636"/>
        <w:gridCol w:w="1611"/>
      </w:tblGrid>
      <w:tr w:rsidR="00B01865" w:rsidRPr="00B01865" w:rsidTr="0015347D">
        <w:trPr>
          <w:trHeight w:val="255"/>
        </w:trPr>
        <w:tc>
          <w:tcPr>
            <w:tcW w:w="3950"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B01865">
              <w:rPr>
                <w:rFonts w:ascii="Arial" w:hAnsi="Arial"/>
                <w:spacing w:val="6"/>
                <w:sz w:val="18"/>
                <w:szCs w:val="24"/>
              </w:rPr>
              <w:t xml:space="preserve">Descripción concepto </w:t>
            </w:r>
          </w:p>
        </w:tc>
        <w:tc>
          <w:tcPr>
            <w:tcW w:w="163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Importe 2016</w:t>
            </w:r>
          </w:p>
        </w:tc>
        <w:tc>
          <w:tcPr>
            <w:tcW w:w="1636"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Importe 2017</w:t>
            </w:r>
          </w:p>
        </w:tc>
        <w:tc>
          <w:tcPr>
            <w:tcW w:w="1611"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 xml:space="preserve">% variación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2017/2016</w:t>
            </w:r>
          </w:p>
        </w:tc>
      </w:tr>
      <w:tr w:rsidR="00B01865" w:rsidRPr="00B01865" w:rsidTr="0015347D">
        <w:trPr>
          <w:cantSplit/>
          <w:trHeight w:val="198"/>
        </w:trPr>
        <w:tc>
          <w:tcPr>
            <w:tcW w:w="3950"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Estudios y trabajos técnicos</w:t>
            </w:r>
          </w:p>
        </w:tc>
        <w:tc>
          <w:tcPr>
            <w:tcW w:w="1636"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13.175.638</w:t>
            </w:r>
          </w:p>
        </w:tc>
        <w:tc>
          <w:tcPr>
            <w:tcW w:w="1636" w:type="dxa"/>
            <w:tcBorders>
              <w:top w:val="single" w:sz="4" w:space="0" w:color="auto"/>
              <w:left w:val="nil"/>
              <w:bottom w:val="single" w:sz="2" w:space="0" w:color="auto"/>
              <w:right w:val="nil"/>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15.297.409</w:t>
            </w:r>
          </w:p>
        </w:tc>
        <w:tc>
          <w:tcPr>
            <w:tcW w:w="1611"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16</w:t>
            </w:r>
          </w:p>
        </w:tc>
      </w:tr>
      <w:tr w:rsidR="00B01865" w:rsidRPr="00B01865" w:rsidTr="0015347D">
        <w:trPr>
          <w:cantSplit/>
          <w:trHeight w:val="198"/>
        </w:trPr>
        <w:tc>
          <w:tcPr>
            <w:tcW w:w="3950"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Otros gastos diversos</w:t>
            </w:r>
          </w:p>
        </w:tc>
        <w:tc>
          <w:tcPr>
            <w:tcW w:w="1636"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5.698.426</w:t>
            </w:r>
          </w:p>
        </w:tc>
        <w:tc>
          <w:tcPr>
            <w:tcW w:w="1636" w:type="dxa"/>
            <w:tcBorders>
              <w:top w:val="single" w:sz="2" w:space="0" w:color="auto"/>
              <w:left w:val="nil"/>
              <w:bottom w:val="single" w:sz="4" w:space="0" w:color="auto"/>
              <w:right w:val="nil"/>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7.088.656</w:t>
            </w:r>
          </w:p>
        </w:tc>
        <w:tc>
          <w:tcPr>
            <w:tcW w:w="1611"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24</w:t>
            </w:r>
          </w:p>
        </w:tc>
      </w:tr>
    </w:tbl>
    <w:p w:rsidR="00B01865" w:rsidRPr="00B01865" w:rsidRDefault="00B01865" w:rsidP="00BC745B">
      <w:pPr>
        <w:pStyle w:val="texto"/>
        <w:spacing w:before="240" w:after="240"/>
      </w:pPr>
      <w:r w:rsidRPr="00B01865">
        <w:t>En 2017, el número de acreedores que supusieron gasto por “estudios y tr</w:t>
      </w:r>
      <w:r w:rsidRPr="00B01865">
        <w:t>a</w:t>
      </w:r>
      <w:r w:rsidRPr="00B01865">
        <w:t>bajos técnicos” realizados ascendieron a 917, si bien diez de ellos suponen el 50 por ciento del importe total, con un gasto superior a 200.000 euros, según el siguiente desglose:</w:t>
      </w:r>
    </w:p>
    <w:tbl>
      <w:tblPr>
        <w:tblW w:w="8835" w:type="dxa"/>
        <w:jc w:val="center"/>
        <w:tblCellMar>
          <w:left w:w="70" w:type="dxa"/>
          <w:right w:w="70" w:type="dxa"/>
        </w:tblCellMar>
        <w:tblLook w:val="04A0" w:firstRow="1" w:lastRow="0" w:firstColumn="1" w:lastColumn="0" w:noHBand="0" w:noVBand="1"/>
      </w:tblPr>
      <w:tblGrid>
        <w:gridCol w:w="6181"/>
        <w:gridCol w:w="1177"/>
        <w:gridCol w:w="1477"/>
      </w:tblGrid>
      <w:tr w:rsidR="00B01865" w:rsidRPr="00B01865" w:rsidTr="0015347D">
        <w:trPr>
          <w:cantSplit/>
          <w:trHeight w:val="255"/>
          <w:jc w:val="center"/>
        </w:trPr>
        <w:tc>
          <w:tcPr>
            <w:tcW w:w="6181" w:type="dxa"/>
            <w:tcBorders>
              <w:top w:val="single" w:sz="4" w:space="0" w:color="auto"/>
              <w:left w:val="nil"/>
              <w:bottom w:val="single" w:sz="4" w:space="0" w:color="auto"/>
              <w:right w:val="nil"/>
            </w:tcBorders>
            <w:shd w:val="clear" w:color="auto" w:fill="8DB3E2" w:themeFill="text2" w:themeFillTint="66"/>
            <w:noWrap/>
            <w:vAlign w:val="center"/>
          </w:tcPr>
          <w:p w:rsidR="00B01865" w:rsidRPr="00B01865" w:rsidRDefault="00B01865" w:rsidP="00B01865">
            <w:pPr>
              <w:spacing w:after="0"/>
              <w:ind w:firstLine="0"/>
              <w:jc w:val="left"/>
              <w:rPr>
                <w:rFonts w:ascii="Arial" w:hAnsi="Arial" w:cs="Arial"/>
                <w:color w:val="000000"/>
                <w:sz w:val="18"/>
                <w:szCs w:val="18"/>
                <w:lang w:val="es-ES" w:eastAsia="es-ES"/>
              </w:rPr>
            </w:pPr>
            <w:r w:rsidRPr="00B01865">
              <w:rPr>
                <w:rFonts w:ascii="Arial" w:hAnsi="Arial" w:cs="Arial"/>
                <w:color w:val="000000"/>
                <w:sz w:val="18"/>
                <w:szCs w:val="18"/>
                <w:lang w:val="es-ES" w:eastAsia="es-ES"/>
              </w:rPr>
              <w:t>Acreedor</w:t>
            </w:r>
          </w:p>
        </w:tc>
        <w:tc>
          <w:tcPr>
            <w:tcW w:w="1177" w:type="dxa"/>
            <w:tcBorders>
              <w:top w:val="single" w:sz="4" w:space="0" w:color="auto"/>
              <w:left w:val="nil"/>
              <w:bottom w:val="single" w:sz="4" w:space="0" w:color="auto"/>
              <w:right w:val="nil"/>
            </w:tcBorders>
            <w:shd w:val="clear" w:color="auto" w:fill="8DB3E2" w:themeFill="text2" w:themeFillTint="66"/>
            <w:noWrap/>
            <w:vAlign w:val="center"/>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Gasto 2017</w:t>
            </w:r>
          </w:p>
        </w:tc>
        <w:tc>
          <w:tcPr>
            <w:tcW w:w="1477" w:type="dxa"/>
            <w:tcBorders>
              <w:top w:val="single" w:sz="4" w:space="0" w:color="auto"/>
              <w:left w:val="nil"/>
              <w:bottom w:val="single" w:sz="4" w:space="0" w:color="auto"/>
              <w:right w:val="nil"/>
            </w:tcBorders>
            <w:shd w:val="clear" w:color="auto" w:fill="8DB3E2" w:themeFill="text2" w:themeFillTint="66"/>
            <w:noWrap/>
            <w:vAlign w:val="center"/>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 s/ gasto total</w:t>
            </w:r>
          </w:p>
        </w:tc>
      </w:tr>
      <w:tr w:rsidR="00B01865" w:rsidRPr="00B01865" w:rsidTr="0015347D">
        <w:trPr>
          <w:cantSplit/>
          <w:trHeight w:val="198"/>
          <w:jc w:val="center"/>
        </w:trPr>
        <w:tc>
          <w:tcPr>
            <w:tcW w:w="6181"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sidRPr="00B01865">
              <w:rPr>
                <w:rFonts w:ascii="Arial Narrow" w:hAnsi="Arial Narrow"/>
                <w:spacing w:val="6"/>
              </w:rPr>
              <w:t>Tracasa</w:t>
            </w:r>
            <w:proofErr w:type="spellEnd"/>
            <w:r w:rsidRPr="00B01865">
              <w:rPr>
                <w:rFonts w:ascii="Arial Narrow" w:hAnsi="Arial Narrow"/>
                <w:spacing w:val="6"/>
              </w:rPr>
              <w:t xml:space="preserve"> Instrumental S.L.</w:t>
            </w:r>
          </w:p>
        </w:tc>
        <w:tc>
          <w:tcPr>
            <w:tcW w:w="1177"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1.798.867  </w:t>
            </w:r>
          </w:p>
        </w:tc>
        <w:tc>
          <w:tcPr>
            <w:tcW w:w="1477"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11,76</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Gestión Ambiental de Navarra S.A. (GAN)</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1.380.916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9,03</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Computadores Navarra S.A.</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899.349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5,88</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 xml:space="preserve">Instituto </w:t>
            </w:r>
            <w:proofErr w:type="spellStart"/>
            <w:r w:rsidRPr="00B01865">
              <w:rPr>
                <w:rFonts w:ascii="Arial Narrow" w:hAnsi="Arial Narrow"/>
                <w:spacing w:val="6"/>
              </w:rPr>
              <w:t>Grifols</w:t>
            </w:r>
            <w:proofErr w:type="spellEnd"/>
            <w:r w:rsidRPr="00B01865">
              <w:rPr>
                <w:rFonts w:ascii="Arial Narrow" w:hAnsi="Arial Narrow"/>
                <w:spacing w:val="6"/>
              </w:rPr>
              <w:t xml:space="preserve"> S.A.</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855.481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5,59</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cs="Arial"/>
                <w:lang w:val="es-ES" w:eastAsia="es-ES"/>
              </w:rPr>
              <w:t>Centro Europeo de Empresas e Innovación, S.L. (CEIN)</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778.256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5,09</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Instituto Navarro de Tecnologías e Infraestructuras Agroalimentarias, S.A. (INTIA)</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592.190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3,87</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Navarra de Servicios y Tecnologías, S.A. (NASERTIC)</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406.508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2,66</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 xml:space="preserve">Reference  </w:t>
            </w:r>
            <w:proofErr w:type="spellStart"/>
            <w:r w:rsidRPr="00B01865">
              <w:rPr>
                <w:rFonts w:ascii="Arial Narrow" w:hAnsi="Arial Narrow"/>
                <w:spacing w:val="6"/>
              </w:rPr>
              <w:t>Laboratory</w:t>
            </w:r>
            <w:proofErr w:type="spellEnd"/>
            <w:r w:rsidRPr="00B01865">
              <w:rPr>
                <w:rFonts w:ascii="Arial Narrow" w:hAnsi="Arial Narrow"/>
                <w:spacing w:val="6"/>
              </w:rPr>
              <w:t xml:space="preserve"> S.A.</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339.688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2,22</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Navarra de Suelo y Vivienda, S.A. (NASUVINSA)</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309.657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2,02</w:t>
            </w:r>
          </w:p>
        </w:tc>
      </w:tr>
      <w:tr w:rsidR="00B01865" w:rsidRPr="00B01865" w:rsidTr="0015347D">
        <w:trPr>
          <w:cantSplit/>
          <w:trHeight w:val="198"/>
          <w:jc w:val="center"/>
        </w:trPr>
        <w:tc>
          <w:tcPr>
            <w:tcW w:w="6181"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 xml:space="preserve">Acreedor </w:t>
            </w:r>
            <w:proofErr w:type="spellStart"/>
            <w:r w:rsidRPr="00B01865">
              <w:rPr>
                <w:rFonts w:ascii="Arial Narrow" w:hAnsi="Arial Narrow" w:cs="Arial"/>
                <w:lang w:val="es-ES" w:eastAsia="es-ES"/>
              </w:rPr>
              <w:t>interfase</w:t>
            </w:r>
            <w:proofErr w:type="spellEnd"/>
            <w:r w:rsidRPr="00B01865">
              <w:rPr>
                <w:rFonts w:ascii="Arial Narrow" w:hAnsi="Arial Narrow" w:cs="Arial"/>
                <w:lang w:val="es-ES" w:eastAsia="es-ES"/>
              </w:rPr>
              <w:t xml:space="preserve"> nómina</w:t>
            </w:r>
          </w:p>
        </w:tc>
        <w:tc>
          <w:tcPr>
            <w:tcW w:w="1177"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291.447  </w:t>
            </w:r>
          </w:p>
        </w:tc>
        <w:tc>
          <w:tcPr>
            <w:tcW w:w="1477"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1,91</w:t>
            </w:r>
          </w:p>
        </w:tc>
      </w:tr>
    </w:tbl>
    <w:p w:rsidR="0015347D" w:rsidRDefault="00B01865" w:rsidP="00BC745B">
      <w:pPr>
        <w:pStyle w:val="texto"/>
        <w:spacing w:before="240"/>
      </w:pPr>
      <w:r w:rsidRPr="00B01865">
        <w:t>De los datos anteriores destacamos que el 34 por ciento del gasto son enca</w:t>
      </w:r>
      <w:r w:rsidRPr="00B01865">
        <w:t>r</w:t>
      </w:r>
      <w:r w:rsidRPr="00B01865">
        <w:t xml:space="preserve">gos a sociedades públicas; además, el acreedor </w:t>
      </w:r>
      <w:proofErr w:type="spellStart"/>
      <w:r w:rsidRPr="00B01865">
        <w:t>interfase</w:t>
      </w:r>
      <w:proofErr w:type="spellEnd"/>
      <w:r w:rsidRPr="00B01865">
        <w:t xml:space="preserve"> nómina no se refiere a una persona física o jurídica, sino que está relacionado con más de una. </w:t>
      </w:r>
    </w:p>
    <w:p w:rsidR="00B01865" w:rsidRPr="00B01865" w:rsidRDefault="00B01865" w:rsidP="00BC745B">
      <w:pPr>
        <w:pStyle w:val="texto"/>
        <w:spacing w:after="240"/>
      </w:pPr>
      <w:r w:rsidRPr="00B01865">
        <w:t>En el caso del concepto “otros gastos diversos”, constan 1.974 acreedores asociados sin que haya una concentración significativa del gasto en alguno de ellos. Mostramos a continuación aquellos con un importe superior a 100.000 euros:</w:t>
      </w:r>
    </w:p>
    <w:tbl>
      <w:tblPr>
        <w:tblW w:w="8835" w:type="dxa"/>
        <w:jc w:val="center"/>
        <w:tblCellMar>
          <w:left w:w="70" w:type="dxa"/>
          <w:right w:w="70" w:type="dxa"/>
        </w:tblCellMar>
        <w:tblLook w:val="04A0" w:firstRow="1" w:lastRow="0" w:firstColumn="1" w:lastColumn="0" w:noHBand="0" w:noVBand="1"/>
      </w:tblPr>
      <w:tblGrid>
        <w:gridCol w:w="6181"/>
        <w:gridCol w:w="1177"/>
        <w:gridCol w:w="1477"/>
      </w:tblGrid>
      <w:tr w:rsidR="00B01865" w:rsidRPr="00B01865" w:rsidTr="0015347D">
        <w:trPr>
          <w:cantSplit/>
          <w:trHeight w:val="255"/>
          <w:jc w:val="center"/>
        </w:trPr>
        <w:tc>
          <w:tcPr>
            <w:tcW w:w="6181" w:type="dxa"/>
            <w:tcBorders>
              <w:top w:val="single" w:sz="4" w:space="0" w:color="auto"/>
              <w:left w:val="nil"/>
              <w:bottom w:val="single" w:sz="4" w:space="0" w:color="auto"/>
              <w:right w:val="nil"/>
            </w:tcBorders>
            <w:shd w:val="clear" w:color="auto" w:fill="8DB3E2" w:themeFill="text2" w:themeFillTint="66"/>
            <w:noWrap/>
            <w:vAlign w:val="center"/>
          </w:tcPr>
          <w:p w:rsidR="00B01865" w:rsidRPr="00B01865" w:rsidRDefault="00B01865" w:rsidP="00B01865">
            <w:pPr>
              <w:spacing w:after="0"/>
              <w:ind w:firstLine="0"/>
              <w:jc w:val="left"/>
              <w:rPr>
                <w:rFonts w:ascii="Arial" w:hAnsi="Arial" w:cs="Arial"/>
                <w:color w:val="000000"/>
                <w:sz w:val="18"/>
                <w:szCs w:val="18"/>
                <w:lang w:val="es-ES" w:eastAsia="es-ES"/>
              </w:rPr>
            </w:pPr>
            <w:r w:rsidRPr="00B01865">
              <w:rPr>
                <w:rFonts w:ascii="Arial" w:hAnsi="Arial" w:cs="Arial"/>
                <w:color w:val="000000"/>
                <w:sz w:val="18"/>
                <w:szCs w:val="18"/>
                <w:lang w:val="es-ES" w:eastAsia="es-ES"/>
              </w:rPr>
              <w:t>Acreedor</w:t>
            </w:r>
          </w:p>
        </w:tc>
        <w:tc>
          <w:tcPr>
            <w:tcW w:w="1177" w:type="dxa"/>
            <w:tcBorders>
              <w:top w:val="single" w:sz="4" w:space="0" w:color="auto"/>
              <w:left w:val="nil"/>
              <w:bottom w:val="single" w:sz="4" w:space="0" w:color="auto"/>
              <w:right w:val="nil"/>
            </w:tcBorders>
            <w:shd w:val="clear" w:color="auto" w:fill="8DB3E2" w:themeFill="text2" w:themeFillTint="66"/>
            <w:noWrap/>
            <w:vAlign w:val="center"/>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Gasto 2017</w:t>
            </w:r>
          </w:p>
        </w:tc>
        <w:tc>
          <w:tcPr>
            <w:tcW w:w="1477" w:type="dxa"/>
            <w:tcBorders>
              <w:top w:val="single" w:sz="4" w:space="0" w:color="auto"/>
              <w:left w:val="nil"/>
              <w:bottom w:val="single" w:sz="4" w:space="0" w:color="auto"/>
              <w:right w:val="nil"/>
            </w:tcBorders>
            <w:shd w:val="clear" w:color="auto" w:fill="8DB3E2" w:themeFill="text2" w:themeFillTint="66"/>
            <w:noWrap/>
            <w:vAlign w:val="center"/>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 s/ gasto total</w:t>
            </w:r>
          </w:p>
        </w:tc>
      </w:tr>
      <w:tr w:rsidR="00B01865" w:rsidRPr="00B01865" w:rsidTr="0015347D">
        <w:trPr>
          <w:cantSplit/>
          <w:trHeight w:val="198"/>
          <w:jc w:val="center"/>
        </w:trPr>
        <w:tc>
          <w:tcPr>
            <w:tcW w:w="6181" w:type="dxa"/>
            <w:tcBorders>
              <w:top w:val="single" w:sz="4" w:space="0" w:color="auto"/>
              <w:left w:val="nil"/>
              <w:bottom w:val="single" w:sz="2" w:space="0" w:color="auto"/>
              <w:right w:val="nil"/>
            </w:tcBorders>
            <w:shd w:val="clear" w:color="auto" w:fill="auto"/>
            <w:noWrap/>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Centro Navarro de Autoaprendizaje</w:t>
            </w:r>
          </w:p>
        </w:tc>
        <w:tc>
          <w:tcPr>
            <w:tcW w:w="1177"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354.322  </w:t>
            </w:r>
          </w:p>
        </w:tc>
        <w:tc>
          <w:tcPr>
            <w:tcW w:w="1477"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5,00</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Federación Navarra de Fútbol</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190.437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2,69</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 xml:space="preserve">Eventos </w:t>
            </w:r>
            <w:proofErr w:type="spellStart"/>
            <w:r w:rsidRPr="00B01865">
              <w:rPr>
                <w:rFonts w:ascii="Arial Narrow" w:hAnsi="Arial Narrow"/>
                <w:spacing w:val="6"/>
              </w:rPr>
              <w:t>Zunzarren</w:t>
            </w:r>
            <w:proofErr w:type="spellEnd"/>
            <w:r w:rsidRPr="00B01865">
              <w:rPr>
                <w:rFonts w:ascii="Arial Narrow" w:hAnsi="Arial Narrow"/>
                <w:spacing w:val="6"/>
              </w:rPr>
              <w:t xml:space="preserve"> S.L.</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164.172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2,32</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Federación Navarra de Baloncesto</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134.176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1,89</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sidRPr="00B01865">
              <w:rPr>
                <w:rFonts w:ascii="Arial Narrow" w:hAnsi="Arial Narrow"/>
                <w:spacing w:val="6"/>
              </w:rPr>
              <w:t>Ricoch</w:t>
            </w:r>
            <w:proofErr w:type="spellEnd"/>
            <w:r w:rsidRPr="00B01865">
              <w:rPr>
                <w:rFonts w:ascii="Arial Narrow" w:hAnsi="Arial Narrow"/>
                <w:spacing w:val="6"/>
              </w:rPr>
              <w:t xml:space="preserve"> España S.L.U.</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118.491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1,67</w:t>
            </w:r>
          </w:p>
        </w:tc>
      </w:tr>
      <w:tr w:rsidR="00B01865" w:rsidRPr="00B01865" w:rsidTr="0015347D">
        <w:trPr>
          <w:cantSplit/>
          <w:trHeight w:val="198"/>
          <w:jc w:val="center"/>
        </w:trPr>
        <w:tc>
          <w:tcPr>
            <w:tcW w:w="6181" w:type="dxa"/>
            <w:tcBorders>
              <w:top w:val="single" w:sz="2" w:space="0" w:color="auto"/>
              <w:left w:val="nil"/>
              <w:bottom w:val="single" w:sz="2" w:space="0" w:color="auto"/>
              <w:right w:val="nil"/>
            </w:tcBorders>
            <w:shd w:val="clear" w:color="auto" w:fill="auto"/>
            <w:noWrap/>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 xml:space="preserve">Acreedor </w:t>
            </w:r>
            <w:proofErr w:type="spellStart"/>
            <w:r w:rsidRPr="00B01865">
              <w:rPr>
                <w:rFonts w:ascii="Arial Narrow" w:hAnsi="Arial Narrow"/>
                <w:spacing w:val="6"/>
              </w:rPr>
              <w:t>interfase</w:t>
            </w:r>
            <w:proofErr w:type="spellEnd"/>
            <w:r w:rsidRPr="00B01865">
              <w:rPr>
                <w:rFonts w:ascii="Arial Narrow" w:hAnsi="Arial Narrow"/>
                <w:spacing w:val="6"/>
              </w:rPr>
              <w:t xml:space="preserve"> nómina</w:t>
            </w:r>
          </w:p>
        </w:tc>
        <w:tc>
          <w:tcPr>
            <w:tcW w:w="11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115.614  </w:t>
            </w:r>
          </w:p>
        </w:tc>
        <w:tc>
          <w:tcPr>
            <w:tcW w:w="147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1,63</w:t>
            </w:r>
          </w:p>
        </w:tc>
      </w:tr>
      <w:tr w:rsidR="00B01865" w:rsidRPr="00B01865" w:rsidTr="0015347D">
        <w:trPr>
          <w:cantSplit/>
          <w:trHeight w:val="198"/>
          <w:jc w:val="center"/>
        </w:trPr>
        <w:tc>
          <w:tcPr>
            <w:tcW w:w="6181" w:type="dxa"/>
            <w:tcBorders>
              <w:top w:val="single" w:sz="2" w:space="0" w:color="auto"/>
              <w:left w:val="nil"/>
              <w:bottom w:val="single" w:sz="4" w:space="0" w:color="auto"/>
              <w:right w:val="nil"/>
            </w:tcBorders>
            <w:shd w:val="clear" w:color="auto" w:fill="auto"/>
            <w:noWrap/>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sidRPr="00B01865">
              <w:rPr>
                <w:rFonts w:ascii="Arial Narrow" w:hAnsi="Arial Narrow"/>
                <w:spacing w:val="6"/>
              </w:rPr>
              <w:t>Ibain</w:t>
            </w:r>
            <w:proofErr w:type="spellEnd"/>
            <w:r w:rsidRPr="00B01865">
              <w:rPr>
                <w:rFonts w:ascii="Arial Narrow" w:hAnsi="Arial Narrow"/>
                <w:spacing w:val="6"/>
              </w:rPr>
              <w:t xml:space="preserve"> Consultoría S.L.</w:t>
            </w:r>
          </w:p>
        </w:tc>
        <w:tc>
          <w:tcPr>
            <w:tcW w:w="1177"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111.840  </w:t>
            </w:r>
          </w:p>
        </w:tc>
        <w:tc>
          <w:tcPr>
            <w:tcW w:w="1477"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1,58</w:t>
            </w:r>
          </w:p>
        </w:tc>
      </w:tr>
    </w:tbl>
    <w:p w:rsidR="00BC745B" w:rsidRDefault="00BC745B" w:rsidP="003D4409">
      <w:pPr>
        <w:tabs>
          <w:tab w:val="left" w:pos="480"/>
          <w:tab w:val="num" w:pos="600"/>
          <w:tab w:val="num" w:pos="720"/>
          <w:tab w:val="num" w:pos="1320"/>
          <w:tab w:val="num" w:pos="1948"/>
        </w:tabs>
        <w:spacing w:before="200" w:after="200"/>
        <w:ind w:firstLine="284"/>
        <w:rPr>
          <w:rStyle w:val="textoCar"/>
        </w:rPr>
      </w:pPr>
    </w:p>
    <w:p w:rsidR="00BC745B" w:rsidRDefault="00BC745B">
      <w:pPr>
        <w:spacing w:after="0"/>
        <w:ind w:firstLine="0"/>
        <w:jc w:val="left"/>
        <w:rPr>
          <w:rStyle w:val="textoCar"/>
        </w:rPr>
      </w:pPr>
      <w:r>
        <w:rPr>
          <w:rStyle w:val="textoCar"/>
        </w:rPr>
        <w:br w:type="page"/>
      </w:r>
    </w:p>
    <w:p w:rsidR="00B01865" w:rsidRPr="00B01865" w:rsidRDefault="00B01865" w:rsidP="003D4409">
      <w:pPr>
        <w:tabs>
          <w:tab w:val="left" w:pos="480"/>
          <w:tab w:val="num" w:pos="600"/>
          <w:tab w:val="num" w:pos="720"/>
          <w:tab w:val="num" w:pos="1320"/>
          <w:tab w:val="num" w:pos="1948"/>
        </w:tabs>
        <w:spacing w:before="200" w:after="200"/>
        <w:ind w:firstLine="284"/>
        <w:rPr>
          <w:rFonts w:cs="Arial"/>
          <w:spacing w:val="6"/>
          <w:sz w:val="26"/>
          <w:szCs w:val="24"/>
        </w:rPr>
      </w:pPr>
      <w:r w:rsidRPr="0015347D">
        <w:rPr>
          <w:rStyle w:val="textoCar"/>
        </w:rPr>
        <w:lastRenderedPageBreak/>
        <w:t>Los datos fundamentales de la muestra revisada para cada concepto son</w:t>
      </w:r>
      <w:r w:rsidRPr="00B01865">
        <w:rPr>
          <w:rFonts w:cs="Arial"/>
          <w:spacing w:val="6"/>
          <w:sz w:val="26"/>
          <w:szCs w:val="24"/>
        </w:rPr>
        <w:t>:</w:t>
      </w:r>
    </w:p>
    <w:tbl>
      <w:tblPr>
        <w:tblW w:w="8913" w:type="dxa"/>
        <w:jc w:val="center"/>
        <w:tblCellMar>
          <w:left w:w="70" w:type="dxa"/>
          <w:right w:w="70" w:type="dxa"/>
        </w:tblCellMar>
        <w:tblLook w:val="04A0" w:firstRow="1" w:lastRow="0" w:firstColumn="1" w:lastColumn="0" w:noHBand="0" w:noVBand="1"/>
      </w:tblPr>
      <w:tblGrid>
        <w:gridCol w:w="4160"/>
        <w:gridCol w:w="788"/>
        <w:gridCol w:w="3965"/>
      </w:tblGrid>
      <w:tr w:rsidR="00736AAD" w:rsidRPr="00B01865" w:rsidTr="002E36B8">
        <w:trPr>
          <w:cantSplit/>
          <w:trHeight w:val="340"/>
          <w:jc w:val="center"/>
        </w:trPr>
        <w:tc>
          <w:tcPr>
            <w:tcW w:w="8913" w:type="dxa"/>
            <w:gridSpan w:val="3"/>
            <w:tcBorders>
              <w:top w:val="single" w:sz="4" w:space="0" w:color="auto"/>
              <w:bottom w:val="single" w:sz="4" w:space="0" w:color="auto"/>
            </w:tcBorders>
            <w:shd w:val="clear" w:color="auto" w:fill="8DB3E2" w:themeFill="text2" w:themeFillTint="66"/>
            <w:noWrap/>
            <w:vAlign w:val="center"/>
            <w:hideMark/>
          </w:tcPr>
          <w:p w:rsidR="00736AAD" w:rsidRPr="00B01865" w:rsidRDefault="00736AAD" w:rsidP="00736AAD">
            <w:pPr>
              <w:spacing w:after="0"/>
              <w:ind w:left="-42" w:firstLine="0"/>
              <w:jc w:val="center"/>
              <w:rPr>
                <w:rFonts w:ascii="Arial" w:hAnsi="Arial" w:cs="Arial"/>
                <w:color w:val="000000"/>
                <w:sz w:val="18"/>
                <w:szCs w:val="18"/>
                <w:lang w:val="es-ES" w:eastAsia="es-ES"/>
              </w:rPr>
            </w:pPr>
            <w:r w:rsidRPr="00B01865">
              <w:rPr>
                <w:rFonts w:ascii="Arial" w:hAnsi="Arial" w:cs="Arial"/>
                <w:color w:val="000000"/>
                <w:sz w:val="18"/>
                <w:szCs w:val="18"/>
                <w:lang w:val="es-ES" w:eastAsia="es-ES"/>
              </w:rPr>
              <w:t>Concepto: estudios y trabajos técnicos</w:t>
            </w:r>
          </w:p>
        </w:tc>
      </w:tr>
      <w:tr w:rsidR="00B01865" w:rsidRPr="00B01865" w:rsidTr="002D5922">
        <w:trPr>
          <w:cantSplit/>
          <w:trHeight w:val="255"/>
          <w:jc w:val="center"/>
        </w:trPr>
        <w:tc>
          <w:tcPr>
            <w:tcW w:w="416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Descripción gasto</w:t>
            </w:r>
          </w:p>
        </w:tc>
        <w:tc>
          <w:tcPr>
            <w:tcW w:w="788"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Importe</w:t>
            </w:r>
          </w:p>
        </w:tc>
        <w:tc>
          <w:tcPr>
            <w:tcW w:w="3965"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2D5922">
            <w:pPr>
              <w:spacing w:after="0"/>
              <w:ind w:left="-42" w:firstLine="0"/>
              <w:jc w:val="right"/>
              <w:rPr>
                <w:rFonts w:ascii="Arial Narrow" w:hAnsi="Arial Narrow"/>
                <w:color w:val="000000"/>
                <w:lang w:val="es-ES" w:eastAsia="es-ES"/>
              </w:rPr>
            </w:pPr>
            <w:r w:rsidRPr="00B01865">
              <w:rPr>
                <w:rFonts w:ascii="Arial Narrow" w:hAnsi="Arial Narrow"/>
                <w:color w:val="000000"/>
                <w:lang w:val="es-ES" w:eastAsia="es-ES"/>
              </w:rPr>
              <w:t>Acreedor</w:t>
            </w:r>
          </w:p>
        </w:tc>
      </w:tr>
      <w:tr w:rsidR="00B01865" w:rsidRPr="00B01865" w:rsidTr="002D5922">
        <w:trPr>
          <w:cantSplit/>
          <w:trHeight w:val="198"/>
          <w:jc w:val="center"/>
        </w:trPr>
        <w:tc>
          <w:tcPr>
            <w:tcW w:w="4160" w:type="dxa"/>
            <w:tcBorders>
              <w:top w:val="single" w:sz="4" w:space="0" w:color="auto"/>
              <w:bottom w:val="single" w:sz="2"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Atención telefónica ciudadanos 012</w:t>
            </w:r>
          </w:p>
        </w:tc>
        <w:tc>
          <w:tcPr>
            <w:tcW w:w="788" w:type="dxa"/>
            <w:tcBorders>
              <w:top w:val="single" w:sz="4"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176.195  </w:t>
            </w:r>
          </w:p>
        </w:tc>
        <w:tc>
          <w:tcPr>
            <w:tcW w:w="3965" w:type="dxa"/>
            <w:tcBorders>
              <w:top w:val="single" w:sz="4" w:space="0" w:color="auto"/>
              <w:bottom w:val="single" w:sz="2" w:space="0" w:color="auto"/>
            </w:tcBorders>
            <w:shd w:val="clear" w:color="auto" w:fill="auto"/>
            <w:noWrap/>
            <w:vAlign w:val="center"/>
            <w:hideMark/>
          </w:tcPr>
          <w:p w:rsidR="00B01865" w:rsidRPr="00B01865" w:rsidRDefault="00B01865" w:rsidP="002D5922">
            <w:pPr>
              <w:spacing w:after="0"/>
              <w:ind w:left="-42" w:firstLine="0"/>
              <w:jc w:val="right"/>
              <w:rPr>
                <w:rFonts w:ascii="Arial Narrow" w:hAnsi="Arial Narrow"/>
                <w:color w:val="000000"/>
                <w:lang w:val="es-ES" w:eastAsia="es-ES"/>
              </w:rPr>
            </w:pPr>
            <w:proofErr w:type="spellStart"/>
            <w:r w:rsidRPr="00B01865">
              <w:rPr>
                <w:rFonts w:ascii="Arial Narrow" w:hAnsi="Arial Narrow"/>
                <w:color w:val="000000"/>
                <w:lang w:val="es-ES" w:eastAsia="es-ES"/>
              </w:rPr>
              <w:t>Tracasa</w:t>
            </w:r>
            <w:proofErr w:type="spellEnd"/>
            <w:r w:rsidRPr="00B01865">
              <w:rPr>
                <w:rFonts w:ascii="Arial Narrow" w:hAnsi="Arial Narrow"/>
                <w:color w:val="000000"/>
                <w:lang w:val="es-ES" w:eastAsia="es-ES"/>
              </w:rPr>
              <w:t xml:space="preserve"> Instrumental S.L.</w:t>
            </w:r>
          </w:p>
        </w:tc>
      </w:tr>
      <w:tr w:rsidR="00B01865" w:rsidRPr="00B01865" w:rsidTr="002D5922">
        <w:trPr>
          <w:cantSplit/>
          <w:trHeight w:val="198"/>
          <w:jc w:val="center"/>
        </w:trPr>
        <w:tc>
          <w:tcPr>
            <w:tcW w:w="4160"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 xml:space="preserve">Cursos Oracle </w:t>
            </w:r>
            <w:proofErr w:type="spellStart"/>
            <w:r w:rsidRPr="00B01865">
              <w:rPr>
                <w:rFonts w:ascii="Arial Narrow" w:hAnsi="Arial Narrow"/>
                <w:color w:val="000000"/>
                <w:lang w:val="es-ES" w:eastAsia="es-ES"/>
              </w:rPr>
              <w:t>Iturrondo</w:t>
            </w:r>
            <w:proofErr w:type="spellEnd"/>
          </w:p>
        </w:tc>
        <w:tc>
          <w:tcPr>
            <w:tcW w:w="788"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118.613</w:t>
            </w:r>
          </w:p>
        </w:tc>
        <w:tc>
          <w:tcPr>
            <w:tcW w:w="3965" w:type="dxa"/>
            <w:tcBorders>
              <w:top w:val="single" w:sz="2" w:space="0" w:color="auto"/>
              <w:bottom w:val="single" w:sz="2" w:space="0" w:color="auto"/>
            </w:tcBorders>
            <w:shd w:val="clear" w:color="auto" w:fill="auto"/>
            <w:noWrap/>
            <w:vAlign w:val="center"/>
            <w:hideMark/>
          </w:tcPr>
          <w:p w:rsidR="00B01865" w:rsidRPr="00B01865" w:rsidRDefault="00B01865" w:rsidP="002D5922">
            <w:pPr>
              <w:spacing w:after="0"/>
              <w:ind w:left="-42" w:firstLine="0"/>
              <w:jc w:val="right"/>
              <w:rPr>
                <w:rFonts w:ascii="Arial Narrow" w:hAnsi="Arial Narrow"/>
                <w:color w:val="000000"/>
                <w:lang w:val="es-ES" w:eastAsia="es-ES"/>
              </w:rPr>
            </w:pPr>
            <w:r w:rsidRPr="00B01865">
              <w:rPr>
                <w:rFonts w:ascii="Arial Narrow" w:hAnsi="Arial Narrow"/>
                <w:color w:val="000000"/>
                <w:lang w:val="es-ES" w:eastAsia="es-ES"/>
              </w:rPr>
              <w:t>Oracle Ibérica S.R.L.</w:t>
            </w:r>
          </w:p>
        </w:tc>
      </w:tr>
      <w:tr w:rsidR="00B01865" w:rsidRPr="00B01865" w:rsidTr="002D5922">
        <w:trPr>
          <w:cantSplit/>
          <w:trHeight w:val="198"/>
          <w:jc w:val="center"/>
        </w:trPr>
        <w:tc>
          <w:tcPr>
            <w:tcW w:w="4160"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Gestión de ayudas, de apoyo al control metrológico y de seguimiento del Plan Energético Horizonte 2030</w:t>
            </w:r>
          </w:p>
        </w:tc>
        <w:tc>
          <w:tcPr>
            <w:tcW w:w="788"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33.552  </w:t>
            </w:r>
          </w:p>
        </w:tc>
        <w:tc>
          <w:tcPr>
            <w:tcW w:w="3965" w:type="dxa"/>
            <w:tcBorders>
              <w:top w:val="single" w:sz="2" w:space="0" w:color="auto"/>
              <w:bottom w:val="single" w:sz="2" w:space="0" w:color="auto"/>
            </w:tcBorders>
            <w:shd w:val="clear" w:color="auto" w:fill="auto"/>
            <w:noWrap/>
            <w:vAlign w:val="center"/>
            <w:hideMark/>
          </w:tcPr>
          <w:p w:rsidR="00B01865" w:rsidRPr="00B01865" w:rsidRDefault="00B01865" w:rsidP="002D5922">
            <w:pPr>
              <w:keepLines/>
              <w:tabs>
                <w:tab w:val="right" w:pos="2835"/>
                <w:tab w:val="right" w:pos="3969"/>
                <w:tab w:val="right" w:pos="5103"/>
                <w:tab w:val="right" w:pos="6237"/>
                <w:tab w:val="right" w:pos="7371"/>
              </w:tabs>
              <w:spacing w:after="0"/>
              <w:ind w:left="-42" w:firstLine="0"/>
              <w:jc w:val="right"/>
              <w:rPr>
                <w:rFonts w:ascii="Arial Narrow" w:hAnsi="Arial Narrow"/>
                <w:spacing w:val="6"/>
              </w:rPr>
            </w:pPr>
            <w:r w:rsidRPr="00B01865">
              <w:rPr>
                <w:rFonts w:ascii="Arial Narrow" w:hAnsi="Arial Narrow" w:cs="Arial"/>
                <w:lang w:val="es-ES" w:eastAsia="es-ES"/>
              </w:rPr>
              <w:t>Centro Europeo de Empresas e Innovación, S.L. (CEIN)</w:t>
            </w:r>
          </w:p>
        </w:tc>
      </w:tr>
      <w:tr w:rsidR="00B01865" w:rsidRPr="00B01865" w:rsidTr="002D5922">
        <w:trPr>
          <w:cantSplit/>
          <w:trHeight w:val="198"/>
          <w:jc w:val="center"/>
        </w:trPr>
        <w:tc>
          <w:tcPr>
            <w:tcW w:w="4160"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Grabación, edición y sonorización de corto documental</w:t>
            </w:r>
          </w:p>
        </w:tc>
        <w:tc>
          <w:tcPr>
            <w:tcW w:w="788"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7.200  </w:t>
            </w:r>
          </w:p>
        </w:tc>
        <w:tc>
          <w:tcPr>
            <w:tcW w:w="3965" w:type="dxa"/>
            <w:tcBorders>
              <w:top w:val="single" w:sz="2" w:space="0" w:color="auto"/>
              <w:bottom w:val="single" w:sz="2" w:space="0" w:color="auto"/>
            </w:tcBorders>
            <w:shd w:val="clear" w:color="auto" w:fill="auto"/>
            <w:noWrap/>
            <w:vAlign w:val="center"/>
            <w:hideMark/>
          </w:tcPr>
          <w:p w:rsidR="00B01865" w:rsidRPr="00B01865" w:rsidRDefault="00B01865" w:rsidP="002D5922">
            <w:pPr>
              <w:spacing w:after="0"/>
              <w:ind w:left="-42" w:firstLine="0"/>
              <w:jc w:val="right"/>
              <w:rPr>
                <w:rFonts w:ascii="Arial Narrow" w:hAnsi="Arial Narrow"/>
                <w:color w:val="000000"/>
                <w:lang w:val="es-ES" w:eastAsia="es-ES"/>
              </w:rPr>
            </w:pPr>
            <w:r w:rsidRPr="00B01865">
              <w:rPr>
                <w:rFonts w:ascii="Arial Narrow" w:hAnsi="Arial Narrow"/>
                <w:color w:val="000000"/>
                <w:lang w:val="es-ES" w:eastAsia="es-ES"/>
              </w:rPr>
              <w:t>Particular</w:t>
            </w:r>
          </w:p>
        </w:tc>
      </w:tr>
      <w:tr w:rsidR="00B01865" w:rsidRPr="00B01865" w:rsidTr="002D5922">
        <w:trPr>
          <w:cantSplit/>
          <w:trHeight w:val="198"/>
          <w:jc w:val="center"/>
        </w:trPr>
        <w:tc>
          <w:tcPr>
            <w:tcW w:w="4160" w:type="dxa"/>
            <w:tcBorders>
              <w:top w:val="single" w:sz="2" w:space="0" w:color="auto"/>
              <w:bottom w:val="single" w:sz="4"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Estudio señalización turística deteriorada</w:t>
            </w:r>
          </w:p>
        </w:tc>
        <w:tc>
          <w:tcPr>
            <w:tcW w:w="788" w:type="dxa"/>
            <w:tcBorders>
              <w:top w:val="single" w:sz="2"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1.791  </w:t>
            </w:r>
          </w:p>
        </w:tc>
        <w:tc>
          <w:tcPr>
            <w:tcW w:w="3965" w:type="dxa"/>
            <w:tcBorders>
              <w:top w:val="single" w:sz="2" w:space="0" w:color="auto"/>
              <w:bottom w:val="single" w:sz="4" w:space="0" w:color="auto"/>
            </w:tcBorders>
            <w:shd w:val="clear" w:color="auto" w:fill="auto"/>
            <w:noWrap/>
            <w:vAlign w:val="center"/>
            <w:hideMark/>
          </w:tcPr>
          <w:p w:rsidR="00B01865" w:rsidRPr="00B01865" w:rsidRDefault="00B01865" w:rsidP="002D5922">
            <w:pPr>
              <w:spacing w:after="0"/>
              <w:ind w:left="-42" w:firstLine="0"/>
              <w:jc w:val="right"/>
              <w:rPr>
                <w:rFonts w:ascii="Arial Narrow" w:hAnsi="Arial Narrow"/>
                <w:color w:val="000000"/>
                <w:lang w:val="es-ES" w:eastAsia="es-ES"/>
              </w:rPr>
            </w:pPr>
            <w:proofErr w:type="spellStart"/>
            <w:r w:rsidRPr="00B01865">
              <w:rPr>
                <w:rFonts w:ascii="Arial Narrow" w:hAnsi="Arial Narrow"/>
                <w:color w:val="000000"/>
                <w:lang w:val="es-ES" w:eastAsia="es-ES"/>
              </w:rPr>
              <w:t>Lacroix</w:t>
            </w:r>
            <w:proofErr w:type="spellEnd"/>
            <w:r w:rsidRPr="00B01865">
              <w:rPr>
                <w:rFonts w:ascii="Arial Narrow" w:hAnsi="Arial Narrow"/>
                <w:color w:val="000000"/>
                <w:lang w:val="es-ES" w:eastAsia="es-ES"/>
              </w:rPr>
              <w:t xml:space="preserve"> Señalización S.A.</w:t>
            </w:r>
          </w:p>
        </w:tc>
      </w:tr>
      <w:tr w:rsidR="00736AAD" w:rsidRPr="00B01865" w:rsidTr="002E36B8">
        <w:trPr>
          <w:cantSplit/>
          <w:trHeight w:val="340"/>
          <w:jc w:val="center"/>
        </w:trPr>
        <w:tc>
          <w:tcPr>
            <w:tcW w:w="8913" w:type="dxa"/>
            <w:gridSpan w:val="3"/>
            <w:tcBorders>
              <w:top w:val="single" w:sz="4" w:space="0" w:color="auto"/>
              <w:bottom w:val="single" w:sz="4" w:space="0" w:color="auto"/>
            </w:tcBorders>
            <w:shd w:val="clear" w:color="auto" w:fill="8DB3E2" w:themeFill="text2" w:themeFillTint="66"/>
            <w:noWrap/>
            <w:vAlign w:val="center"/>
            <w:hideMark/>
          </w:tcPr>
          <w:p w:rsidR="00736AAD" w:rsidRPr="00B01865" w:rsidRDefault="00736AAD" w:rsidP="00736AAD">
            <w:pPr>
              <w:spacing w:after="0"/>
              <w:ind w:left="-42" w:firstLine="0"/>
              <w:jc w:val="center"/>
              <w:rPr>
                <w:rFonts w:ascii="Arial" w:hAnsi="Arial" w:cs="Arial"/>
                <w:color w:val="000000"/>
                <w:sz w:val="18"/>
                <w:szCs w:val="18"/>
                <w:lang w:val="es-ES" w:eastAsia="es-ES"/>
              </w:rPr>
            </w:pPr>
            <w:r w:rsidRPr="00B01865">
              <w:rPr>
                <w:rFonts w:ascii="Arial" w:hAnsi="Arial" w:cs="Arial"/>
                <w:color w:val="000000"/>
                <w:sz w:val="18"/>
                <w:szCs w:val="18"/>
                <w:lang w:val="es-ES" w:eastAsia="es-ES"/>
              </w:rPr>
              <w:t>Concepto: otros gastos diversos</w:t>
            </w:r>
          </w:p>
        </w:tc>
      </w:tr>
      <w:tr w:rsidR="00B01865" w:rsidRPr="00B01865" w:rsidTr="002D5922">
        <w:trPr>
          <w:cantSplit/>
          <w:trHeight w:val="255"/>
          <w:jc w:val="center"/>
        </w:trPr>
        <w:tc>
          <w:tcPr>
            <w:tcW w:w="416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Descripción gasto</w:t>
            </w:r>
          </w:p>
        </w:tc>
        <w:tc>
          <w:tcPr>
            <w:tcW w:w="788"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Importe</w:t>
            </w:r>
          </w:p>
        </w:tc>
        <w:tc>
          <w:tcPr>
            <w:tcW w:w="3965"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2D5922">
            <w:pPr>
              <w:spacing w:after="0"/>
              <w:ind w:left="-42" w:firstLine="0"/>
              <w:jc w:val="right"/>
              <w:rPr>
                <w:rFonts w:ascii="Arial Narrow" w:hAnsi="Arial Narrow"/>
                <w:color w:val="000000"/>
                <w:lang w:val="es-ES" w:eastAsia="es-ES"/>
              </w:rPr>
            </w:pPr>
            <w:r w:rsidRPr="00B01865">
              <w:rPr>
                <w:rFonts w:ascii="Arial Narrow" w:hAnsi="Arial Narrow"/>
                <w:color w:val="000000"/>
                <w:lang w:val="es-ES" w:eastAsia="es-ES"/>
              </w:rPr>
              <w:t>Acreedor</w:t>
            </w:r>
          </w:p>
        </w:tc>
      </w:tr>
      <w:tr w:rsidR="00B01865" w:rsidRPr="00B01865" w:rsidTr="002D5922">
        <w:trPr>
          <w:cantSplit/>
          <w:trHeight w:val="198"/>
          <w:jc w:val="center"/>
        </w:trPr>
        <w:tc>
          <w:tcPr>
            <w:tcW w:w="4160" w:type="dxa"/>
            <w:tcBorders>
              <w:top w:val="single" w:sz="4" w:space="0" w:color="auto"/>
              <w:bottom w:val="single" w:sz="2"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 xml:space="preserve">English </w:t>
            </w:r>
            <w:proofErr w:type="spellStart"/>
            <w:r w:rsidRPr="00B01865">
              <w:rPr>
                <w:rFonts w:ascii="Arial Narrow" w:hAnsi="Arial Narrow"/>
                <w:color w:val="000000"/>
                <w:lang w:val="es-ES" w:eastAsia="es-ES"/>
              </w:rPr>
              <w:t>Week</w:t>
            </w:r>
            <w:proofErr w:type="spellEnd"/>
            <w:r w:rsidRPr="00B01865">
              <w:rPr>
                <w:rFonts w:ascii="Arial Narrow" w:hAnsi="Arial Narrow"/>
                <w:color w:val="000000"/>
                <w:lang w:val="es-ES" w:eastAsia="es-ES"/>
              </w:rPr>
              <w:t xml:space="preserve"> Mayo</w:t>
            </w:r>
          </w:p>
        </w:tc>
        <w:tc>
          <w:tcPr>
            <w:tcW w:w="788" w:type="dxa"/>
            <w:tcBorders>
              <w:top w:val="single" w:sz="4"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43.432</w:t>
            </w:r>
          </w:p>
        </w:tc>
        <w:tc>
          <w:tcPr>
            <w:tcW w:w="3965" w:type="dxa"/>
            <w:tcBorders>
              <w:top w:val="single" w:sz="4" w:space="0" w:color="auto"/>
              <w:bottom w:val="single" w:sz="2" w:space="0" w:color="auto"/>
            </w:tcBorders>
            <w:shd w:val="clear" w:color="auto" w:fill="auto"/>
            <w:noWrap/>
            <w:vAlign w:val="center"/>
            <w:hideMark/>
          </w:tcPr>
          <w:p w:rsidR="00B01865" w:rsidRPr="00B01865" w:rsidRDefault="00B01865" w:rsidP="002D5922">
            <w:pPr>
              <w:spacing w:after="0"/>
              <w:ind w:left="-42" w:firstLine="0"/>
              <w:jc w:val="right"/>
              <w:rPr>
                <w:rFonts w:ascii="Arial Narrow" w:hAnsi="Arial Narrow" w:cs="Arial"/>
                <w:lang w:val="es-ES" w:eastAsia="es-ES"/>
              </w:rPr>
            </w:pPr>
            <w:r w:rsidRPr="00B01865">
              <w:rPr>
                <w:rFonts w:ascii="Arial Narrow" w:hAnsi="Arial Narrow" w:cs="Arial"/>
                <w:lang w:val="es-ES" w:eastAsia="es-ES"/>
              </w:rPr>
              <w:t>Centro Navarro Aprendizaje de Idiomas, S.A. (CNAI)</w:t>
            </w:r>
          </w:p>
        </w:tc>
      </w:tr>
      <w:tr w:rsidR="00B01865" w:rsidRPr="00B01865" w:rsidTr="002D5922">
        <w:trPr>
          <w:cantSplit/>
          <w:trHeight w:val="198"/>
          <w:jc w:val="center"/>
        </w:trPr>
        <w:tc>
          <w:tcPr>
            <w:tcW w:w="4160"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Diseño, montaje y desmontaje de Stand de Navarra</w:t>
            </w:r>
          </w:p>
        </w:tc>
        <w:tc>
          <w:tcPr>
            <w:tcW w:w="788"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23.982</w:t>
            </w:r>
          </w:p>
        </w:tc>
        <w:tc>
          <w:tcPr>
            <w:tcW w:w="3965" w:type="dxa"/>
            <w:tcBorders>
              <w:top w:val="single" w:sz="2" w:space="0" w:color="auto"/>
              <w:bottom w:val="single" w:sz="2" w:space="0" w:color="auto"/>
            </w:tcBorders>
            <w:shd w:val="clear" w:color="auto" w:fill="auto"/>
            <w:noWrap/>
            <w:vAlign w:val="center"/>
            <w:hideMark/>
          </w:tcPr>
          <w:p w:rsidR="00B01865" w:rsidRPr="00B01865" w:rsidRDefault="00B01865" w:rsidP="002D5922">
            <w:pPr>
              <w:spacing w:after="0"/>
              <w:ind w:left="-42" w:firstLine="0"/>
              <w:jc w:val="right"/>
              <w:rPr>
                <w:rFonts w:ascii="Arial Narrow" w:hAnsi="Arial Narrow"/>
                <w:color w:val="000000"/>
                <w:lang w:val="es-ES" w:eastAsia="es-ES"/>
              </w:rPr>
            </w:pPr>
            <w:r w:rsidRPr="00B01865">
              <w:rPr>
                <w:rFonts w:ascii="Arial Narrow" w:hAnsi="Arial Narrow"/>
                <w:color w:val="000000"/>
                <w:lang w:val="es-ES" w:eastAsia="es-ES"/>
              </w:rPr>
              <w:t xml:space="preserve">Eventos </w:t>
            </w:r>
            <w:proofErr w:type="spellStart"/>
            <w:r w:rsidRPr="00B01865">
              <w:rPr>
                <w:rFonts w:ascii="Arial Narrow" w:hAnsi="Arial Narrow"/>
                <w:color w:val="000000"/>
                <w:lang w:val="es-ES" w:eastAsia="es-ES"/>
              </w:rPr>
              <w:t>Zunzarren</w:t>
            </w:r>
            <w:proofErr w:type="spellEnd"/>
            <w:r w:rsidRPr="00B01865">
              <w:rPr>
                <w:rFonts w:ascii="Arial Narrow" w:hAnsi="Arial Narrow"/>
                <w:color w:val="000000"/>
                <w:lang w:val="es-ES" w:eastAsia="es-ES"/>
              </w:rPr>
              <w:t xml:space="preserve"> S.L.</w:t>
            </w:r>
          </w:p>
        </w:tc>
      </w:tr>
      <w:tr w:rsidR="00B01865" w:rsidRPr="00B01865" w:rsidTr="002D5922">
        <w:trPr>
          <w:cantSplit/>
          <w:trHeight w:val="198"/>
          <w:jc w:val="center"/>
        </w:trPr>
        <w:tc>
          <w:tcPr>
            <w:tcW w:w="4160"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Diseño logotipo</w:t>
            </w:r>
          </w:p>
        </w:tc>
        <w:tc>
          <w:tcPr>
            <w:tcW w:w="788"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3.630</w:t>
            </w:r>
          </w:p>
        </w:tc>
        <w:tc>
          <w:tcPr>
            <w:tcW w:w="3965" w:type="dxa"/>
            <w:tcBorders>
              <w:top w:val="single" w:sz="2" w:space="0" w:color="auto"/>
              <w:bottom w:val="single" w:sz="2" w:space="0" w:color="auto"/>
            </w:tcBorders>
            <w:shd w:val="clear" w:color="auto" w:fill="auto"/>
            <w:noWrap/>
            <w:vAlign w:val="center"/>
            <w:hideMark/>
          </w:tcPr>
          <w:p w:rsidR="00B01865" w:rsidRPr="00B01865" w:rsidRDefault="00B01865" w:rsidP="002D5922">
            <w:pPr>
              <w:spacing w:after="0"/>
              <w:ind w:left="-42" w:firstLine="0"/>
              <w:jc w:val="right"/>
              <w:rPr>
                <w:rFonts w:ascii="Arial Narrow" w:hAnsi="Arial Narrow"/>
                <w:color w:val="000000"/>
                <w:lang w:val="es-ES" w:eastAsia="es-ES"/>
              </w:rPr>
            </w:pPr>
            <w:proofErr w:type="spellStart"/>
            <w:r w:rsidRPr="00B01865">
              <w:rPr>
                <w:rFonts w:ascii="Arial Narrow" w:hAnsi="Arial Narrow"/>
                <w:color w:val="000000"/>
                <w:lang w:val="es-ES" w:eastAsia="es-ES"/>
              </w:rPr>
              <w:t>Your</w:t>
            </w:r>
            <w:proofErr w:type="spellEnd"/>
            <w:r w:rsidRPr="00B01865">
              <w:rPr>
                <w:rFonts w:ascii="Arial Narrow" w:hAnsi="Arial Narrow"/>
                <w:color w:val="000000"/>
                <w:lang w:val="es-ES" w:eastAsia="es-ES"/>
              </w:rPr>
              <w:t xml:space="preserve"> Concept Estudio Creativo S.L.</w:t>
            </w:r>
          </w:p>
        </w:tc>
      </w:tr>
      <w:tr w:rsidR="00B01865" w:rsidRPr="00B01865" w:rsidTr="002D5922">
        <w:trPr>
          <w:cantSplit/>
          <w:trHeight w:val="198"/>
          <w:jc w:val="center"/>
        </w:trPr>
        <w:tc>
          <w:tcPr>
            <w:tcW w:w="4160"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Limpieza ropa laboratorio</w:t>
            </w:r>
          </w:p>
        </w:tc>
        <w:tc>
          <w:tcPr>
            <w:tcW w:w="788" w:type="dxa"/>
            <w:tcBorders>
              <w:top w:val="single" w:sz="2" w:space="0" w:color="auto"/>
              <w:bottom w:val="single" w:sz="2"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177</w:t>
            </w:r>
          </w:p>
        </w:tc>
        <w:tc>
          <w:tcPr>
            <w:tcW w:w="3965" w:type="dxa"/>
            <w:tcBorders>
              <w:top w:val="single" w:sz="2" w:space="0" w:color="auto"/>
              <w:bottom w:val="single" w:sz="2" w:space="0" w:color="auto"/>
            </w:tcBorders>
            <w:shd w:val="clear" w:color="auto" w:fill="auto"/>
            <w:noWrap/>
            <w:vAlign w:val="center"/>
            <w:hideMark/>
          </w:tcPr>
          <w:p w:rsidR="00B01865" w:rsidRPr="00B01865" w:rsidRDefault="00B01865" w:rsidP="002D5922">
            <w:pPr>
              <w:spacing w:after="0"/>
              <w:ind w:left="-42" w:firstLine="0"/>
              <w:jc w:val="right"/>
              <w:rPr>
                <w:rFonts w:ascii="Arial Narrow" w:hAnsi="Arial Narrow"/>
                <w:color w:val="000000"/>
                <w:lang w:val="es-ES" w:eastAsia="es-ES"/>
              </w:rPr>
            </w:pPr>
            <w:r w:rsidRPr="00B01865">
              <w:rPr>
                <w:rFonts w:ascii="Arial Narrow" w:hAnsi="Arial Narrow"/>
                <w:color w:val="000000"/>
                <w:lang w:val="es-ES" w:eastAsia="es-ES"/>
              </w:rPr>
              <w:t>Fundación ASPACE</w:t>
            </w:r>
          </w:p>
        </w:tc>
      </w:tr>
      <w:tr w:rsidR="00B01865" w:rsidRPr="00B01865" w:rsidTr="002D5922">
        <w:trPr>
          <w:cantSplit/>
          <w:trHeight w:val="198"/>
          <w:jc w:val="center"/>
        </w:trPr>
        <w:tc>
          <w:tcPr>
            <w:tcW w:w="4160" w:type="dxa"/>
            <w:tcBorders>
              <w:top w:val="single" w:sz="2" w:space="0" w:color="auto"/>
              <w:bottom w:val="single" w:sz="4"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Actuación musical Día de Navarra</w:t>
            </w:r>
          </w:p>
        </w:tc>
        <w:tc>
          <w:tcPr>
            <w:tcW w:w="788" w:type="dxa"/>
            <w:tcBorders>
              <w:top w:val="single" w:sz="2"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118</w:t>
            </w:r>
          </w:p>
        </w:tc>
        <w:tc>
          <w:tcPr>
            <w:tcW w:w="3965" w:type="dxa"/>
            <w:tcBorders>
              <w:top w:val="single" w:sz="2" w:space="0" w:color="auto"/>
              <w:bottom w:val="single" w:sz="4" w:space="0" w:color="auto"/>
            </w:tcBorders>
            <w:shd w:val="clear" w:color="auto" w:fill="auto"/>
            <w:noWrap/>
            <w:vAlign w:val="center"/>
            <w:hideMark/>
          </w:tcPr>
          <w:p w:rsidR="00B01865" w:rsidRPr="00B01865" w:rsidRDefault="00B01865" w:rsidP="002D5922">
            <w:pPr>
              <w:spacing w:after="0"/>
              <w:ind w:left="-42" w:firstLine="0"/>
              <w:jc w:val="right"/>
              <w:rPr>
                <w:rFonts w:ascii="Arial Narrow" w:hAnsi="Arial Narrow"/>
                <w:color w:val="000000"/>
                <w:lang w:val="es-ES" w:eastAsia="es-ES"/>
              </w:rPr>
            </w:pPr>
            <w:r w:rsidRPr="00B01865">
              <w:rPr>
                <w:rFonts w:ascii="Arial Narrow" w:hAnsi="Arial Narrow"/>
                <w:color w:val="000000"/>
                <w:lang w:val="es-ES" w:eastAsia="es-ES"/>
              </w:rPr>
              <w:t>Particular</w:t>
            </w:r>
          </w:p>
        </w:tc>
      </w:tr>
    </w:tbl>
    <w:p w:rsidR="00B01865" w:rsidRPr="00B01865" w:rsidRDefault="00B01865" w:rsidP="002D5922">
      <w:pPr>
        <w:pStyle w:val="texto"/>
        <w:spacing w:before="240"/>
      </w:pPr>
      <w:r w:rsidRPr="00B01865">
        <w:t>Del trabajo realizado concluimos que, en general, el gasto está correctamente contabilizado y justificado, y se ha abonado en el plazo establecido en la no</w:t>
      </w:r>
      <w:r w:rsidRPr="00B01865">
        <w:t>r</w:t>
      </w:r>
      <w:r w:rsidRPr="00B01865">
        <w:t>mativa; además, los procedimientos de gestión y control son razonables y ad</w:t>
      </w:r>
      <w:r w:rsidRPr="00B01865">
        <w:t>e</w:t>
      </w:r>
      <w:r w:rsidRPr="00B01865">
        <w:t xml:space="preserve">cuados. </w:t>
      </w:r>
    </w:p>
    <w:p w:rsidR="00B01865" w:rsidRPr="00B01865" w:rsidRDefault="00B01865" w:rsidP="002D5922">
      <w:pPr>
        <w:pStyle w:val="texto"/>
        <w:spacing w:after="240"/>
      </w:pPr>
      <w:r w:rsidRPr="00B01865">
        <w:t>Añadido a lo anterior, hemos analizado la composición, variación respecto a 2016, y aplicación del principio de devengo en los siguientes gastos:</w:t>
      </w:r>
    </w:p>
    <w:tbl>
      <w:tblPr>
        <w:tblW w:w="8859" w:type="dxa"/>
        <w:tblInd w:w="70" w:type="dxa"/>
        <w:tblCellMar>
          <w:left w:w="70" w:type="dxa"/>
          <w:right w:w="70" w:type="dxa"/>
        </w:tblCellMar>
        <w:tblLook w:val="04A0" w:firstRow="1" w:lastRow="0" w:firstColumn="1" w:lastColumn="0" w:noHBand="0" w:noVBand="1"/>
      </w:tblPr>
      <w:tblGrid>
        <w:gridCol w:w="3950"/>
        <w:gridCol w:w="1636"/>
        <w:gridCol w:w="1636"/>
        <w:gridCol w:w="1637"/>
      </w:tblGrid>
      <w:tr w:rsidR="00B01865" w:rsidRPr="00B01865" w:rsidTr="002D5922">
        <w:trPr>
          <w:trHeight w:val="255"/>
        </w:trPr>
        <w:tc>
          <w:tcPr>
            <w:tcW w:w="3950"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B01865">
              <w:rPr>
                <w:rFonts w:ascii="Arial" w:hAnsi="Arial"/>
                <w:spacing w:val="6"/>
                <w:sz w:val="18"/>
                <w:szCs w:val="24"/>
              </w:rPr>
              <w:t>Descripción gasto</w:t>
            </w:r>
          </w:p>
        </w:tc>
        <w:tc>
          <w:tcPr>
            <w:tcW w:w="163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Importe 2016</w:t>
            </w:r>
          </w:p>
        </w:tc>
        <w:tc>
          <w:tcPr>
            <w:tcW w:w="1636"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Importe 2017</w:t>
            </w:r>
          </w:p>
        </w:tc>
        <w:tc>
          <w:tcPr>
            <w:tcW w:w="1637"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 xml:space="preserve">% variación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2017/2016</w:t>
            </w:r>
          </w:p>
        </w:tc>
      </w:tr>
      <w:tr w:rsidR="00B01865" w:rsidRPr="00B01865" w:rsidTr="00B01865">
        <w:trPr>
          <w:trHeight w:val="198"/>
        </w:trPr>
        <w:tc>
          <w:tcPr>
            <w:tcW w:w="3950" w:type="dxa"/>
            <w:tcBorders>
              <w:top w:val="single" w:sz="4"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Conciertos sanitarios</w:t>
            </w:r>
          </w:p>
        </w:tc>
        <w:tc>
          <w:tcPr>
            <w:tcW w:w="1636"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61.559.580</w:t>
            </w:r>
          </w:p>
        </w:tc>
        <w:tc>
          <w:tcPr>
            <w:tcW w:w="1636" w:type="dxa"/>
            <w:tcBorders>
              <w:top w:val="single" w:sz="4"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54.564.463</w:t>
            </w:r>
          </w:p>
        </w:tc>
        <w:tc>
          <w:tcPr>
            <w:tcW w:w="1637"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-11</w:t>
            </w:r>
          </w:p>
        </w:tc>
      </w:tr>
      <w:tr w:rsidR="00B01865" w:rsidRPr="00B01865" w:rsidTr="00B01865">
        <w:trPr>
          <w:trHeight w:val="198"/>
        </w:trPr>
        <w:tc>
          <w:tcPr>
            <w:tcW w:w="3950" w:type="dxa"/>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Cánones</w:t>
            </w:r>
            <w:r w:rsidR="0098185D">
              <w:rPr>
                <w:rFonts w:ascii="Arial Narrow" w:hAnsi="Arial Narrow"/>
                <w:spacing w:val="6"/>
              </w:rPr>
              <w:t>-peajes en sombra</w:t>
            </w:r>
          </w:p>
        </w:tc>
        <w:tc>
          <w:tcPr>
            <w:tcW w:w="1636"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60.124.388</w:t>
            </w:r>
          </w:p>
        </w:tc>
        <w:tc>
          <w:tcPr>
            <w:tcW w:w="1636" w:type="dxa"/>
            <w:tcBorders>
              <w:top w:val="single" w:sz="2" w:space="0" w:color="auto"/>
              <w:left w:val="nil"/>
              <w:bottom w:val="single" w:sz="4"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63.795.152</w:t>
            </w:r>
          </w:p>
        </w:tc>
        <w:tc>
          <w:tcPr>
            <w:tcW w:w="1637"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w:t>
            </w:r>
          </w:p>
        </w:tc>
      </w:tr>
    </w:tbl>
    <w:p w:rsidR="00B01865" w:rsidRPr="00B01865" w:rsidRDefault="00B01865" w:rsidP="002D5922">
      <w:pPr>
        <w:pStyle w:val="texto"/>
        <w:spacing w:before="240"/>
      </w:pPr>
      <w:r w:rsidRPr="00B01865">
        <w:t>De la revisión llevada a cabo hemos obtenido las siguientes conclusiones:</w:t>
      </w:r>
    </w:p>
    <w:p w:rsidR="00ED0606" w:rsidRPr="00ED0606" w:rsidRDefault="00B01865" w:rsidP="00E02CF9">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pPr>
      <w:r w:rsidRPr="00ED0606">
        <w:rPr>
          <w:rFonts w:cs="Arial"/>
        </w:rPr>
        <w:t>El gasto en conciertos sanitarios alcanzó los 54,56 millones de euros y disminuyó un 11 por ciento respecto a 2016, debido al descenso generalizado que experimentan todas las partidas que lo componen, así como por la elimin</w:t>
      </w:r>
      <w:r w:rsidRPr="00ED0606">
        <w:rPr>
          <w:rFonts w:cs="Arial"/>
        </w:rPr>
        <w:t>a</w:t>
      </w:r>
      <w:r w:rsidRPr="00ED0606">
        <w:rPr>
          <w:rFonts w:cs="Arial"/>
        </w:rPr>
        <w:t>ción del gasto de la atención sanitaria al personal de la Clínica Universidad de Navarra al asumirla el propio SNS-O</w:t>
      </w:r>
      <w:r w:rsidR="008D6FA6">
        <w:rPr>
          <w:rFonts w:cs="Arial"/>
        </w:rPr>
        <w:t xml:space="preserve"> en mayo de 2016 (</w:t>
      </w:r>
      <w:r w:rsidR="0084762D">
        <w:rPr>
          <w:rFonts w:cs="Arial"/>
        </w:rPr>
        <w:t xml:space="preserve">en 2015 </w:t>
      </w:r>
      <w:r w:rsidR="008D6FA6">
        <w:rPr>
          <w:rFonts w:cs="Arial"/>
        </w:rPr>
        <w:t xml:space="preserve">el gasto </w:t>
      </w:r>
      <w:r w:rsidR="0084762D">
        <w:rPr>
          <w:rFonts w:cs="Arial"/>
        </w:rPr>
        <w:t>asce</w:t>
      </w:r>
      <w:r w:rsidR="0084762D">
        <w:rPr>
          <w:rFonts w:cs="Arial"/>
        </w:rPr>
        <w:t>n</w:t>
      </w:r>
      <w:r w:rsidR="0084762D">
        <w:rPr>
          <w:rFonts w:cs="Arial"/>
        </w:rPr>
        <w:t>dió</w:t>
      </w:r>
      <w:r w:rsidR="00ED0606">
        <w:rPr>
          <w:rFonts w:cs="Arial"/>
        </w:rPr>
        <w:t xml:space="preserve"> a 5,1</w:t>
      </w:r>
      <w:r w:rsidR="0084762D">
        <w:rPr>
          <w:rFonts w:cs="Arial"/>
        </w:rPr>
        <w:t>1</w:t>
      </w:r>
      <w:r w:rsidR="00ED0606">
        <w:rPr>
          <w:rFonts w:cs="Arial"/>
        </w:rPr>
        <w:t xml:space="preserve"> millones </w:t>
      </w:r>
      <w:r w:rsidR="008D6FA6">
        <w:rPr>
          <w:rFonts w:cs="Arial"/>
        </w:rPr>
        <w:t>y en 2016 a 1,65 millones).</w:t>
      </w:r>
    </w:p>
    <w:p w:rsidR="00B01865" w:rsidRPr="00B01865" w:rsidRDefault="00B01865" w:rsidP="00E02CF9">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pPr>
      <w:r w:rsidRPr="00B01865">
        <w:t>El número de proveedores que han prestado este servicio y el importe que han percibido es el que mostramos a continuación:</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127"/>
      </w:tblGrid>
      <w:tr w:rsidR="00B01865" w:rsidRPr="00B01865" w:rsidTr="00E02CF9">
        <w:trPr>
          <w:trHeight w:val="255"/>
        </w:trPr>
        <w:tc>
          <w:tcPr>
            <w:tcW w:w="2694" w:type="dxa"/>
            <w:tcBorders>
              <w:top w:val="single" w:sz="4" w:space="0" w:color="auto"/>
              <w:bottom w:val="single" w:sz="4" w:space="0" w:color="auto"/>
            </w:tcBorders>
            <w:shd w:val="clear" w:color="auto" w:fill="8DB3E2" w:themeFill="text2" w:themeFillTint="66"/>
            <w:vAlign w:val="center"/>
          </w:tcPr>
          <w:p w:rsidR="00B01865" w:rsidRPr="00B01865" w:rsidRDefault="00B01865" w:rsidP="00E02CF9">
            <w:pPr>
              <w:tabs>
                <w:tab w:val="center" w:pos="2835"/>
                <w:tab w:val="center" w:pos="3969"/>
                <w:tab w:val="center" w:pos="5103"/>
                <w:tab w:val="center" w:pos="6237"/>
                <w:tab w:val="center" w:pos="7371"/>
              </w:tabs>
              <w:spacing w:after="0"/>
              <w:ind w:firstLine="0"/>
              <w:jc w:val="left"/>
              <w:rPr>
                <w:rFonts w:ascii="Arial" w:hAnsi="Arial" w:cs="Arial"/>
                <w:spacing w:val="6"/>
                <w:sz w:val="18"/>
                <w:szCs w:val="18"/>
              </w:rPr>
            </w:pPr>
            <w:r w:rsidRPr="00B01865">
              <w:rPr>
                <w:rFonts w:ascii="Arial" w:hAnsi="Arial" w:cs="Arial"/>
                <w:spacing w:val="6"/>
                <w:sz w:val="18"/>
                <w:szCs w:val="18"/>
              </w:rPr>
              <w:t>Nº proveedores</w:t>
            </w:r>
          </w:p>
        </w:tc>
        <w:tc>
          <w:tcPr>
            <w:tcW w:w="6127"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B01865">
              <w:rPr>
                <w:rFonts w:ascii="Arial" w:hAnsi="Arial" w:cs="Arial"/>
                <w:spacing w:val="6"/>
                <w:sz w:val="18"/>
                <w:szCs w:val="18"/>
              </w:rPr>
              <w:t>Importe percibido</w:t>
            </w:r>
          </w:p>
        </w:tc>
      </w:tr>
      <w:tr w:rsidR="00B01865" w:rsidRPr="00B01865" w:rsidTr="00D36628">
        <w:trPr>
          <w:trHeight w:val="170"/>
        </w:trPr>
        <w:tc>
          <w:tcPr>
            <w:tcW w:w="2694" w:type="dxa"/>
            <w:tcBorders>
              <w:top w:val="single" w:sz="4" w:space="0" w:color="auto"/>
              <w:bottom w:val="single" w:sz="2" w:space="0" w:color="auto"/>
            </w:tcBorders>
            <w:vAlign w:val="center"/>
          </w:tcPr>
          <w:p w:rsidR="00B01865" w:rsidRPr="00B01865" w:rsidRDefault="00B01865" w:rsidP="00F62384">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sidRPr="00B01865">
              <w:rPr>
                <w:rFonts w:ascii="Arial Narrow" w:hAnsi="Arial Narrow"/>
                <w:spacing w:val="6"/>
              </w:rPr>
              <w:t>2</w:t>
            </w:r>
          </w:p>
        </w:tc>
        <w:tc>
          <w:tcPr>
            <w:tcW w:w="6127" w:type="dxa"/>
            <w:tcBorders>
              <w:top w:val="single" w:sz="4" w:space="0" w:color="auto"/>
              <w:bottom w:val="single" w:sz="2"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left="644" w:firstLine="0"/>
              <w:jc w:val="right"/>
              <w:rPr>
                <w:rFonts w:ascii="Arial Narrow" w:hAnsi="Arial Narrow"/>
                <w:spacing w:val="6"/>
              </w:rPr>
            </w:pPr>
            <w:r w:rsidRPr="00B01865">
              <w:rPr>
                <w:rFonts w:ascii="Arial Narrow" w:hAnsi="Arial Narrow"/>
                <w:spacing w:val="6"/>
              </w:rPr>
              <w:t>&gt;17 millones de euros</w:t>
            </w:r>
          </w:p>
        </w:tc>
      </w:tr>
      <w:tr w:rsidR="00B01865" w:rsidRPr="00B01865" w:rsidTr="00D36628">
        <w:trPr>
          <w:trHeight w:val="170"/>
        </w:trPr>
        <w:tc>
          <w:tcPr>
            <w:tcW w:w="2694" w:type="dxa"/>
            <w:tcBorders>
              <w:top w:val="single" w:sz="2" w:space="0" w:color="auto"/>
              <w:bottom w:val="single" w:sz="2" w:space="0" w:color="auto"/>
            </w:tcBorders>
            <w:vAlign w:val="center"/>
          </w:tcPr>
          <w:p w:rsidR="00B01865" w:rsidRPr="00B01865" w:rsidRDefault="00B01865" w:rsidP="00F62384">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sidRPr="00B01865">
              <w:rPr>
                <w:rFonts w:ascii="Arial Narrow" w:hAnsi="Arial Narrow"/>
                <w:spacing w:val="6"/>
              </w:rPr>
              <w:t>5</w:t>
            </w:r>
          </w:p>
        </w:tc>
        <w:tc>
          <w:tcPr>
            <w:tcW w:w="6127" w:type="dxa"/>
            <w:tcBorders>
              <w:top w:val="single" w:sz="2" w:space="0" w:color="auto"/>
              <w:bottom w:val="single" w:sz="2"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(17 millones euros, millón euros)</w:t>
            </w:r>
          </w:p>
        </w:tc>
      </w:tr>
      <w:tr w:rsidR="00B01865" w:rsidRPr="00B01865" w:rsidTr="00D36628">
        <w:trPr>
          <w:trHeight w:val="170"/>
        </w:trPr>
        <w:tc>
          <w:tcPr>
            <w:tcW w:w="2694" w:type="dxa"/>
            <w:tcBorders>
              <w:top w:val="single" w:sz="2" w:space="0" w:color="auto"/>
              <w:bottom w:val="single" w:sz="2" w:space="0" w:color="auto"/>
            </w:tcBorders>
            <w:vAlign w:val="center"/>
          </w:tcPr>
          <w:p w:rsidR="00B01865" w:rsidRPr="00B01865" w:rsidRDefault="00B01865" w:rsidP="00F62384">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sidRPr="00B01865">
              <w:rPr>
                <w:rFonts w:ascii="Arial Narrow" w:hAnsi="Arial Narrow"/>
                <w:spacing w:val="6"/>
              </w:rPr>
              <w:t>15</w:t>
            </w:r>
          </w:p>
        </w:tc>
        <w:tc>
          <w:tcPr>
            <w:tcW w:w="6127" w:type="dxa"/>
            <w:tcBorders>
              <w:top w:val="single" w:sz="2" w:space="0" w:color="auto"/>
              <w:bottom w:val="single" w:sz="2"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(Millón euros, 100.000 euros)</w:t>
            </w:r>
          </w:p>
        </w:tc>
      </w:tr>
      <w:tr w:rsidR="00B01865" w:rsidRPr="00B01865" w:rsidTr="00D36628">
        <w:trPr>
          <w:trHeight w:val="170"/>
        </w:trPr>
        <w:tc>
          <w:tcPr>
            <w:tcW w:w="2694" w:type="dxa"/>
            <w:tcBorders>
              <w:top w:val="single" w:sz="2" w:space="0" w:color="auto"/>
              <w:bottom w:val="single" w:sz="4" w:space="0" w:color="auto"/>
            </w:tcBorders>
            <w:vAlign w:val="center"/>
          </w:tcPr>
          <w:p w:rsidR="00B01865" w:rsidRPr="00B01865" w:rsidRDefault="00B01865" w:rsidP="00F62384">
            <w:pPr>
              <w:tabs>
                <w:tab w:val="center" w:pos="2835"/>
                <w:tab w:val="center" w:pos="3969"/>
                <w:tab w:val="center" w:pos="5103"/>
                <w:tab w:val="center" w:pos="6237"/>
                <w:tab w:val="center" w:pos="7371"/>
              </w:tabs>
              <w:spacing w:after="0"/>
              <w:ind w:left="-250" w:right="1735" w:firstLine="0"/>
              <w:jc w:val="right"/>
              <w:rPr>
                <w:rFonts w:ascii="Arial Narrow" w:hAnsi="Arial Narrow"/>
                <w:spacing w:val="6"/>
              </w:rPr>
            </w:pPr>
            <w:r w:rsidRPr="00B01865">
              <w:rPr>
                <w:rFonts w:ascii="Arial Narrow" w:hAnsi="Arial Narrow"/>
                <w:spacing w:val="6"/>
              </w:rPr>
              <w:t>223</w:t>
            </w:r>
          </w:p>
        </w:tc>
        <w:tc>
          <w:tcPr>
            <w:tcW w:w="6127" w:type="dxa"/>
            <w:tcBorders>
              <w:top w:val="single" w:sz="2" w:space="0" w:color="auto"/>
              <w:bottom w:val="single" w:sz="4"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Narrow" w:hAnsi="Arial Narrow"/>
                <w:spacing w:val="6"/>
              </w:rPr>
            </w:pPr>
            <w:r w:rsidRPr="00B01865">
              <w:rPr>
                <w:rFonts w:ascii="Arial Narrow" w:hAnsi="Arial Narrow"/>
                <w:spacing w:val="6"/>
              </w:rPr>
              <w:t>&lt;100.000 euros</w:t>
            </w:r>
          </w:p>
        </w:tc>
      </w:tr>
    </w:tbl>
    <w:p w:rsidR="00B01865" w:rsidRPr="00B01865" w:rsidRDefault="00B01865" w:rsidP="00D36628">
      <w:pPr>
        <w:tabs>
          <w:tab w:val="center" w:pos="2835"/>
          <w:tab w:val="center" w:pos="3969"/>
          <w:tab w:val="center" w:pos="5103"/>
          <w:tab w:val="center" w:pos="6237"/>
          <w:tab w:val="center" w:pos="7371"/>
        </w:tabs>
        <w:spacing w:before="180"/>
        <w:ind w:firstLine="284"/>
        <w:rPr>
          <w:spacing w:val="6"/>
          <w:sz w:val="26"/>
          <w:szCs w:val="24"/>
        </w:rPr>
      </w:pPr>
      <w:r w:rsidRPr="00B01865">
        <w:rPr>
          <w:spacing w:val="6"/>
          <w:sz w:val="26"/>
          <w:szCs w:val="24"/>
        </w:rPr>
        <w:lastRenderedPageBreak/>
        <w:t>Como se observa, los conciertos sanitarios se establecieron con 245 prove</w:t>
      </w:r>
      <w:r w:rsidRPr="00B01865">
        <w:rPr>
          <w:spacing w:val="6"/>
          <w:sz w:val="26"/>
          <w:szCs w:val="24"/>
        </w:rPr>
        <w:t>e</w:t>
      </w:r>
      <w:r w:rsidRPr="00B01865">
        <w:rPr>
          <w:spacing w:val="6"/>
          <w:sz w:val="26"/>
          <w:szCs w:val="24"/>
        </w:rPr>
        <w:t>dores de los cuales dos superan los 17 millones de euros: el Hospital San Juan de Dios con 21,92 millones (cantidad inferior a la de 2016 en un dos por cie</w:t>
      </w:r>
      <w:r w:rsidRPr="00B01865">
        <w:rPr>
          <w:spacing w:val="6"/>
          <w:sz w:val="26"/>
          <w:szCs w:val="24"/>
        </w:rPr>
        <w:t>n</w:t>
      </w:r>
      <w:r w:rsidRPr="00B01865">
        <w:rPr>
          <w:spacing w:val="6"/>
          <w:sz w:val="26"/>
          <w:szCs w:val="24"/>
        </w:rPr>
        <w:t xml:space="preserve">to) y la Clínica Universidad de Navarra con 17,09 millones (importe inferior a la de 2016 en un 20 por ciento). </w:t>
      </w:r>
    </w:p>
    <w:p w:rsidR="00D36628" w:rsidRDefault="00B01865" w:rsidP="00D36628">
      <w:pPr>
        <w:tabs>
          <w:tab w:val="center" w:pos="2835"/>
          <w:tab w:val="center" w:pos="3969"/>
          <w:tab w:val="center" w:pos="5103"/>
          <w:tab w:val="center" w:pos="6237"/>
          <w:tab w:val="center" w:pos="7371"/>
        </w:tabs>
        <w:spacing w:before="120"/>
        <w:ind w:firstLine="284"/>
        <w:rPr>
          <w:spacing w:val="6"/>
          <w:sz w:val="26"/>
          <w:szCs w:val="24"/>
        </w:rPr>
      </w:pPr>
      <w:r w:rsidRPr="00B01865">
        <w:rPr>
          <w:spacing w:val="6"/>
          <w:sz w:val="26"/>
          <w:szCs w:val="24"/>
        </w:rPr>
        <w:t>El gasto correspondiente a 2017 se imputó en su totalidad al presupuesto de este año, a excepción de 0,37 millones de euros que se contabilizaron en el pr</w:t>
      </w:r>
      <w:r w:rsidRPr="00B01865">
        <w:rPr>
          <w:spacing w:val="6"/>
          <w:sz w:val="26"/>
          <w:szCs w:val="24"/>
        </w:rPr>
        <w:t>e</w:t>
      </w:r>
      <w:r w:rsidRPr="00B01865">
        <w:rPr>
          <w:spacing w:val="6"/>
          <w:sz w:val="26"/>
          <w:szCs w:val="24"/>
        </w:rPr>
        <w:t>supuesto de 2018, correspondientes a los importes de diciembre de gastos der</w:t>
      </w:r>
      <w:r w:rsidRPr="00B01865">
        <w:rPr>
          <w:spacing w:val="6"/>
          <w:sz w:val="26"/>
          <w:szCs w:val="24"/>
        </w:rPr>
        <w:t>i</w:t>
      </w:r>
      <w:r w:rsidRPr="00B01865">
        <w:rPr>
          <w:spacing w:val="6"/>
          <w:sz w:val="26"/>
          <w:szCs w:val="24"/>
        </w:rPr>
        <w:t>vados del concierto establecido para el suministro de prótesis y de servicios prestados por la Clínica Josefina Arregui.</w:t>
      </w:r>
    </w:p>
    <w:p w:rsidR="00D36628" w:rsidRDefault="00B01865" w:rsidP="00B01865">
      <w:pPr>
        <w:numPr>
          <w:ilvl w:val="0"/>
          <w:numId w:val="2"/>
        </w:numPr>
        <w:tabs>
          <w:tab w:val="clear" w:pos="1948"/>
          <w:tab w:val="num" w:pos="300"/>
          <w:tab w:val="num" w:pos="360"/>
          <w:tab w:val="left" w:pos="480"/>
          <w:tab w:val="num" w:pos="600"/>
          <w:tab w:val="num" w:pos="720"/>
          <w:tab w:val="num" w:pos="1320"/>
        </w:tabs>
        <w:spacing w:after="120"/>
        <w:ind w:left="0" w:firstLine="289"/>
        <w:rPr>
          <w:rFonts w:cs="Arial"/>
          <w:spacing w:val="6"/>
          <w:sz w:val="26"/>
          <w:szCs w:val="24"/>
        </w:rPr>
      </w:pPr>
      <w:r w:rsidRPr="00B01865">
        <w:rPr>
          <w:rFonts w:cs="Arial"/>
          <w:spacing w:val="6"/>
          <w:sz w:val="26"/>
          <w:szCs w:val="24"/>
        </w:rPr>
        <w:t>El gasto de los cánones</w:t>
      </w:r>
      <w:r w:rsidR="00ED0606">
        <w:rPr>
          <w:rFonts w:cs="Arial"/>
          <w:spacing w:val="6"/>
          <w:sz w:val="26"/>
          <w:szCs w:val="24"/>
        </w:rPr>
        <w:t xml:space="preserve"> (peajes en sombra)</w:t>
      </w:r>
      <w:r w:rsidRPr="00B01865">
        <w:rPr>
          <w:rFonts w:cs="Arial"/>
          <w:spacing w:val="6"/>
          <w:sz w:val="26"/>
          <w:szCs w:val="24"/>
        </w:rPr>
        <w:t xml:space="preserve"> en 2017 ascendió a 63,80 m</w:t>
      </w:r>
      <w:r w:rsidRPr="00B01865">
        <w:rPr>
          <w:rFonts w:cs="Arial"/>
          <w:spacing w:val="6"/>
          <w:sz w:val="26"/>
          <w:szCs w:val="24"/>
        </w:rPr>
        <w:t>i</w:t>
      </w:r>
      <w:r w:rsidRPr="00B01865">
        <w:rPr>
          <w:rFonts w:cs="Arial"/>
          <w:spacing w:val="6"/>
          <w:sz w:val="26"/>
          <w:szCs w:val="24"/>
        </w:rPr>
        <w:t>llones según el</w:t>
      </w:r>
      <w:r w:rsidR="007C50A4">
        <w:rPr>
          <w:rFonts w:cs="Arial"/>
          <w:spacing w:val="6"/>
          <w:sz w:val="26"/>
          <w:szCs w:val="24"/>
        </w:rPr>
        <w:t xml:space="preserve"> siguiente</w:t>
      </w:r>
      <w:r w:rsidRPr="00B01865">
        <w:rPr>
          <w:rFonts w:cs="Arial"/>
          <w:spacing w:val="6"/>
          <w:sz w:val="26"/>
          <w:szCs w:val="24"/>
        </w:rPr>
        <w:t xml:space="preserve"> </w:t>
      </w:r>
      <w:r w:rsidR="00D36628">
        <w:rPr>
          <w:rFonts w:cs="Arial"/>
          <w:spacing w:val="6"/>
          <w:sz w:val="26"/>
          <w:szCs w:val="24"/>
        </w:rPr>
        <w:t>desglose</w:t>
      </w:r>
      <w:r w:rsidR="007C50A4">
        <w:rPr>
          <w:rFonts w:cs="Arial"/>
          <w:spacing w:val="6"/>
          <w:sz w:val="26"/>
          <w:szCs w:val="24"/>
        </w:rPr>
        <w:t>:</w:t>
      </w:r>
    </w:p>
    <w:tbl>
      <w:tblPr>
        <w:tblW w:w="8835" w:type="dxa"/>
        <w:jc w:val="center"/>
        <w:tblCellMar>
          <w:left w:w="70" w:type="dxa"/>
          <w:right w:w="70" w:type="dxa"/>
        </w:tblCellMar>
        <w:tblLook w:val="0000" w:firstRow="0" w:lastRow="0" w:firstColumn="0" w:lastColumn="0" w:noHBand="0" w:noVBand="0"/>
      </w:tblPr>
      <w:tblGrid>
        <w:gridCol w:w="4060"/>
        <w:gridCol w:w="1591"/>
        <w:gridCol w:w="1592"/>
        <w:gridCol w:w="1592"/>
      </w:tblGrid>
      <w:tr w:rsidR="00B01865" w:rsidRPr="00B01865" w:rsidTr="00F62384">
        <w:trPr>
          <w:trHeight w:val="255"/>
          <w:jc w:val="center"/>
        </w:trPr>
        <w:tc>
          <w:tcPr>
            <w:tcW w:w="8835" w:type="dxa"/>
            <w:gridSpan w:val="4"/>
            <w:tcBorders>
              <w:bottom w:val="single" w:sz="4" w:space="0" w:color="auto"/>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B01865">
              <w:rPr>
                <w:rFonts w:ascii="Arial" w:hAnsi="Arial" w:cs="Arial"/>
                <w:spacing w:val="6"/>
                <w:sz w:val="17"/>
                <w:szCs w:val="17"/>
              </w:rPr>
              <w:t>(en miles de euros)</w:t>
            </w:r>
          </w:p>
        </w:tc>
      </w:tr>
      <w:tr w:rsidR="00B01865" w:rsidRPr="00B01865" w:rsidTr="00F62384">
        <w:trPr>
          <w:trHeight w:val="255"/>
          <w:jc w:val="center"/>
        </w:trPr>
        <w:tc>
          <w:tcPr>
            <w:tcW w:w="406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Canon</w:t>
            </w:r>
          </w:p>
        </w:tc>
        <w:tc>
          <w:tcPr>
            <w:tcW w:w="1591"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2016</w:t>
            </w:r>
          </w:p>
        </w:tc>
        <w:tc>
          <w:tcPr>
            <w:tcW w:w="1592"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2017</w:t>
            </w:r>
          </w:p>
        </w:tc>
        <w:tc>
          <w:tcPr>
            <w:tcW w:w="1592"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 xml:space="preserve">% variación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2017/2016</w:t>
            </w:r>
          </w:p>
        </w:tc>
      </w:tr>
      <w:tr w:rsidR="00B01865" w:rsidRPr="00B01865" w:rsidTr="00F62384">
        <w:trPr>
          <w:trHeight w:val="198"/>
          <w:jc w:val="center"/>
        </w:trPr>
        <w:tc>
          <w:tcPr>
            <w:tcW w:w="4060" w:type="dxa"/>
            <w:tcBorders>
              <w:top w:val="single" w:sz="4" w:space="0" w:color="auto"/>
              <w:bottom w:val="single" w:sz="2" w:space="0" w:color="auto"/>
            </w:tcBorders>
            <w:shd w:val="clear" w:color="auto" w:fill="auto"/>
            <w:vAlign w:val="center"/>
          </w:tcPr>
          <w:p w:rsidR="00B01865" w:rsidRPr="00B01865" w:rsidRDefault="00B01865" w:rsidP="00B01865">
            <w:pPr>
              <w:spacing w:after="0"/>
              <w:ind w:firstLine="0"/>
              <w:jc w:val="left"/>
              <w:rPr>
                <w:rFonts w:ascii="Arial Narrow" w:hAnsi="Arial Narrow" w:cs="Arial"/>
                <w:lang w:eastAsia="es-ES"/>
              </w:rPr>
            </w:pPr>
            <w:r w:rsidRPr="00B01865">
              <w:rPr>
                <w:rFonts w:ascii="Arial Narrow" w:hAnsi="Arial Narrow" w:cs="Arial"/>
                <w:lang w:eastAsia="es-ES"/>
              </w:rPr>
              <w:t>Autovía del Camino</w:t>
            </w:r>
          </w:p>
        </w:tc>
        <w:tc>
          <w:tcPr>
            <w:tcW w:w="1591" w:type="dxa"/>
            <w:tcBorders>
              <w:top w:val="single" w:sz="4"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43.741</w:t>
            </w:r>
          </w:p>
        </w:tc>
        <w:tc>
          <w:tcPr>
            <w:tcW w:w="1592"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46.195</w:t>
            </w:r>
          </w:p>
        </w:tc>
        <w:tc>
          <w:tcPr>
            <w:tcW w:w="1592"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6</w:t>
            </w:r>
          </w:p>
        </w:tc>
      </w:tr>
      <w:tr w:rsidR="00B01865" w:rsidRPr="00B01865" w:rsidTr="00F62384">
        <w:trPr>
          <w:trHeight w:val="198"/>
          <w:jc w:val="center"/>
        </w:trPr>
        <w:tc>
          <w:tcPr>
            <w:tcW w:w="4060" w:type="dxa"/>
            <w:tcBorders>
              <w:top w:val="single" w:sz="2" w:space="0" w:color="auto"/>
              <w:bottom w:val="single" w:sz="2" w:space="0" w:color="auto"/>
            </w:tcBorders>
            <w:shd w:val="clear" w:color="auto" w:fill="auto"/>
            <w:vAlign w:val="center"/>
          </w:tcPr>
          <w:p w:rsidR="00B01865" w:rsidRPr="00B01865" w:rsidRDefault="00B01865" w:rsidP="00B01865">
            <w:pPr>
              <w:spacing w:after="0"/>
              <w:ind w:firstLine="0"/>
              <w:jc w:val="left"/>
              <w:rPr>
                <w:rFonts w:ascii="Arial Narrow" w:hAnsi="Arial Narrow" w:cs="Arial"/>
                <w:lang w:eastAsia="es-ES"/>
              </w:rPr>
            </w:pPr>
            <w:r w:rsidRPr="00B01865">
              <w:rPr>
                <w:rFonts w:ascii="Arial Narrow" w:hAnsi="Arial Narrow" w:cs="Arial"/>
                <w:lang w:eastAsia="es-ES"/>
              </w:rPr>
              <w:t>Autovía Pirineos</w:t>
            </w:r>
          </w:p>
        </w:tc>
        <w:tc>
          <w:tcPr>
            <w:tcW w:w="1591" w:type="dxa"/>
            <w:tcBorders>
              <w:top w:val="single" w:sz="2"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16.380</w:t>
            </w:r>
          </w:p>
        </w:tc>
        <w:tc>
          <w:tcPr>
            <w:tcW w:w="1592"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17.597</w:t>
            </w:r>
          </w:p>
        </w:tc>
        <w:tc>
          <w:tcPr>
            <w:tcW w:w="1592"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7</w:t>
            </w:r>
          </w:p>
        </w:tc>
      </w:tr>
      <w:tr w:rsidR="00B01865" w:rsidRPr="00B01865" w:rsidTr="00F62384">
        <w:trPr>
          <w:trHeight w:val="198"/>
          <w:jc w:val="center"/>
        </w:trPr>
        <w:tc>
          <w:tcPr>
            <w:tcW w:w="4060" w:type="dxa"/>
            <w:tcBorders>
              <w:top w:val="single" w:sz="2" w:space="0" w:color="auto"/>
              <w:bottom w:val="single" w:sz="4" w:space="0" w:color="auto"/>
            </w:tcBorders>
            <w:shd w:val="clear" w:color="auto" w:fill="auto"/>
            <w:vAlign w:val="center"/>
          </w:tcPr>
          <w:p w:rsidR="00B01865" w:rsidRPr="00B01865" w:rsidRDefault="00B01865" w:rsidP="00B01865">
            <w:pPr>
              <w:spacing w:after="0"/>
              <w:ind w:firstLine="0"/>
              <w:jc w:val="left"/>
              <w:rPr>
                <w:rFonts w:ascii="Arial Narrow" w:hAnsi="Arial Narrow" w:cs="Arial"/>
                <w:lang w:eastAsia="es-ES"/>
              </w:rPr>
            </w:pPr>
            <w:r w:rsidRPr="00B01865">
              <w:rPr>
                <w:rFonts w:ascii="Arial Narrow" w:hAnsi="Arial Narrow" w:cs="Arial"/>
                <w:lang w:eastAsia="es-ES"/>
              </w:rPr>
              <w:t>Cuotas asociaciones técnicas de carácter informático</w:t>
            </w:r>
          </w:p>
        </w:tc>
        <w:tc>
          <w:tcPr>
            <w:tcW w:w="1591" w:type="dxa"/>
            <w:tcBorders>
              <w:top w:val="single" w:sz="2" w:space="0" w:color="auto"/>
              <w:bottom w:val="single" w:sz="4"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w:t>
            </w:r>
          </w:p>
        </w:tc>
        <w:tc>
          <w:tcPr>
            <w:tcW w:w="1592"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w:t>
            </w:r>
          </w:p>
        </w:tc>
        <w:tc>
          <w:tcPr>
            <w:tcW w:w="1592"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w:t>
            </w:r>
          </w:p>
        </w:tc>
      </w:tr>
      <w:tr w:rsidR="00B01865" w:rsidRPr="00B01865" w:rsidTr="00F62384">
        <w:trPr>
          <w:trHeight w:val="255"/>
          <w:jc w:val="center"/>
        </w:trPr>
        <w:tc>
          <w:tcPr>
            <w:tcW w:w="406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rPr>
                <w:rFonts w:ascii="Arial" w:hAnsi="Arial"/>
                <w:spacing w:val="6"/>
                <w:sz w:val="18"/>
                <w:szCs w:val="18"/>
                <w:lang w:val="es-ES" w:eastAsia="es-ES"/>
              </w:rPr>
            </w:pPr>
            <w:r w:rsidRPr="00B01865">
              <w:rPr>
                <w:rFonts w:ascii="Arial" w:hAnsi="Arial"/>
                <w:spacing w:val="6"/>
                <w:sz w:val="18"/>
                <w:szCs w:val="18"/>
                <w:lang w:val="es-ES" w:eastAsia="es-ES"/>
              </w:rPr>
              <w:t xml:space="preserve">Total </w:t>
            </w:r>
          </w:p>
        </w:tc>
        <w:tc>
          <w:tcPr>
            <w:tcW w:w="1591"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lang w:val="es-ES" w:eastAsia="es-ES"/>
              </w:rPr>
            </w:pPr>
            <w:r w:rsidRPr="00B01865">
              <w:rPr>
                <w:rFonts w:ascii="Arial" w:hAnsi="Arial"/>
                <w:spacing w:val="6"/>
                <w:sz w:val="18"/>
                <w:szCs w:val="18"/>
                <w:lang w:val="es-ES" w:eastAsia="es-ES"/>
              </w:rPr>
              <w:t>60.124</w:t>
            </w:r>
          </w:p>
        </w:tc>
        <w:tc>
          <w:tcPr>
            <w:tcW w:w="1592"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lang w:val="es-ES" w:eastAsia="es-ES"/>
              </w:rPr>
            </w:pPr>
            <w:r w:rsidRPr="00B01865">
              <w:rPr>
                <w:rFonts w:ascii="Arial" w:hAnsi="Arial"/>
                <w:spacing w:val="6"/>
                <w:sz w:val="18"/>
                <w:szCs w:val="18"/>
                <w:lang w:val="es-ES" w:eastAsia="es-ES"/>
              </w:rPr>
              <w:t>63.795</w:t>
            </w:r>
          </w:p>
        </w:tc>
        <w:tc>
          <w:tcPr>
            <w:tcW w:w="1592"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lang w:val="es-ES" w:eastAsia="es-ES"/>
              </w:rPr>
            </w:pPr>
            <w:r w:rsidRPr="00B01865">
              <w:rPr>
                <w:rFonts w:ascii="Arial" w:hAnsi="Arial"/>
                <w:spacing w:val="6"/>
                <w:sz w:val="18"/>
                <w:szCs w:val="18"/>
                <w:lang w:val="es-ES" w:eastAsia="es-ES"/>
              </w:rPr>
              <w:t>6</w:t>
            </w:r>
          </w:p>
        </w:tc>
      </w:tr>
    </w:tbl>
    <w:p w:rsidR="00B01865" w:rsidRPr="00B01865" w:rsidRDefault="00B01865" w:rsidP="00597CCA">
      <w:pPr>
        <w:pStyle w:val="texto"/>
        <w:spacing w:before="240"/>
        <w:rPr>
          <w:lang w:val="es-ES"/>
        </w:rPr>
      </w:pPr>
      <w:r w:rsidRPr="00B01865">
        <w:rPr>
          <w:lang w:val="es-ES"/>
        </w:rPr>
        <w:t xml:space="preserve">Analizada la documentación soporte de los gastos anteriores observamos que las partidas relativas a las autovías reflejan la facturación de 11 meses (enero a noviembre) junto a la de diciembre del año anterior, y la liquidación de dicho ejercicio. Así, </w:t>
      </w:r>
      <w:r w:rsidR="008D6FA6">
        <w:rPr>
          <w:lang w:val="es-ES"/>
        </w:rPr>
        <w:t>el gasto de</w:t>
      </w:r>
      <w:r w:rsidRPr="00B01865">
        <w:rPr>
          <w:lang w:val="es-ES"/>
        </w:rPr>
        <w:t xml:space="preserve"> 2016 imputado a 2017 ascendió a 4,85 millones, y el de 2017 registrado en el presupuesto de 2018 fue de 5,09. </w:t>
      </w:r>
    </w:p>
    <w:p w:rsidR="00B01865" w:rsidRPr="00B01865" w:rsidRDefault="00B01865" w:rsidP="00F62384">
      <w:pPr>
        <w:pStyle w:val="texto"/>
        <w:rPr>
          <w:lang w:val="es-ES"/>
        </w:rPr>
      </w:pPr>
      <w:r w:rsidRPr="00B01865">
        <w:rPr>
          <w:lang w:val="es-ES"/>
        </w:rPr>
        <w:t>Destacamos</w:t>
      </w:r>
      <w:r w:rsidR="00904024">
        <w:rPr>
          <w:lang w:val="es-ES"/>
        </w:rPr>
        <w:t>,</w:t>
      </w:r>
      <w:r w:rsidRPr="00B01865">
        <w:rPr>
          <w:lang w:val="es-ES"/>
        </w:rPr>
        <w:t xml:space="preserve"> además, que el gasto correspondiente a la autovía del Pirineo, contiene 0,41 millones de euros derivados de la ejecución de la sentencia del Tribunal Supremo de marzo de 2017, por la cual se aceptaba la tesis de la co</w:t>
      </w:r>
      <w:r w:rsidRPr="00B01865">
        <w:rPr>
          <w:lang w:val="es-ES"/>
        </w:rPr>
        <w:t>n</w:t>
      </w:r>
      <w:r w:rsidRPr="00B01865">
        <w:rPr>
          <w:lang w:val="es-ES"/>
        </w:rPr>
        <w:t>cesionaria de que la ACFN debía pagar por los kilómetros por los que se licitó la concesión y no por los efectivamente ejecutados (supone una diferencia de 676 metros que no se llegaron a construir).</w:t>
      </w:r>
    </w:p>
    <w:p w:rsidR="00BC745B" w:rsidRDefault="00BC745B">
      <w:pPr>
        <w:spacing w:after="0"/>
        <w:ind w:firstLine="0"/>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br w:type="page"/>
      </w:r>
    </w:p>
    <w:p w:rsidR="00B01865" w:rsidRPr="00B01865" w:rsidRDefault="00B01865" w:rsidP="00B01865">
      <w:pPr>
        <w:spacing w:before="120" w:after="20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lastRenderedPageBreak/>
        <w:t xml:space="preserve">Revisión muestra </w:t>
      </w:r>
      <w:r w:rsidR="008D6FA6">
        <w:rPr>
          <w:rFonts w:ascii="Arial" w:hAnsi="Arial"/>
          <w:i/>
          <w:iCs/>
          <w:color w:val="000000"/>
          <w:spacing w:val="10"/>
          <w:kern w:val="28"/>
          <w:sz w:val="25"/>
          <w:szCs w:val="26"/>
          <w:lang w:val="es-ES"/>
        </w:rPr>
        <w:t xml:space="preserve">expedientes </w:t>
      </w:r>
      <w:r w:rsidRPr="00B01865">
        <w:rPr>
          <w:rFonts w:ascii="Arial" w:hAnsi="Arial"/>
          <w:i/>
          <w:iCs/>
          <w:color w:val="000000"/>
          <w:spacing w:val="10"/>
          <w:kern w:val="28"/>
          <w:sz w:val="25"/>
          <w:szCs w:val="26"/>
          <w:lang w:val="es-ES"/>
        </w:rPr>
        <w:t>contratación</w:t>
      </w:r>
    </w:p>
    <w:p w:rsidR="00B01865" w:rsidRPr="00B01865" w:rsidRDefault="00B01865" w:rsidP="00F62384">
      <w:pPr>
        <w:pStyle w:val="texto"/>
        <w:spacing w:after="240"/>
        <w:rPr>
          <w:lang w:val="es-ES"/>
        </w:rPr>
      </w:pPr>
      <w:r w:rsidRPr="00B01865">
        <w:rPr>
          <w:lang w:val="es-ES"/>
        </w:rPr>
        <w:t xml:space="preserve">Hemos fiscalizado los siguientes </w:t>
      </w:r>
      <w:r w:rsidR="008D6FA6">
        <w:rPr>
          <w:lang w:val="es-ES"/>
        </w:rPr>
        <w:t>expedientes</w:t>
      </w:r>
      <w:r w:rsidRPr="00B01865">
        <w:rPr>
          <w:lang w:val="es-ES"/>
        </w:rPr>
        <w:t xml:space="preserve"> de contratación tramitados por el Gobierno de Navarra, GAN e INTIA:</w:t>
      </w:r>
    </w:p>
    <w:tbl>
      <w:tblPr>
        <w:tblW w:w="10686" w:type="dxa"/>
        <w:jc w:val="center"/>
        <w:tblBorders>
          <w:top w:val="single" w:sz="4" w:space="0" w:color="auto"/>
          <w:bottom w:val="single" w:sz="4" w:space="0" w:color="auto"/>
        </w:tblBorders>
        <w:tblLayout w:type="fixed"/>
        <w:tblLook w:val="01E0" w:firstRow="1" w:lastRow="1" w:firstColumn="1" w:lastColumn="1" w:noHBand="0" w:noVBand="0"/>
      </w:tblPr>
      <w:tblGrid>
        <w:gridCol w:w="3052"/>
        <w:gridCol w:w="986"/>
        <w:gridCol w:w="1879"/>
        <w:gridCol w:w="1266"/>
        <w:gridCol w:w="992"/>
        <w:gridCol w:w="1255"/>
        <w:gridCol w:w="1256"/>
      </w:tblGrid>
      <w:tr w:rsidR="00B01865" w:rsidRPr="00B01865" w:rsidTr="00B01865">
        <w:trPr>
          <w:trHeight w:val="255"/>
          <w:jc w:val="center"/>
        </w:trPr>
        <w:tc>
          <w:tcPr>
            <w:tcW w:w="3052"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B01865">
              <w:rPr>
                <w:rFonts w:ascii="Arial" w:hAnsi="Arial"/>
                <w:spacing w:val="6"/>
                <w:sz w:val="18"/>
                <w:szCs w:val="18"/>
              </w:rPr>
              <w:t>Objeto</w:t>
            </w:r>
          </w:p>
        </w:tc>
        <w:tc>
          <w:tcPr>
            <w:tcW w:w="986"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F62384">
            <w:pPr>
              <w:keepLines/>
              <w:tabs>
                <w:tab w:val="right" w:pos="2835"/>
                <w:tab w:val="right" w:pos="3969"/>
                <w:tab w:val="right" w:pos="5103"/>
                <w:tab w:val="right" w:pos="6237"/>
                <w:tab w:val="right" w:pos="7371"/>
              </w:tabs>
              <w:spacing w:after="0"/>
              <w:ind w:left="-242" w:right="-66" w:firstLine="0"/>
              <w:jc w:val="right"/>
              <w:rPr>
                <w:rFonts w:ascii="Arial" w:hAnsi="Arial"/>
                <w:spacing w:val="6"/>
                <w:sz w:val="18"/>
                <w:szCs w:val="18"/>
              </w:rPr>
            </w:pPr>
            <w:r w:rsidRPr="00B01865">
              <w:rPr>
                <w:rFonts w:ascii="Arial" w:hAnsi="Arial"/>
                <w:spacing w:val="6"/>
                <w:sz w:val="18"/>
                <w:szCs w:val="18"/>
              </w:rPr>
              <w:t>Tipo</w:t>
            </w:r>
          </w:p>
        </w:tc>
        <w:tc>
          <w:tcPr>
            <w:tcW w:w="1879"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144" w:right="-66" w:firstLine="0"/>
              <w:jc w:val="right"/>
              <w:rPr>
                <w:rFonts w:ascii="Arial" w:hAnsi="Arial"/>
                <w:spacing w:val="6"/>
                <w:sz w:val="18"/>
                <w:szCs w:val="18"/>
              </w:rPr>
            </w:pPr>
            <w:r w:rsidRPr="00B01865">
              <w:rPr>
                <w:rFonts w:ascii="Arial" w:hAnsi="Arial"/>
                <w:spacing w:val="6"/>
                <w:sz w:val="18"/>
                <w:szCs w:val="18"/>
              </w:rPr>
              <w:t>Procedimiento</w:t>
            </w:r>
          </w:p>
        </w:tc>
        <w:tc>
          <w:tcPr>
            <w:tcW w:w="1266"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B01865">
              <w:rPr>
                <w:rFonts w:ascii="Arial" w:hAnsi="Arial"/>
                <w:spacing w:val="6"/>
                <w:sz w:val="18"/>
                <w:szCs w:val="18"/>
              </w:rPr>
              <w:t xml:space="preserve">Criterio </w:t>
            </w:r>
          </w:p>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B01865">
              <w:rPr>
                <w:rFonts w:ascii="Arial" w:hAnsi="Arial"/>
                <w:spacing w:val="6"/>
                <w:sz w:val="18"/>
                <w:szCs w:val="18"/>
              </w:rPr>
              <w:t>adjudicación</w:t>
            </w:r>
          </w:p>
        </w:tc>
        <w:tc>
          <w:tcPr>
            <w:tcW w:w="992" w:type="dxa"/>
            <w:tcBorders>
              <w:top w:val="single" w:sz="4" w:space="0" w:color="auto"/>
              <w:bottom w:val="single" w:sz="4" w:space="0" w:color="auto"/>
            </w:tcBorders>
            <w:shd w:val="clear" w:color="auto" w:fill="8DB3E2" w:themeFill="text2" w:themeFillTint="66"/>
          </w:tcPr>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B01865">
              <w:rPr>
                <w:rFonts w:ascii="Arial" w:hAnsi="Arial"/>
                <w:spacing w:val="6"/>
                <w:sz w:val="18"/>
                <w:szCs w:val="18"/>
              </w:rPr>
              <w:t xml:space="preserve">Nº </w:t>
            </w:r>
          </w:p>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B01865">
              <w:rPr>
                <w:rFonts w:ascii="Arial" w:hAnsi="Arial"/>
                <w:spacing w:val="6"/>
                <w:sz w:val="18"/>
                <w:szCs w:val="18"/>
              </w:rPr>
              <w:t>licitadores</w:t>
            </w:r>
          </w:p>
        </w:tc>
        <w:tc>
          <w:tcPr>
            <w:tcW w:w="1255"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B01865">
              <w:rPr>
                <w:rFonts w:ascii="Arial" w:hAnsi="Arial"/>
                <w:spacing w:val="6"/>
                <w:sz w:val="18"/>
                <w:szCs w:val="18"/>
              </w:rPr>
              <w:t xml:space="preserve">Importe </w:t>
            </w:r>
          </w:p>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B01865">
              <w:rPr>
                <w:rFonts w:ascii="Arial" w:hAnsi="Arial"/>
                <w:spacing w:val="6"/>
                <w:sz w:val="18"/>
                <w:szCs w:val="18"/>
              </w:rPr>
              <w:t xml:space="preserve">adjudicación </w:t>
            </w:r>
          </w:p>
        </w:tc>
        <w:tc>
          <w:tcPr>
            <w:tcW w:w="1256"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B01865">
              <w:rPr>
                <w:rFonts w:ascii="Arial" w:hAnsi="Arial"/>
                <w:spacing w:val="6"/>
                <w:sz w:val="18"/>
                <w:szCs w:val="18"/>
              </w:rPr>
              <w:t>% baja</w:t>
            </w:r>
          </w:p>
          <w:p w:rsidR="00B01865" w:rsidRPr="00B01865" w:rsidRDefault="00B01865" w:rsidP="00B01865">
            <w:pPr>
              <w:keepLines/>
              <w:tabs>
                <w:tab w:val="right" w:pos="2835"/>
                <w:tab w:val="right" w:pos="3969"/>
                <w:tab w:val="right" w:pos="5103"/>
                <w:tab w:val="right" w:pos="6237"/>
                <w:tab w:val="right" w:pos="7371"/>
              </w:tabs>
              <w:spacing w:after="0"/>
              <w:ind w:left="-144" w:right="-57" w:firstLine="0"/>
              <w:jc w:val="right"/>
              <w:rPr>
                <w:rFonts w:ascii="Arial" w:hAnsi="Arial"/>
                <w:spacing w:val="6"/>
                <w:sz w:val="18"/>
                <w:szCs w:val="18"/>
              </w:rPr>
            </w:pPr>
            <w:r w:rsidRPr="00B01865">
              <w:rPr>
                <w:rFonts w:ascii="Arial" w:hAnsi="Arial"/>
                <w:spacing w:val="6"/>
                <w:sz w:val="18"/>
                <w:szCs w:val="18"/>
              </w:rPr>
              <w:t xml:space="preserve"> adjudicación </w:t>
            </w:r>
          </w:p>
        </w:tc>
      </w:tr>
      <w:tr w:rsidR="00B01865" w:rsidRPr="00F62384" w:rsidTr="00B01865">
        <w:trPr>
          <w:trHeight w:val="606"/>
          <w:jc w:val="center"/>
        </w:trPr>
        <w:tc>
          <w:tcPr>
            <w:tcW w:w="3052" w:type="dxa"/>
            <w:tcBorders>
              <w:top w:val="single" w:sz="4" w:space="0" w:color="auto"/>
              <w:bottom w:val="single" w:sz="2" w:space="0" w:color="auto"/>
            </w:tcBorders>
            <w:vAlign w:val="center"/>
          </w:tcPr>
          <w:p w:rsidR="00B01865" w:rsidRPr="00F62384" w:rsidRDefault="00B01865" w:rsidP="00F62384">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62384">
              <w:rPr>
                <w:rFonts w:ascii="Arial Narrow" w:hAnsi="Arial Narrow"/>
                <w:spacing w:val="6"/>
              </w:rPr>
              <w:t xml:space="preserve">Asistencia técnica para la gestión del uso público y mantenimiento del Parque Señorío de </w:t>
            </w:r>
            <w:proofErr w:type="spellStart"/>
            <w:r w:rsidRPr="00F62384">
              <w:rPr>
                <w:rFonts w:ascii="Arial Narrow" w:hAnsi="Arial Narrow"/>
                <w:spacing w:val="6"/>
              </w:rPr>
              <w:t>B</w:t>
            </w:r>
            <w:r w:rsidR="00F62384" w:rsidRPr="00F62384">
              <w:rPr>
                <w:rFonts w:ascii="Arial Narrow" w:hAnsi="Arial Narrow"/>
                <w:spacing w:val="6"/>
              </w:rPr>
              <w:t>e</w:t>
            </w:r>
            <w:r w:rsidRPr="00F62384">
              <w:rPr>
                <w:rFonts w:ascii="Arial Narrow" w:hAnsi="Arial Narrow"/>
                <w:spacing w:val="6"/>
              </w:rPr>
              <w:t>rtiz</w:t>
            </w:r>
            <w:proofErr w:type="spellEnd"/>
            <w:r w:rsidRPr="00F62384">
              <w:rPr>
                <w:rFonts w:ascii="Arial Narrow" w:hAnsi="Arial Narrow"/>
                <w:spacing w:val="6"/>
              </w:rPr>
              <w:t xml:space="preserve"> 2018</w:t>
            </w:r>
          </w:p>
        </w:tc>
        <w:tc>
          <w:tcPr>
            <w:tcW w:w="986" w:type="dxa"/>
            <w:tcBorders>
              <w:top w:val="single" w:sz="4" w:space="0" w:color="auto"/>
              <w:bottom w:val="single" w:sz="2" w:space="0" w:color="auto"/>
            </w:tcBorders>
            <w:vAlign w:val="center"/>
          </w:tcPr>
          <w:p w:rsidR="00B01865" w:rsidRPr="00F62384" w:rsidRDefault="00B01865" w:rsidP="00F62384">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sidRPr="00F62384">
              <w:rPr>
                <w:rFonts w:ascii="Arial Narrow" w:hAnsi="Arial Narrow"/>
                <w:spacing w:val="6"/>
              </w:rPr>
              <w:t>Asistencia</w:t>
            </w:r>
          </w:p>
        </w:tc>
        <w:tc>
          <w:tcPr>
            <w:tcW w:w="1879" w:type="dxa"/>
            <w:tcBorders>
              <w:top w:val="single" w:sz="4"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sidRPr="00F62384">
              <w:rPr>
                <w:rFonts w:ascii="Arial Narrow" w:hAnsi="Arial Narrow"/>
                <w:spacing w:val="6"/>
              </w:rPr>
              <w:t>Abierto sin publicidad comunitaria</w:t>
            </w:r>
          </w:p>
        </w:tc>
        <w:tc>
          <w:tcPr>
            <w:tcW w:w="1266" w:type="dxa"/>
            <w:tcBorders>
              <w:top w:val="single" w:sz="4"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Oferta más ventajosa</w:t>
            </w:r>
          </w:p>
        </w:tc>
        <w:tc>
          <w:tcPr>
            <w:tcW w:w="992" w:type="dxa"/>
            <w:tcBorders>
              <w:top w:val="single" w:sz="4"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1</w:t>
            </w:r>
          </w:p>
        </w:tc>
        <w:tc>
          <w:tcPr>
            <w:tcW w:w="1255" w:type="dxa"/>
            <w:tcBorders>
              <w:top w:val="single" w:sz="4"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155.537</w:t>
            </w:r>
          </w:p>
        </w:tc>
        <w:tc>
          <w:tcPr>
            <w:tcW w:w="1256" w:type="dxa"/>
            <w:tcBorders>
              <w:top w:val="single" w:sz="4"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0</w:t>
            </w:r>
          </w:p>
        </w:tc>
      </w:tr>
      <w:tr w:rsidR="00B01865" w:rsidRPr="00F62384" w:rsidTr="00B01865">
        <w:trPr>
          <w:trHeight w:val="198"/>
          <w:jc w:val="center"/>
        </w:trPr>
        <w:tc>
          <w:tcPr>
            <w:tcW w:w="3052" w:type="dxa"/>
            <w:tcBorders>
              <w:top w:val="single" w:sz="2" w:space="0" w:color="auto"/>
              <w:bottom w:val="single" w:sz="2" w:space="0" w:color="auto"/>
            </w:tcBorders>
            <w:vAlign w:val="center"/>
          </w:tcPr>
          <w:p w:rsidR="00B01865" w:rsidRPr="00F62384" w:rsidRDefault="00B01865" w:rsidP="00F62384">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62384">
              <w:rPr>
                <w:rFonts w:ascii="Arial Narrow" w:hAnsi="Arial Narrow"/>
                <w:spacing w:val="6"/>
              </w:rPr>
              <w:t xml:space="preserve">Uso público Parque Señorío de </w:t>
            </w:r>
            <w:proofErr w:type="spellStart"/>
            <w:r w:rsidRPr="00F62384">
              <w:rPr>
                <w:rFonts w:ascii="Arial Narrow" w:hAnsi="Arial Narrow"/>
                <w:spacing w:val="6"/>
              </w:rPr>
              <w:t>B</w:t>
            </w:r>
            <w:r w:rsidR="00F62384" w:rsidRPr="00F62384">
              <w:rPr>
                <w:rFonts w:ascii="Arial Narrow" w:hAnsi="Arial Narrow"/>
                <w:spacing w:val="6"/>
              </w:rPr>
              <w:t>e</w:t>
            </w:r>
            <w:r w:rsidRPr="00F62384">
              <w:rPr>
                <w:rFonts w:ascii="Arial Narrow" w:hAnsi="Arial Narrow"/>
                <w:spacing w:val="6"/>
              </w:rPr>
              <w:t>rtiz</w:t>
            </w:r>
            <w:proofErr w:type="spellEnd"/>
            <w:r w:rsidRPr="00F62384">
              <w:rPr>
                <w:rFonts w:ascii="Arial Narrow" w:hAnsi="Arial Narrow"/>
                <w:spacing w:val="6"/>
              </w:rPr>
              <w:t xml:space="preserve"> 2018</w:t>
            </w:r>
          </w:p>
        </w:tc>
        <w:tc>
          <w:tcPr>
            <w:tcW w:w="986" w:type="dxa"/>
            <w:tcBorders>
              <w:top w:val="single" w:sz="2" w:space="0" w:color="auto"/>
              <w:bottom w:val="single" w:sz="2" w:space="0" w:color="auto"/>
            </w:tcBorders>
            <w:vAlign w:val="center"/>
          </w:tcPr>
          <w:p w:rsidR="00B01865" w:rsidRPr="00F62384" w:rsidRDefault="00B01865" w:rsidP="00F62384">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sidRPr="00F62384">
              <w:rPr>
                <w:rFonts w:ascii="Arial Narrow" w:hAnsi="Arial Narrow"/>
                <w:spacing w:val="6"/>
              </w:rPr>
              <w:t>Asistencia</w:t>
            </w:r>
          </w:p>
        </w:tc>
        <w:tc>
          <w:tcPr>
            <w:tcW w:w="1879"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sidRPr="00F62384">
              <w:rPr>
                <w:rFonts w:ascii="Arial Narrow" w:hAnsi="Arial Narrow"/>
                <w:spacing w:val="6"/>
              </w:rPr>
              <w:t>Abierto sin publicidad comunitaria</w:t>
            </w:r>
          </w:p>
        </w:tc>
        <w:tc>
          <w:tcPr>
            <w:tcW w:w="1266"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Oferta más ventajosa</w:t>
            </w:r>
          </w:p>
        </w:tc>
        <w:tc>
          <w:tcPr>
            <w:tcW w:w="992"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1</w:t>
            </w:r>
          </w:p>
        </w:tc>
        <w:tc>
          <w:tcPr>
            <w:tcW w:w="1255"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169.850</w:t>
            </w:r>
          </w:p>
        </w:tc>
        <w:tc>
          <w:tcPr>
            <w:tcW w:w="1256"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0,09</w:t>
            </w:r>
          </w:p>
        </w:tc>
      </w:tr>
      <w:tr w:rsidR="00B01865" w:rsidRPr="00F62384" w:rsidTr="00B01865">
        <w:trPr>
          <w:trHeight w:val="198"/>
          <w:jc w:val="center"/>
        </w:trPr>
        <w:tc>
          <w:tcPr>
            <w:tcW w:w="3052"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62384">
              <w:rPr>
                <w:rFonts w:ascii="Arial Narrow" w:hAnsi="Arial Narrow"/>
                <w:spacing w:val="6"/>
              </w:rPr>
              <w:t>Stands institucionales Navarra f</w:t>
            </w:r>
            <w:r w:rsidRPr="00F62384">
              <w:rPr>
                <w:rFonts w:ascii="Arial Narrow" w:hAnsi="Arial Narrow"/>
                <w:spacing w:val="6"/>
              </w:rPr>
              <w:t>e</w:t>
            </w:r>
            <w:r w:rsidRPr="00F62384">
              <w:rPr>
                <w:rFonts w:ascii="Arial Narrow" w:hAnsi="Arial Narrow"/>
                <w:spacing w:val="6"/>
              </w:rPr>
              <w:t>rias agroalimentarias 2018-2019</w:t>
            </w:r>
          </w:p>
        </w:tc>
        <w:tc>
          <w:tcPr>
            <w:tcW w:w="986" w:type="dxa"/>
            <w:tcBorders>
              <w:top w:val="single" w:sz="2" w:space="0" w:color="auto"/>
              <w:bottom w:val="single" w:sz="2" w:space="0" w:color="auto"/>
            </w:tcBorders>
            <w:vAlign w:val="center"/>
          </w:tcPr>
          <w:p w:rsidR="00B01865" w:rsidRPr="00F62384" w:rsidRDefault="00B01865" w:rsidP="00F62384">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sidRPr="00F62384">
              <w:rPr>
                <w:rFonts w:ascii="Arial Narrow" w:hAnsi="Arial Narrow"/>
                <w:spacing w:val="6"/>
              </w:rPr>
              <w:t>Suministro</w:t>
            </w:r>
          </w:p>
        </w:tc>
        <w:tc>
          <w:tcPr>
            <w:tcW w:w="1879"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sidRPr="00F62384">
              <w:rPr>
                <w:rFonts w:ascii="Arial Narrow" w:hAnsi="Arial Narrow"/>
                <w:spacing w:val="6"/>
              </w:rPr>
              <w:t>Abierto publicidad comunitaria</w:t>
            </w:r>
          </w:p>
        </w:tc>
        <w:tc>
          <w:tcPr>
            <w:tcW w:w="1266"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Oferta más ventajosa</w:t>
            </w:r>
          </w:p>
        </w:tc>
        <w:tc>
          <w:tcPr>
            <w:tcW w:w="992"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1</w:t>
            </w:r>
          </w:p>
        </w:tc>
        <w:tc>
          <w:tcPr>
            <w:tcW w:w="1255"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357.884</w:t>
            </w:r>
          </w:p>
        </w:tc>
        <w:tc>
          <w:tcPr>
            <w:tcW w:w="1256"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4</w:t>
            </w:r>
          </w:p>
        </w:tc>
      </w:tr>
      <w:tr w:rsidR="00B01865" w:rsidRPr="00F62384" w:rsidTr="00B01865">
        <w:trPr>
          <w:trHeight w:val="198"/>
          <w:jc w:val="center"/>
        </w:trPr>
        <w:tc>
          <w:tcPr>
            <w:tcW w:w="3052"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62384">
              <w:rPr>
                <w:rFonts w:ascii="Arial Narrow" w:hAnsi="Arial Narrow"/>
                <w:spacing w:val="6"/>
              </w:rPr>
              <w:t xml:space="preserve">Acuerdo marco servicio orientación profesional </w:t>
            </w:r>
          </w:p>
        </w:tc>
        <w:tc>
          <w:tcPr>
            <w:tcW w:w="986" w:type="dxa"/>
            <w:tcBorders>
              <w:top w:val="single" w:sz="2" w:space="0" w:color="auto"/>
              <w:bottom w:val="single" w:sz="2" w:space="0" w:color="auto"/>
            </w:tcBorders>
            <w:vAlign w:val="center"/>
          </w:tcPr>
          <w:p w:rsidR="00B01865" w:rsidRPr="00F62384" w:rsidRDefault="00B01865" w:rsidP="00F62384">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sidRPr="00F62384">
              <w:rPr>
                <w:rFonts w:ascii="Arial Narrow" w:hAnsi="Arial Narrow"/>
                <w:spacing w:val="6"/>
              </w:rPr>
              <w:t>Asistencia</w:t>
            </w:r>
          </w:p>
        </w:tc>
        <w:tc>
          <w:tcPr>
            <w:tcW w:w="1879"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sidRPr="00F62384">
              <w:rPr>
                <w:rFonts w:ascii="Arial Narrow" w:hAnsi="Arial Narrow"/>
                <w:spacing w:val="6"/>
              </w:rPr>
              <w:t>Abierto publicidad comunitaria</w:t>
            </w:r>
          </w:p>
        </w:tc>
        <w:tc>
          <w:tcPr>
            <w:tcW w:w="1266"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Oferta más ventajosa</w:t>
            </w:r>
          </w:p>
        </w:tc>
        <w:tc>
          <w:tcPr>
            <w:tcW w:w="992"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15</w:t>
            </w:r>
          </w:p>
        </w:tc>
        <w:tc>
          <w:tcPr>
            <w:tcW w:w="1255"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w:t>
            </w:r>
          </w:p>
        </w:tc>
        <w:tc>
          <w:tcPr>
            <w:tcW w:w="1256"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w:t>
            </w:r>
          </w:p>
        </w:tc>
      </w:tr>
      <w:tr w:rsidR="00B01865" w:rsidRPr="00F62384" w:rsidTr="00B01865">
        <w:trPr>
          <w:trHeight w:val="1082"/>
          <w:jc w:val="center"/>
        </w:trPr>
        <w:tc>
          <w:tcPr>
            <w:tcW w:w="3052"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62384">
              <w:rPr>
                <w:rFonts w:ascii="Arial Narrow" w:hAnsi="Arial Narrow"/>
                <w:spacing w:val="6"/>
              </w:rPr>
              <w:t>Elaboración diagnóstico y realiz</w:t>
            </w:r>
            <w:r w:rsidRPr="00F62384">
              <w:rPr>
                <w:rFonts w:ascii="Arial Narrow" w:hAnsi="Arial Narrow"/>
                <w:spacing w:val="6"/>
              </w:rPr>
              <w:t>a</w:t>
            </w:r>
            <w:r w:rsidRPr="00F62384">
              <w:rPr>
                <w:rFonts w:ascii="Arial Narrow" w:hAnsi="Arial Narrow"/>
                <w:spacing w:val="6"/>
              </w:rPr>
              <w:t>ción del proceso participado y d</w:t>
            </w:r>
            <w:r w:rsidRPr="00F62384">
              <w:rPr>
                <w:rFonts w:ascii="Arial Narrow" w:hAnsi="Arial Narrow"/>
                <w:spacing w:val="6"/>
              </w:rPr>
              <w:t>o</w:t>
            </w:r>
            <w:r w:rsidRPr="00F62384">
              <w:rPr>
                <w:rFonts w:ascii="Arial Narrow" w:hAnsi="Arial Narrow"/>
                <w:spacing w:val="6"/>
              </w:rPr>
              <w:t>cumento de bases de un antepr</w:t>
            </w:r>
            <w:r w:rsidRPr="00F62384">
              <w:rPr>
                <w:rFonts w:ascii="Arial Narrow" w:hAnsi="Arial Narrow"/>
                <w:spacing w:val="6"/>
              </w:rPr>
              <w:t>o</w:t>
            </w:r>
            <w:r w:rsidRPr="00F62384">
              <w:rPr>
                <w:rFonts w:ascii="Arial Narrow" w:hAnsi="Arial Narrow"/>
                <w:spacing w:val="6"/>
              </w:rPr>
              <w:t>yecto de la Ley Foral de Igualdad entre hombres y mujeres en la ACFN</w:t>
            </w:r>
          </w:p>
        </w:tc>
        <w:tc>
          <w:tcPr>
            <w:tcW w:w="986" w:type="dxa"/>
            <w:tcBorders>
              <w:top w:val="single" w:sz="2" w:space="0" w:color="auto"/>
              <w:bottom w:val="single" w:sz="2" w:space="0" w:color="auto"/>
            </w:tcBorders>
            <w:vAlign w:val="center"/>
          </w:tcPr>
          <w:p w:rsidR="00B01865" w:rsidRPr="00F62384" w:rsidRDefault="00B01865" w:rsidP="00F62384">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sidRPr="00F62384">
              <w:rPr>
                <w:rFonts w:ascii="Arial Narrow" w:hAnsi="Arial Narrow"/>
                <w:spacing w:val="6"/>
              </w:rPr>
              <w:t>Asistencia</w:t>
            </w:r>
          </w:p>
        </w:tc>
        <w:tc>
          <w:tcPr>
            <w:tcW w:w="1879"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sidRPr="00F62384">
              <w:rPr>
                <w:rFonts w:ascii="Arial Narrow" w:hAnsi="Arial Narrow"/>
                <w:spacing w:val="6"/>
              </w:rPr>
              <w:t>Abierto sin publicidad comunitaria</w:t>
            </w:r>
          </w:p>
        </w:tc>
        <w:tc>
          <w:tcPr>
            <w:tcW w:w="1266"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Oferta más ventajosa</w:t>
            </w:r>
          </w:p>
        </w:tc>
        <w:tc>
          <w:tcPr>
            <w:tcW w:w="992"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3</w:t>
            </w:r>
          </w:p>
        </w:tc>
        <w:tc>
          <w:tcPr>
            <w:tcW w:w="1255"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52.304</w:t>
            </w:r>
          </w:p>
        </w:tc>
        <w:tc>
          <w:tcPr>
            <w:tcW w:w="1256"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20</w:t>
            </w:r>
          </w:p>
        </w:tc>
      </w:tr>
      <w:tr w:rsidR="00B01865" w:rsidRPr="00F62384" w:rsidTr="00734A6D">
        <w:trPr>
          <w:trHeight w:val="198"/>
          <w:jc w:val="center"/>
        </w:trPr>
        <w:tc>
          <w:tcPr>
            <w:tcW w:w="3052"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62384">
              <w:rPr>
                <w:rFonts w:ascii="Arial Narrow" w:hAnsi="Arial Narrow"/>
                <w:spacing w:val="6"/>
              </w:rPr>
              <w:t>Servicios energéticos con garantía de ahorros en la Residencia El Ve</w:t>
            </w:r>
            <w:r w:rsidRPr="00F62384">
              <w:rPr>
                <w:rFonts w:ascii="Arial Narrow" w:hAnsi="Arial Narrow"/>
                <w:spacing w:val="6"/>
              </w:rPr>
              <w:t>r</w:t>
            </w:r>
            <w:r w:rsidRPr="00F62384">
              <w:rPr>
                <w:rFonts w:ascii="Arial Narrow" w:hAnsi="Arial Narrow"/>
                <w:spacing w:val="6"/>
              </w:rPr>
              <w:t>gel</w:t>
            </w:r>
          </w:p>
        </w:tc>
        <w:tc>
          <w:tcPr>
            <w:tcW w:w="986" w:type="dxa"/>
            <w:tcBorders>
              <w:top w:val="single" w:sz="2" w:space="0" w:color="auto"/>
              <w:bottom w:val="single" w:sz="2" w:space="0" w:color="auto"/>
            </w:tcBorders>
            <w:vAlign w:val="center"/>
          </w:tcPr>
          <w:p w:rsidR="00B01865" w:rsidRPr="00F62384" w:rsidRDefault="00B01865" w:rsidP="00F62384">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sidRPr="00F62384">
              <w:rPr>
                <w:rFonts w:ascii="Arial Narrow" w:hAnsi="Arial Narrow"/>
                <w:spacing w:val="6"/>
              </w:rPr>
              <w:t>Suministro</w:t>
            </w:r>
          </w:p>
        </w:tc>
        <w:tc>
          <w:tcPr>
            <w:tcW w:w="1879"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sidRPr="00F62384">
              <w:rPr>
                <w:rFonts w:ascii="Arial Narrow" w:hAnsi="Arial Narrow"/>
                <w:spacing w:val="6"/>
              </w:rPr>
              <w:t>Abierto publicidad comunitaria</w:t>
            </w:r>
          </w:p>
        </w:tc>
        <w:tc>
          <w:tcPr>
            <w:tcW w:w="1266"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Oferta más ventajosa</w:t>
            </w:r>
          </w:p>
        </w:tc>
        <w:tc>
          <w:tcPr>
            <w:tcW w:w="992"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3</w:t>
            </w:r>
          </w:p>
        </w:tc>
        <w:tc>
          <w:tcPr>
            <w:tcW w:w="1255"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1.220.141</w:t>
            </w:r>
          </w:p>
        </w:tc>
        <w:tc>
          <w:tcPr>
            <w:tcW w:w="1256" w:type="dxa"/>
            <w:tcBorders>
              <w:top w:val="single" w:sz="2" w:space="0" w:color="auto"/>
              <w:bottom w:val="single" w:sz="2"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8</w:t>
            </w:r>
          </w:p>
        </w:tc>
      </w:tr>
      <w:tr w:rsidR="00B01865" w:rsidRPr="00F62384" w:rsidTr="00734A6D">
        <w:trPr>
          <w:trHeight w:val="733"/>
          <w:jc w:val="center"/>
        </w:trPr>
        <w:tc>
          <w:tcPr>
            <w:tcW w:w="3052" w:type="dxa"/>
            <w:tcBorders>
              <w:top w:val="single" w:sz="2" w:space="0" w:color="auto"/>
              <w:bottom w:val="single" w:sz="4"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F62384">
              <w:rPr>
                <w:rFonts w:ascii="Arial Narrow" w:hAnsi="Arial Narrow"/>
                <w:spacing w:val="6"/>
              </w:rPr>
              <w:t>Suministros centralizado gas nat</w:t>
            </w:r>
            <w:r w:rsidRPr="00F62384">
              <w:rPr>
                <w:rFonts w:ascii="Arial Narrow" w:hAnsi="Arial Narrow"/>
                <w:spacing w:val="6"/>
              </w:rPr>
              <w:t>u</w:t>
            </w:r>
            <w:r w:rsidRPr="00F62384">
              <w:rPr>
                <w:rFonts w:ascii="Arial Narrow" w:hAnsi="Arial Narrow"/>
                <w:spacing w:val="6"/>
              </w:rPr>
              <w:t>ral en centros SNS-O 1/1/2018-31/12/2018**</w:t>
            </w:r>
          </w:p>
        </w:tc>
        <w:tc>
          <w:tcPr>
            <w:tcW w:w="986" w:type="dxa"/>
            <w:tcBorders>
              <w:top w:val="single" w:sz="2" w:space="0" w:color="auto"/>
              <w:bottom w:val="single" w:sz="4" w:space="0" w:color="auto"/>
            </w:tcBorders>
            <w:vAlign w:val="center"/>
          </w:tcPr>
          <w:p w:rsidR="00B01865" w:rsidRPr="00F62384" w:rsidRDefault="00B01865" w:rsidP="00F62384">
            <w:pPr>
              <w:keepLines/>
              <w:tabs>
                <w:tab w:val="right" w:pos="2835"/>
                <w:tab w:val="right" w:pos="3969"/>
                <w:tab w:val="right" w:pos="5103"/>
                <w:tab w:val="right" w:pos="6237"/>
                <w:tab w:val="right" w:pos="7371"/>
              </w:tabs>
              <w:spacing w:after="0"/>
              <w:ind w:left="-242" w:right="-66" w:firstLine="0"/>
              <w:jc w:val="right"/>
              <w:rPr>
                <w:rFonts w:ascii="Arial Narrow" w:hAnsi="Arial Narrow"/>
                <w:spacing w:val="6"/>
              </w:rPr>
            </w:pPr>
            <w:r w:rsidRPr="00F62384">
              <w:rPr>
                <w:rFonts w:ascii="Arial Narrow" w:hAnsi="Arial Narrow"/>
                <w:spacing w:val="6"/>
              </w:rPr>
              <w:t>Suministro</w:t>
            </w:r>
          </w:p>
        </w:tc>
        <w:tc>
          <w:tcPr>
            <w:tcW w:w="1879" w:type="dxa"/>
            <w:tcBorders>
              <w:top w:val="single" w:sz="2" w:space="0" w:color="auto"/>
              <w:bottom w:val="single" w:sz="4" w:space="0" w:color="auto"/>
            </w:tcBorders>
            <w:vAlign w:val="center"/>
          </w:tcPr>
          <w:p w:rsidR="00F62384" w:rsidRPr="00F62384" w:rsidRDefault="00B01865" w:rsidP="00B01865">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sidRPr="00F62384">
              <w:rPr>
                <w:rFonts w:ascii="Arial Narrow" w:hAnsi="Arial Narrow"/>
                <w:spacing w:val="6"/>
              </w:rPr>
              <w:t xml:space="preserve">Negociado sin </w:t>
            </w:r>
          </w:p>
          <w:p w:rsidR="00B01865" w:rsidRPr="00F62384" w:rsidRDefault="00B01865" w:rsidP="00B01865">
            <w:pPr>
              <w:keepLines/>
              <w:tabs>
                <w:tab w:val="right" w:pos="2835"/>
                <w:tab w:val="right" w:pos="3969"/>
                <w:tab w:val="right" w:pos="5103"/>
                <w:tab w:val="right" w:pos="6237"/>
                <w:tab w:val="right" w:pos="7371"/>
              </w:tabs>
              <w:spacing w:after="0"/>
              <w:ind w:left="-144" w:right="-66" w:firstLine="0"/>
              <w:jc w:val="right"/>
              <w:rPr>
                <w:rFonts w:ascii="Arial Narrow" w:hAnsi="Arial Narrow"/>
                <w:spacing w:val="6"/>
              </w:rPr>
            </w:pPr>
            <w:r w:rsidRPr="00F62384">
              <w:rPr>
                <w:rFonts w:ascii="Arial Narrow" w:hAnsi="Arial Narrow"/>
                <w:spacing w:val="6"/>
              </w:rPr>
              <w:t>publicidad comunitaria</w:t>
            </w:r>
          </w:p>
        </w:tc>
        <w:tc>
          <w:tcPr>
            <w:tcW w:w="1266" w:type="dxa"/>
            <w:tcBorders>
              <w:top w:val="single" w:sz="2" w:space="0" w:color="auto"/>
              <w:bottom w:val="single" w:sz="4"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w:t>
            </w:r>
          </w:p>
        </w:tc>
        <w:tc>
          <w:tcPr>
            <w:tcW w:w="992" w:type="dxa"/>
            <w:tcBorders>
              <w:top w:val="single" w:sz="2" w:space="0" w:color="auto"/>
              <w:bottom w:val="single" w:sz="4"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4</w:t>
            </w:r>
          </w:p>
        </w:tc>
        <w:tc>
          <w:tcPr>
            <w:tcW w:w="1255" w:type="dxa"/>
            <w:tcBorders>
              <w:top w:val="single" w:sz="2" w:space="0" w:color="auto"/>
              <w:bottom w:val="single" w:sz="4"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1.137.651</w:t>
            </w:r>
          </w:p>
        </w:tc>
        <w:tc>
          <w:tcPr>
            <w:tcW w:w="1256" w:type="dxa"/>
            <w:tcBorders>
              <w:top w:val="single" w:sz="2" w:space="0" w:color="auto"/>
              <w:bottom w:val="single" w:sz="4" w:space="0" w:color="auto"/>
            </w:tcBorders>
            <w:vAlign w:val="center"/>
          </w:tcPr>
          <w:p w:rsidR="00B01865" w:rsidRPr="00F62384" w:rsidRDefault="00B01865" w:rsidP="00B01865">
            <w:pPr>
              <w:keepLines/>
              <w:tabs>
                <w:tab w:val="right" w:pos="2835"/>
                <w:tab w:val="right" w:pos="3969"/>
                <w:tab w:val="right" w:pos="5103"/>
                <w:tab w:val="right" w:pos="6237"/>
                <w:tab w:val="right" w:pos="7371"/>
              </w:tabs>
              <w:spacing w:after="0"/>
              <w:ind w:left="-144" w:right="-57" w:firstLine="0"/>
              <w:jc w:val="right"/>
              <w:rPr>
                <w:rFonts w:ascii="Arial Narrow" w:hAnsi="Arial Narrow"/>
                <w:spacing w:val="6"/>
              </w:rPr>
            </w:pPr>
            <w:r w:rsidRPr="00F62384">
              <w:rPr>
                <w:rFonts w:ascii="Arial Narrow" w:hAnsi="Arial Narrow"/>
                <w:spacing w:val="6"/>
              </w:rPr>
              <w:t>**</w:t>
            </w:r>
          </w:p>
        </w:tc>
      </w:tr>
    </w:tbl>
    <w:p w:rsidR="00F62384" w:rsidRPr="00B01865" w:rsidRDefault="00F62384" w:rsidP="00F62384">
      <w:pPr>
        <w:keepLines/>
        <w:tabs>
          <w:tab w:val="right" w:pos="2835"/>
          <w:tab w:val="right" w:pos="3969"/>
          <w:tab w:val="right" w:pos="5103"/>
          <w:tab w:val="right" w:pos="6237"/>
          <w:tab w:val="right" w:pos="7371"/>
        </w:tabs>
        <w:spacing w:after="0"/>
        <w:ind w:left="-938" w:right="-982" w:firstLine="0"/>
        <w:rPr>
          <w:spacing w:val="6"/>
          <w:sz w:val="16"/>
          <w:szCs w:val="16"/>
        </w:rPr>
      </w:pPr>
      <w:r w:rsidRPr="00B01865">
        <w:rPr>
          <w:spacing w:val="6"/>
          <w:sz w:val="16"/>
          <w:szCs w:val="16"/>
        </w:rPr>
        <w:t>*En este caso el valor estimado del contrato fue de 7,52 millones de euros, pero al ser un acuerdo marco que va a derivar en la formalización de varios contratos no existe un importe de adjudicación en sí mismo.</w:t>
      </w:r>
    </w:p>
    <w:p w:rsidR="00F62384" w:rsidRPr="00B01865" w:rsidRDefault="00F62384" w:rsidP="00F62384">
      <w:pPr>
        <w:keepLines/>
        <w:spacing w:after="0"/>
        <w:ind w:left="-938" w:right="-982" w:firstLine="0"/>
        <w:rPr>
          <w:spacing w:val="6"/>
          <w:sz w:val="16"/>
          <w:szCs w:val="16"/>
        </w:rPr>
      </w:pPr>
      <w:r w:rsidRPr="00B01865">
        <w:rPr>
          <w:spacing w:val="6"/>
          <w:sz w:val="16"/>
          <w:szCs w:val="16"/>
        </w:rPr>
        <w:t>**Este contrato deriva de un acuerdo marco previo celebrado para el periodo 2017-2020.</w:t>
      </w:r>
    </w:p>
    <w:p w:rsidR="00B01865" w:rsidRPr="00B01865" w:rsidRDefault="00B01865" w:rsidP="00F62384">
      <w:pPr>
        <w:pStyle w:val="texto"/>
        <w:spacing w:before="240"/>
      </w:pPr>
      <w:r w:rsidRPr="00B01865">
        <w:t xml:space="preserve">De la revisión de los expedientes de contratación señalados, concluimos que, en general, se tramitaron de conformidad con la normativa aplicable, si bien señalamos </w:t>
      </w:r>
      <w:r w:rsidR="001020A6">
        <w:t>lo</w:t>
      </w:r>
      <w:r w:rsidRPr="00B01865">
        <w:t xml:space="preserve"> </w:t>
      </w:r>
      <w:r w:rsidR="001020A6">
        <w:t>siguiente</w:t>
      </w:r>
      <w:r w:rsidRPr="00B01865">
        <w:t>:</w:t>
      </w:r>
    </w:p>
    <w:p w:rsidR="00B01865" w:rsidRPr="00B01865" w:rsidRDefault="00B01865" w:rsidP="001020A6">
      <w:pPr>
        <w:pStyle w:val="texto"/>
      </w:pPr>
      <w:r w:rsidRPr="00B01865">
        <w:t xml:space="preserve">Los pliegos que regían la celebración del acuerdo marco para el servicio de orientación profesional establecían seis lotes. </w:t>
      </w:r>
    </w:p>
    <w:p w:rsidR="00692F65" w:rsidRPr="00B01865" w:rsidRDefault="00B01865" w:rsidP="00692F65">
      <w:pPr>
        <w:pStyle w:val="texto"/>
      </w:pPr>
      <w:r w:rsidRPr="00B01865">
        <w:tab/>
        <w:t xml:space="preserve">La cláusula 17 indicaba que los contratos de asistencia basados en el acuerdo marco se </w:t>
      </w:r>
      <w:r w:rsidR="008D6FA6">
        <w:t>adjudicarí</w:t>
      </w:r>
      <w:r w:rsidRPr="00B01865">
        <w:t>an mediante la aplicación de lo establecido en el mismo, sin convocar a las partes a una nueva licitación, posibilidad establecida en la no</w:t>
      </w:r>
      <w:r w:rsidRPr="00B01865">
        <w:t>r</w:t>
      </w:r>
      <w:r w:rsidRPr="00B01865">
        <w:t>mativa. Este apartado establece</w:t>
      </w:r>
      <w:r w:rsidR="00904024">
        <w:t>,</w:t>
      </w:r>
      <w:r w:rsidRPr="00B01865">
        <w:t xml:space="preserve"> además, que la adjudicación de los cuatro pr</w:t>
      </w:r>
      <w:r w:rsidRPr="00B01865">
        <w:t>i</w:t>
      </w:r>
      <w:r w:rsidRPr="00B01865">
        <w:t>meros lotes se llevaría a cabo priorizando a aquellas empresas que hayan obt</w:t>
      </w:r>
      <w:r w:rsidRPr="00B01865">
        <w:t>e</w:t>
      </w:r>
      <w:r w:rsidRPr="00B01865">
        <w:t>nido mayor puntuación, y que en los dos restantes la elección se podría realizar en función de la especificidad y características del colec</w:t>
      </w:r>
      <w:r w:rsidR="00692F65">
        <w:t>tivo que se pretendiera atender; esta Cámara opina que la posibilidad contemplada en los pliegos sobre estos dos lotes contraviene los principios básicos de contratación de tratamie</w:t>
      </w:r>
      <w:r w:rsidR="00692F65">
        <w:t>n</w:t>
      </w:r>
      <w:r w:rsidR="00692F65">
        <w:t>to igualitario y no discriminatorio.</w:t>
      </w:r>
    </w:p>
    <w:p w:rsidR="00B01865" w:rsidRPr="00B01865" w:rsidRDefault="00B01865" w:rsidP="00F62384">
      <w:pPr>
        <w:pStyle w:val="texto"/>
      </w:pPr>
      <w:r w:rsidRPr="00B01865">
        <w:tab/>
        <w:t>El resultado de la aplicación de este apartado fue que los cuatro primeros l</w:t>
      </w:r>
      <w:r w:rsidRPr="00B01865">
        <w:t>o</w:t>
      </w:r>
      <w:r w:rsidRPr="00B01865">
        <w:t xml:space="preserve">tes se adjudicaron siguiendo el orden de prelación obtenido en la puntuación, </w:t>
      </w:r>
      <w:r w:rsidRPr="00B01865">
        <w:lastRenderedPageBreak/>
        <w:t>pero los dos últimos se adjudicaron teniendo en cuenta los criterios citado</w:t>
      </w:r>
      <w:r w:rsidR="008D6FA6">
        <w:t xml:space="preserve">s y no la puntuación conseguida </w:t>
      </w:r>
      <w:r w:rsidR="00692F65">
        <w:t>vulnerando</w:t>
      </w:r>
      <w:r w:rsidR="008D6FA6">
        <w:t xml:space="preserve"> los principios </w:t>
      </w:r>
      <w:r w:rsidR="00692F65">
        <w:t>citados</w:t>
      </w:r>
      <w:r w:rsidR="008D6FA6">
        <w:t>.</w:t>
      </w:r>
    </w:p>
    <w:p w:rsidR="008D6FA6" w:rsidRPr="00B11BFB" w:rsidRDefault="008D6FA6" w:rsidP="00B11BFB">
      <w:pPr>
        <w:pStyle w:val="texto"/>
      </w:pPr>
      <w:r w:rsidRPr="00B11BFB">
        <w:tab/>
        <w:t xml:space="preserve">Como hecho posterior destacamos que, en marzo de 2018, el Departamento de Derechos Sociales decidió dejar sin vigencia este acuerdo marco y </w:t>
      </w:r>
      <w:r w:rsidR="00692F65" w:rsidRPr="00B11BFB">
        <w:t>se cel</w:t>
      </w:r>
      <w:r w:rsidR="00692F65" w:rsidRPr="00B11BFB">
        <w:t>e</w:t>
      </w:r>
      <w:r w:rsidR="00FC225C">
        <w:t xml:space="preserve">bró uno nuevo en abril de 2018; este nuevo acuerdo, si bien introduce algunas mejoras, </w:t>
      </w:r>
      <w:r w:rsidR="00692F65" w:rsidRPr="00B11BFB">
        <w:t>sigue manteniendo, para dos lotes, el criterio de adjudicar contratos en función de la especificidad y características del colectivo que se pretenda ate</w:t>
      </w:r>
      <w:r w:rsidR="00692F65" w:rsidRPr="00B11BFB">
        <w:t>n</w:t>
      </w:r>
      <w:r w:rsidR="00692F65" w:rsidRPr="00B11BFB">
        <w:t>der independientemente de la puntuación conseguida.</w:t>
      </w:r>
    </w:p>
    <w:p w:rsidR="00B01865" w:rsidRPr="001020A6" w:rsidRDefault="001020A6" w:rsidP="001020A6">
      <w:pPr>
        <w:pStyle w:val="texto"/>
        <w:rPr>
          <w:i/>
        </w:rPr>
      </w:pPr>
      <w:bookmarkStart w:id="82" w:name="_Toc427311456"/>
      <w:bookmarkStart w:id="83" w:name="_Toc494270388"/>
      <w:r w:rsidRPr="001020A6">
        <w:rPr>
          <w:i/>
        </w:rPr>
        <w:t>Recomendamos d</w:t>
      </w:r>
      <w:r w:rsidR="00B01865" w:rsidRPr="001020A6">
        <w:rPr>
          <w:i/>
        </w:rPr>
        <w:t>efinir claramente los criterios de adjudicación en los pli</w:t>
      </w:r>
      <w:r w:rsidR="00B01865" w:rsidRPr="001020A6">
        <w:rPr>
          <w:i/>
        </w:rPr>
        <w:t>e</w:t>
      </w:r>
      <w:r w:rsidR="00B01865" w:rsidRPr="001020A6">
        <w:rPr>
          <w:i/>
        </w:rPr>
        <w:t>gos y respetar las puntuaciones obtenidas en aplicación de los mismos para adjudicar los contratos correspondientes a los</w:t>
      </w:r>
      <w:r w:rsidR="00692F65" w:rsidRPr="001020A6">
        <w:rPr>
          <w:i/>
        </w:rPr>
        <w:t xml:space="preserve"> acuerdos marco que se celebren respetando todos los principios rectores de la normativa de contratación.</w:t>
      </w:r>
    </w:p>
    <w:p w:rsidR="00B01865" w:rsidRPr="00B01865" w:rsidRDefault="00B01865" w:rsidP="00621DFE">
      <w:pPr>
        <w:pStyle w:val="atitulo2"/>
        <w:spacing w:before="240" w:after="200"/>
      </w:pPr>
      <w:bookmarkStart w:id="84" w:name="_Toc525907444"/>
      <w:bookmarkStart w:id="85" w:name="_Toc530034672"/>
      <w:r w:rsidRPr="00B01865">
        <w:t>V.</w:t>
      </w:r>
      <w:r w:rsidR="001C37BF">
        <w:t>7</w:t>
      </w:r>
      <w:r w:rsidRPr="00B01865">
        <w:t>. Gastos de transferencias corrientes y de capital</w:t>
      </w:r>
      <w:bookmarkEnd w:id="82"/>
      <w:bookmarkEnd w:id="83"/>
      <w:bookmarkEnd w:id="84"/>
      <w:bookmarkEnd w:id="85"/>
    </w:p>
    <w:p w:rsidR="00B01865" w:rsidRPr="00B01865" w:rsidRDefault="00B01865" w:rsidP="00B01865">
      <w:pPr>
        <w:tabs>
          <w:tab w:val="center" w:pos="2835"/>
          <w:tab w:val="center" w:pos="3969"/>
          <w:tab w:val="center" w:pos="5103"/>
          <w:tab w:val="center" w:pos="6237"/>
          <w:tab w:val="center" w:pos="7371"/>
        </w:tabs>
        <w:spacing w:after="120"/>
        <w:ind w:firstLine="284"/>
        <w:rPr>
          <w:rFonts w:ascii="Arial" w:hAnsi="Arial" w:cs="Arial"/>
          <w:i/>
          <w:spacing w:val="6"/>
          <w:sz w:val="25"/>
          <w:szCs w:val="25"/>
          <w:lang w:val="es-ES"/>
        </w:rPr>
      </w:pPr>
      <w:r w:rsidRPr="00B01865">
        <w:rPr>
          <w:rFonts w:ascii="Arial" w:hAnsi="Arial" w:cs="Arial"/>
          <w:i/>
          <w:spacing w:val="6"/>
          <w:sz w:val="25"/>
          <w:szCs w:val="25"/>
          <w:lang w:val="es-ES"/>
        </w:rPr>
        <w:t>Transferencias corrientes</w:t>
      </w:r>
    </w:p>
    <w:p w:rsidR="00B01865" w:rsidRPr="00B01865" w:rsidRDefault="00B01865" w:rsidP="00F62384">
      <w:pPr>
        <w:pStyle w:val="texto"/>
        <w:rPr>
          <w:lang w:val="es-ES"/>
        </w:rPr>
      </w:pPr>
      <w:r w:rsidRPr="00B01865">
        <w:rPr>
          <w:lang w:val="es-ES"/>
        </w:rPr>
        <w:t>Las transferencias corrientes concedidas en 2017 ascendieron a 1.488,90 m</w:t>
      </w:r>
      <w:r w:rsidRPr="00B01865">
        <w:rPr>
          <w:lang w:val="es-ES"/>
        </w:rPr>
        <w:t>i</w:t>
      </w:r>
      <w:r w:rsidRPr="00B01865">
        <w:rPr>
          <w:lang w:val="es-ES"/>
        </w:rPr>
        <w:t>llones de euros y supusieron el 37 por ciento del total de obligaciones recon</w:t>
      </w:r>
      <w:r w:rsidRPr="00B01865">
        <w:rPr>
          <w:lang w:val="es-ES"/>
        </w:rPr>
        <w:t>o</w:t>
      </w:r>
      <w:r w:rsidRPr="00B01865">
        <w:rPr>
          <w:lang w:val="es-ES"/>
        </w:rPr>
        <w:t>cidas. Estos gastos incrementaron un cuatro por ciento respecto a los de 2016 tal y como se muestra a continuación:</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292"/>
        <w:gridCol w:w="1690"/>
        <w:gridCol w:w="1726"/>
      </w:tblGrid>
      <w:tr w:rsidR="00B01865" w:rsidRPr="00B01865" w:rsidTr="00B11BFB">
        <w:trPr>
          <w:trHeight w:val="255"/>
        </w:trPr>
        <w:tc>
          <w:tcPr>
            <w:tcW w:w="8819" w:type="dxa"/>
            <w:gridSpan w:val="4"/>
            <w:tcBorders>
              <w:bottom w:val="single" w:sz="4" w:space="0" w:color="auto"/>
            </w:tcBorders>
            <w:shd w:val="clear" w:color="auto" w:fill="auto"/>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7"/>
                <w:szCs w:val="17"/>
                <w:lang w:val="es-ES"/>
              </w:rPr>
            </w:pPr>
            <w:r w:rsidRPr="00B01865">
              <w:rPr>
                <w:rFonts w:ascii="Arial" w:hAnsi="Arial" w:cs="Arial"/>
                <w:spacing w:val="6"/>
                <w:sz w:val="17"/>
                <w:szCs w:val="17"/>
                <w:lang w:val="es-ES"/>
              </w:rPr>
              <w:t>(en miles de euros)</w:t>
            </w:r>
          </w:p>
        </w:tc>
      </w:tr>
      <w:tr w:rsidR="00B01865" w:rsidRPr="00B01865" w:rsidTr="00B11BFB">
        <w:trPr>
          <w:trHeight w:val="255"/>
        </w:trPr>
        <w:tc>
          <w:tcPr>
            <w:tcW w:w="4111" w:type="dxa"/>
            <w:tcBorders>
              <w:top w:val="single" w:sz="4" w:space="0" w:color="auto"/>
              <w:bottom w:val="single" w:sz="4" w:space="0" w:color="auto"/>
            </w:tcBorders>
            <w:shd w:val="clear" w:color="auto" w:fill="8DB3E2" w:themeFill="text2" w:themeFillTint="66"/>
            <w:vAlign w:val="center"/>
          </w:tcPr>
          <w:p w:rsidR="00B01865" w:rsidRPr="00B01865" w:rsidRDefault="00692F65" w:rsidP="00692F65">
            <w:pPr>
              <w:tabs>
                <w:tab w:val="center" w:pos="2835"/>
                <w:tab w:val="center" w:pos="3969"/>
                <w:tab w:val="center" w:pos="5103"/>
                <w:tab w:val="center" w:pos="6237"/>
                <w:tab w:val="center" w:pos="7371"/>
              </w:tabs>
              <w:spacing w:after="0"/>
              <w:ind w:firstLine="0"/>
              <w:jc w:val="left"/>
              <w:rPr>
                <w:rFonts w:ascii="Arial" w:hAnsi="Arial" w:cs="Arial"/>
                <w:spacing w:val="6"/>
                <w:sz w:val="18"/>
                <w:szCs w:val="18"/>
                <w:lang w:val="es-ES"/>
              </w:rPr>
            </w:pPr>
            <w:r>
              <w:rPr>
                <w:rFonts w:ascii="Arial" w:hAnsi="Arial" w:cs="Arial"/>
                <w:spacing w:val="6"/>
                <w:sz w:val="18"/>
                <w:szCs w:val="18"/>
                <w:lang w:val="es-ES"/>
              </w:rPr>
              <w:t>Transferencias corrientes</w:t>
            </w:r>
          </w:p>
        </w:tc>
        <w:tc>
          <w:tcPr>
            <w:tcW w:w="1292"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val="es-ES"/>
              </w:rPr>
            </w:pPr>
            <w:r w:rsidRPr="00B01865">
              <w:rPr>
                <w:rFonts w:ascii="Arial" w:hAnsi="Arial" w:cs="Arial"/>
                <w:spacing w:val="6"/>
                <w:sz w:val="18"/>
                <w:szCs w:val="18"/>
                <w:lang w:val="es-ES"/>
              </w:rPr>
              <w:t>2016</w:t>
            </w:r>
          </w:p>
        </w:tc>
        <w:tc>
          <w:tcPr>
            <w:tcW w:w="169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val="es-ES"/>
              </w:rPr>
            </w:pPr>
            <w:r w:rsidRPr="00B01865">
              <w:rPr>
                <w:rFonts w:ascii="Arial" w:hAnsi="Arial" w:cs="Arial"/>
                <w:spacing w:val="6"/>
                <w:sz w:val="18"/>
                <w:szCs w:val="18"/>
                <w:lang w:val="es-ES"/>
              </w:rPr>
              <w:t>2017</w:t>
            </w:r>
          </w:p>
        </w:tc>
        <w:tc>
          <w:tcPr>
            <w:tcW w:w="1726"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val="es-ES"/>
              </w:rPr>
            </w:pPr>
            <w:r w:rsidRPr="00B01865">
              <w:rPr>
                <w:rFonts w:ascii="Arial" w:hAnsi="Arial" w:cs="Arial"/>
                <w:spacing w:val="6"/>
                <w:sz w:val="18"/>
                <w:szCs w:val="18"/>
                <w:lang w:val="es-ES"/>
              </w:rPr>
              <w:t>% variación 2017/2016</w:t>
            </w:r>
          </w:p>
        </w:tc>
      </w:tr>
      <w:tr w:rsidR="00B01865" w:rsidRPr="00B01865" w:rsidTr="00B11BFB">
        <w:trPr>
          <w:trHeight w:val="198"/>
        </w:trPr>
        <w:tc>
          <w:tcPr>
            <w:tcW w:w="4111" w:type="dxa"/>
            <w:tcBorders>
              <w:top w:val="single" w:sz="4" w:space="0" w:color="auto"/>
              <w:bottom w:val="single" w:sz="2" w:space="0" w:color="auto"/>
            </w:tcBorders>
            <w:vAlign w:val="center"/>
          </w:tcPr>
          <w:p w:rsidR="00B01865" w:rsidRPr="00B01865" w:rsidRDefault="00692F65" w:rsidP="00B01865">
            <w:pPr>
              <w:spacing w:after="0"/>
              <w:ind w:firstLine="0"/>
              <w:contextualSpacing/>
              <w:rPr>
                <w:rFonts w:ascii="Arial Narrow" w:hAnsi="Arial Narrow"/>
                <w:color w:val="000000"/>
              </w:rPr>
            </w:pPr>
            <w:r>
              <w:rPr>
                <w:rFonts w:ascii="Arial Narrow" w:hAnsi="Arial Narrow"/>
                <w:color w:val="000000"/>
              </w:rPr>
              <w:t>A</w:t>
            </w:r>
            <w:r w:rsidR="00B01865" w:rsidRPr="00B01865">
              <w:rPr>
                <w:rFonts w:ascii="Arial Narrow" w:hAnsi="Arial Narrow"/>
                <w:color w:val="000000"/>
              </w:rPr>
              <w:t xml:space="preserve"> la Administración del Estado</w:t>
            </w:r>
            <w:r>
              <w:rPr>
                <w:rFonts w:ascii="Arial Narrow" w:hAnsi="Arial Narrow"/>
                <w:color w:val="000000"/>
              </w:rPr>
              <w:t xml:space="preserve"> (convenio)</w:t>
            </w:r>
          </w:p>
        </w:tc>
        <w:tc>
          <w:tcPr>
            <w:tcW w:w="1292" w:type="dxa"/>
            <w:tcBorders>
              <w:top w:val="single" w:sz="4"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540.856</w:t>
            </w:r>
          </w:p>
        </w:tc>
        <w:tc>
          <w:tcPr>
            <w:tcW w:w="1690" w:type="dxa"/>
            <w:tcBorders>
              <w:top w:val="single" w:sz="4"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511.139</w:t>
            </w:r>
          </w:p>
        </w:tc>
        <w:tc>
          <w:tcPr>
            <w:tcW w:w="1726" w:type="dxa"/>
            <w:tcBorders>
              <w:top w:val="single" w:sz="4"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-5</w:t>
            </w:r>
          </w:p>
        </w:tc>
      </w:tr>
      <w:tr w:rsidR="00B01865" w:rsidRPr="00B01865" w:rsidTr="00B11BFB">
        <w:trPr>
          <w:trHeight w:val="198"/>
        </w:trPr>
        <w:tc>
          <w:tcPr>
            <w:tcW w:w="4111" w:type="dxa"/>
            <w:tcBorders>
              <w:top w:val="single" w:sz="2" w:space="0" w:color="auto"/>
              <w:bottom w:val="single" w:sz="2" w:space="0" w:color="auto"/>
            </w:tcBorders>
            <w:vAlign w:val="center"/>
          </w:tcPr>
          <w:p w:rsidR="00B01865" w:rsidRPr="00B01865" w:rsidRDefault="00692F65" w:rsidP="00B01865">
            <w:pPr>
              <w:spacing w:after="0"/>
              <w:ind w:firstLine="0"/>
              <w:contextualSpacing/>
              <w:rPr>
                <w:rFonts w:ascii="Arial Narrow" w:hAnsi="Arial Narrow"/>
                <w:color w:val="000000"/>
              </w:rPr>
            </w:pPr>
            <w:r>
              <w:rPr>
                <w:rFonts w:ascii="Arial Narrow" w:hAnsi="Arial Narrow"/>
                <w:color w:val="000000"/>
              </w:rPr>
              <w:t>A</w:t>
            </w:r>
            <w:r w:rsidR="00B01865" w:rsidRPr="00B01865">
              <w:rPr>
                <w:rFonts w:ascii="Arial Narrow" w:hAnsi="Arial Narrow"/>
                <w:color w:val="000000"/>
              </w:rPr>
              <w:t xml:space="preserve"> fundaciones</w:t>
            </w:r>
          </w:p>
        </w:tc>
        <w:tc>
          <w:tcPr>
            <w:tcW w:w="1292"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8.603</w:t>
            </w:r>
          </w:p>
        </w:tc>
        <w:tc>
          <w:tcPr>
            <w:tcW w:w="1690"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8.136</w:t>
            </w:r>
          </w:p>
        </w:tc>
        <w:tc>
          <w:tcPr>
            <w:tcW w:w="1726"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-5</w:t>
            </w:r>
          </w:p>
        </w:tc>
      </w:tr>
      <w:tr w:rsidR="00B01865" w:rsidRPr="00B01865" w:rsidTr="00B11BFB">
        <w:trPr>
          <w:trHeight w:val="198"/>
        </w:trPr>
        <w:tc>
          <w:tcPr>
            <w:tcW w:w="4111" w:type="dxa"/>
            <w:tcBorders>
              <w:top w:val="single" w:sz="2" w:space="0" w:color="auto"/>
              <w:bottom w:val="single" w:sz="2" w:space="0" w:color="auto"/>
            </w:tcBorders>
            <w:vAlign w:val="center"/>
          </w:tcPr>
          <w:p w:rsidR="00B01865" w:rsidRPr="00B01865" w:rsidRDefault="00692F65" w:rsidP="00B01865">
            <w:pPr>
              <w:spacing w:after="0"/>
              <w:ind w:firstLine="0"/>
              <w:contextualSpacing/>
              <w:rPr>
                <w:rFonts w:ascii="Arial Narrow" w:hAnsi="Arial Narrow"/>
                <w:color w:val="000000"/>
              </w:rPr>
            </w:pPr>
            <w:r>
              <w:rPr>
                <w:rFonts w:ascii="Arial Narrow" w:hAnsi="Arial Narrow"/>
                <w:color w:val="000000"/>
              </w:rPr>
              <w:t>A</w:t>
            </w:r>
            <w:r w:rsidR="00B01865" w:rsidRPr="00B01865">
              <w:rPr>
                <w:rFonts w:ascii="Arial Narrow" w:hAnsi="Arial Narrow"/>
                <w:color w:val="000000"/>
              </w:rPr>
              <w:t xml:space="preserve"> empresas públicas y otros entes públicos</w:t>
            </w:r>
          </w:p>
        </w:tc>
        <w:tc>
          <w:tcPr>
            <w:tcW w:w="1292"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77.074</w:t>
            </w:r>
          </w:p>
        </w:tc>
        <w:tc>
          <w:tcPr>
            <w:tcW w:w="1690"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130.510</w:t>
            </w:r>
          </w:p>
        </w:tc>
        <w:tc>
          <w:tcPr>
            <w:tcW w:w="1726"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69</w:t>
            </w:r>
          </w:p>
        </w:tc>
      </w:tr>
      <w:tr w:rsidR="00B01865" w:rsidRPr="00B01865" w:rsidTr="00B11BFB">
        <w:trPr>
          <w:trHeight w:val="198"/>
        </w:trPr>
        <w:tc>
          <w:tcPr>
            <w:tcW w:w="4111" w:type="dxa"/>
            <w:tcBorders>
              <w:top w:val="single" w:sz="2" w:space="0" w:color="auto"/>
              <w:bottom w:val="single" w:sz="2" w:space="0" w:color="auto"/>
            </w:tcBorders>
            <w:vAlign w:val="center"/>
          </w:tcPr>
          <w:p w:rsidR="00B01865" w:rsidRPr="00B01865" w:rsidRDefault="00692F65" w:rsidP="00B01865">
            <w:pPr>
              <w:spacing w:after="0"/>
              <w:ind w:firstLine="0"/>
              <w:contextualSpacing/>
              <w:rPr>
                <w:rFonts w:ascii="Arial Narrow" w:hAnsi="Arial Narrow"/>
                <w:color w:val="000000"/>
              </w:rPr>
            </w:pPr>
            <w:r>
              <w:rPr>
                <w:rFonts w:ascii="Arial Narrow" w:hAnsi="Arial Narrow"/>
                <w:color w:val="000000"/>
              </w:rPr>
              <w:t>A</w:t>
            </w:r>
            <w:r w:rsidR="00B01865" w:rsidRPr="00B01865">
              <w:rPr>
                <w:rFonts w:ascii="Arial Narrow" w:hAnsi="Arial Narrow"/>
                <w:color w:val="000000"/>
              </w:rPr>
              <w:t xml:space="preserve"> entidades locales</w:t>
            </w:r>
          </w:p>
        </w:tc>
        <w:tc>
          <w:tcPr>
            <w:tcW w:w="1292"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269.670</w:t>
            </w:r>
          </w:p>
        </w:tc>
        <w:tc>
          <w:tcPr>
            <w:tcW w:w="1690"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274.878</w:t>
            </w:r>
          </w:p>
        </w:tc>
        <w:tc>
          <w:tcPr>
            <w:tcW w:w="1726"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2</w:t>
            </w:r>
          </w:p>
        </w:tc>
      </w:tr>
      <w:tr w:rsidR="00B01865" w:rsidRPr="00B01865" w:rsidTr="00B11BFB">
        <w:trPr>
          <w:trHeight w:val="198"/>
        </w:trPr>
        <w:tc>
          <w:tcPr>
            <w:tcW w:w="4111" w:type="dxa"/>
            <w:tcBorders>
              <w:top w:val="single" w:sz="2" w:space="0" w:color="auto"/>
              <w:bottom w:val="single" w:sz="2" w:space="0" w:color="auto"/>
            </w:tcBorders>
            <w:vAlign w:val="center"/>
          </w:tcPr>
          <w:p w:rsidR="00B01865" w:rsidRPr="00B01865" w:rsidRDefault="00692F65" w:rsidP="00B01865">
            <w:pPr>
              <w:spacing w:after="0"/>
              <w:ind w:firstLine="0"/>
              <w:contextualSpacing/>
              <w:rPr>
                <w:rFonts w:ascii="Arial Narrow" w:hAnsi="Arial Narrow"/>
                <w:color w:val="000000"/>
              </w:rPr>
            </w:pPr>
            <w:r>
              <w:rPr>
                <w:rFonts w:ascii="Arial Narrow" w:hAnsi="Arial Narrow"/>
                <w:color w:val="000000"/>
              </w:rPr>
              <w:t>A</w:t>
            </w:r>
            <w:r w:rsidR="00B01865" w:rsidRPr="00B01865">
              <w:rPr>
                <w:rFonts w:ascii="Arial Narrow" w:hAnsi="Arial Narrow"/>
                <w:color w:val="000000"/>
              </w:rPr>
              <w:t xml:space="preserve"> empresas privadas</w:t>
            </w:r>
          </w:p>
        </w:tc>
        <w:tc>
          <w:tcPr>
            <w:tcW w:w="1292"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59.419</w:t>
            </w:r>
          </w:p>
        </w:tc>
        <w:tc>
          <w:tcPr>
            <w:tcW w:w="1690"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64.341</w:t>
            </w:r>
          </w:p>
        </w:tc>
        <w:tc>
          <w:tcPr>
            <w:tcW w:w="1726"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8</w:t>
            </w:r>
          </w:p>
        </w:tc>
      </w:tr>
      <w:tr w:rsidR="00B01865" w:rsidRPr="00B01865" w:rsidTr="00B11BFB">
        <w:trPr>
          <w:trHeight w:val="198"/>
        </w:trPr>
        <w:tc>
          <w:tcPr>
            <w:tcW w:w="4111" w:type="dxa"/>
            <w:tcBorders>
              <w:top w:val="single" w:sz="2" w:space="0" w:color="auto"/>
              <w:bottom w:val="single" w:sz="2" w:space="0" w:color="auto"/>
            </w:tcBorders>
            <w:vAlign w:val="center"/>
          </w:tcPr>
          <w:p w:rsidR="00B01865" w:rsidRPr="00B01865" w:rsidRDefault="00692F65" w:rsidP="00B01865">
            <w:pPr>
              <w:spacing w:after="0"/>
              <w:ind w:firstLine="0"/>
              <w:contextualSpacing/>
              <w:rPr>
                <w:rFonts w:ascii="Arial Narrow" w:hAnsi="Arial Narrow"/>
                <w:color w:val="000000"/>
              </w:rPr>
            </w:pPr>
            <w:r>
              <w:rPr>
                <w:rFonts w:ascii="Arial Narrow" w:hAnsi="Arial Narrow"/>
                <w:color w:val="000000"/>
              </w:rPr>
              <w:t>A</w:t>
            </w:r>
            <w:r w:rsidR="00B01865" w:rsidRPr="00B01865">
              <w:rPr>
                <w:rFonts w:ascii="Arial Narrow" w:hAnsi="Arial Narrow"/>
                <w:color w:val="000000"/>
              </w:rPr>
              <w:t xml:space="preserve"> familias e </w:t>
            </w:r>
            <w:proofErr w:type="spellStart"/>
            <w:r w:rsidR="00B01865" w:rsidRPr="00B01865">
              <w:rPr>
                <w:rFonts w:ascii="Arial Narrow" w:hAnsi="Arial Narrow"/>
                <w:color w:val="000000"/>
              </w:rPr>
              <w:t>instituc</w:t>
            </w:r>
            <w:proofErr w:type="spellEnd"/>
            <w:r w:rsidR="00B01865" w:rsidRPr="00B01865">
              <w:rPr>
                <w:rFonts w:ascii="Arial Narrow" w:hAnsi="Arial Narrow"/>
                <w:color w:val="000000"/>
              </w:rPr>
              <w:t>. sin fines de lucro</w:t>
            </w:r>
          </w:p>
        </w:tc>
        <w:tc>
          <w:tcPr>
            <w:tcW w:w="1292"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472.588</w:t>
            </w:r>
          </w:p>
        </w:tc>
        <w:tc>
          <w:tcPr>
            <w:tcW w:w="1690"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499.866</w:t>
            </w:r>
          </w:p>
        </w:tc>
        <w:tc>
          <w:tcPr>
            <w:tcW w:w="1726"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6</w:t>
            </w:r>
          </w:p>
        </w:tc>
      </w:tr>
      <w:tr w:rsidR="00B01865" w:rsidRPr="00B01865" w:rsidTr="00B11BFB">
        <w:trPr>
          <w:trHeight w:val="198"/>
        </w:trPr>
        <w:tc>
          <w:tcPr>
            <w:tcW w:w="4111" w:type="dxa"/>
            <w:tcBorders>
              <w:top w:val="single" w:sz="2" w:space="0" w:color="auto"/>
              <w:bottom w:val="single" w:sz="4" w:space="0" w:color="auto"/>
            </w:tcBorders>
            <w:vAlign w:val="center"/>
          </w:tcPr>
          <w:p w:rsidR="00B01865" w:rsidRPr="00B01865" w:rsidRDefault="00692F65" w:rsidP="00B01865">
            <w:pPr>
              <w:spacing w:after="0"/>
              <w:ind w:firstLine="0"/>
              <w:contextualSpacing/>
              <w:rPr>
                <w:rFonts w:ascii="Arial Narrow" w:hAnsi="Arial Narrow"/>
                <w:color w:val="000000"/>
              </w:rPr>
            </w:pPr>
            <w:r>
              <w:rPr>
                <w:rFonts w:ascii="Arial Narrow" w:hAnsi="Arial Narrow"/>
                <w:color w:val="000000"/>
              </w:rPr>
              <w:t>A</w:t>
            </w:r>
            <w:r w:rsidR="00B01865" w:rsidRPr="00B01865">
              <w:rPr>
                <w:rFonts w:ascii="Arial Narrow" w:hAnsi="Arial Narrow"/>
                <w:color w:val="000000"/>
              </w:rPr>
              <w:t>l exterior</w:t>
            </w:r>
          </w:p>
        </w:tc>
        <w:tc>
          <w:tcPr>
            <w:tcW w:w="1292" w:type="dxa"/>
            <w:tcBorders>
              <w:top w:val="single" w:sz="2" w:space="0" w:color="auto"/>
              <w:bottom w:val="single" w:sz="4"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30</w:t>
            </w:r>
          </w:p>
        </w:tc>
        <w:tc>
          <w:tcPr>
            <w:tcW w:w="1690" w:type="dxa"/>
            <w:tcBorders>
              <w:top w:val="single" w:sz="2" w:space="0" w:color="auto"/>
              <w:bottom w:val="single" w:sz="4"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27</w:t>
            </w:r>
          </w:p>
        </w:tc>
        <w:tc>
          <w:tcPr>
            <w:tcW w:w="1726" w:type="dxa"/>
            <w:tcBorders>
              <w:top w:val="single" w:sz="2" w:space="0" w:color="auto"/>
              <w:bottom w:val="single" w:sz="4"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-9</w:t>
            </w:r>
          </w:p>
        </w:tc>
      </w:tr>
      <w:tr w:rsidR="00B01865" w:rsidRPr="00B01865" w:rsidTr="00B11BFB">
        <w:trPr>
          <w:trHeight w:val="255"/>
        </w:trPr>
        <w:tc>
          <w:tcPr>
            <w:tcW w:w="4111"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spacing w:after="0"/>
              <w:ind w:firstLine="0"/>
              <w:contextualSpacing/>
              <w:jc w:val="left"/>
              <w:rPr>
                <w:rFonts w:ascii="Arial" w:hAnsi="Arial" w:cs="Arial"/>
                <w:color w:val="000000"/>
                <w:sz w:val="18"/>
                <w:szCs w:val="18"/>
              </w:rPr>
            </w:pPr>
            <w:r w:rsidRPr="00B01865">
              <w:rPr>
                <w:rFonts w:ascii="Arial" w:hAnsi="Arial" w:cs="Arial"/>
                <w:color w:val="000000"/>
                <w:sz w:val="18"/>
                <w:szCs w:val="18"/>
              </w:rPr>
              <w:t>Total</w:t>
            </w:r>
          </w:p>
        </w:tc>
        <w:tc>
          <w:tcPr>
            <w:tcW w:w="1292"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spacing w:after="0"/>
              <w:ind w:firstLine="0"/>
              <w:contextualSpacing/>
              <w:jc w:val="right"/>
              <w:rPr>
                <w:rFonts w:ascii="Arial" w:hAnsi="Arial" w:cs="Arial"/>
                <w:color w:val="000000"/>
                <w:sz w:val="18"/>
                <w:szCs w:val="18"/>
              </w:rPr>
            </w:pPr>
            <w:r w:rsidRPr="00B01865">
              <w:rPr>
                <w:rFonts w:ascii="Arial" w:hAnsi="Arial" w:cs="Arial"/>
                <w:color w:val="000000"/>
                <w:sz w:val="18"/>
                <w:szCs w:val="18"/>
              </w:rPr>
              <w:t>1.428.240</w:t>
            </w:r>
          </w:p>
        </w:tc>
        <w:tc>
          <w:tcPr>
            <w:tcW w:w="169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spacing w:after="0"/>
              <w:ind w:firstLine="0"/>
              <w:contextualSpacing/>
              <w:jc w:val="right"/>
              <w:rPr>
                <w:rFonts w:ascii="Arial" w:hAnsi="Arial" w:cs="Arial"/>
                <w:color w:val="000000"/>
                <w:sz w:val="18"/>
                <w:szCs w:val="18"/>
              </w:rPr>
            </w:pPr>
            <w:r w:rsidRPr="00B01865">
              <w:rPr>
                <w:rFonts w:ascii="Arial" w:hAnsi="Arial" w:cs="Arial"/>
                <w:color w:val="000000"/>
                <w:sz w:val="18"/>
                <w:szCs w:val="18"/>
              </w:rPr>
              <w:t>1.488.898</w:t>
            </w:r>
          </w:p>
        </w:tc>
        <w:tc>
          <w:tcPr>
            <w:tcW w:w="1726"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spacing w:after="0"/>
              <w:ind w:firstLine="0"/>
              <w:contextualSpacing/>
              <w:jc w:val="right"/>
              <w:rPr>
                <w:rFonts w:ascii="Arial" w:hAnsi="Arial" w:cs="Arial"/>
                <w:color w:val="000000"/>
                <w:sz w:val="18"/>
                <w:szCs w:val="18"/>
              </w:rPr>
            </w:pPr>
            <w:r w:rsidRPr="00B01865">
              <w:rPr>
                <w:rFonts w:ascii="Arial" w:hAnsi="Arial" w:cs="Arial"/>
                <w:color w:val="000000"/>
                <w:sz w:val="18"/>
                <w:szCs w:val="18"/>
              </w:rPr>
              <w:t>4</w:t>
            </w:r>
          </w:p>
        </w:tc>
      </w:tr>
    </w:tbl>
    <w:p w:rsidR="00621DFE" w:rsidRPr="00B01865" w:rsidRDefault="00B01865" w:rsidP="00386271">
      <w:pPr>
        <w:pStyle w:val="texto"/>
        <w:spacing w:before="240"/>
        <w:rPr>
          <w:lang w:val="es-ES"/>
        </w:rPr>
      </w:pPr>
      <w:r w:rsidRPr="00B01865">
        <w:rPr>
          <w:lang w:val="es-ES"/>
        </w:rPr>
        <w:t>Como se observa, es significativo el aumento de las transferencias a empr</w:t>
      </w:r>
      <w:r w:rsidRPr="00B01865">
        <w:rPr>
          <w:lang w:val="es-ES"/>
        </w:rPr>
        <w:t>e</w:t>
      </w:r>
      <w:r w:rsidRPr="00B01865">
        <w:rPr>
          <w:lang w:val="es-ES"/>
        </w:rPr>
        <w:t xml:space="preserve">sas públicas que se debe fundamentalmente a la realizada a la empresa </w:t>
      </w:r>
      <w:proofErr w:type="spellStart"/>
      <w:r w:rsidRPr="00B01865">
        <w:rPr>
          <w:lang w:val="es-ES"/>
        </w:rPr>
        <w:t>Nas</w:t>
      </w:r>
      <w:r w:rsidRPr="00B01865">
        <w:rPr>
          <w:lang w:val="es-ES"/>
        </w:rPr>
        <w:t>u</w:t>
      </w:r>
      <w:r w:rsidRPr="00B01865">
        <w:rPr>
          <w:lang w:val="es-ES"/>
        </w:rPr>
        <w:t>vinsa</w:t>
      </w:r>
      <w:proofErr w:type="spellEnd"/>
      <w:r w:rsidRPr="00B01865">
        <w:rPr>
          <w:lang w:val="es-ES"/>
        </w:rPr>
        <w:t xml:space="preserve"> por 51,37 millones para hacer frente a la sentencia relacionada con la Ciudad del Transporte. Este gasto fue analizado en el informe que emitió esta Cámara al respecto en junio de 2018 sobre la Ciudad del Transporte de la C</w:t>
      </w:r>
      <w:r w:rsidRPr="00B01865">
        <w:rPr>
          <w:lang w:val="es-ES"/>
        </w:rPr>
        <w:t>o</w:t>
      </w:r>
      <w:r w:rsidR="00621DFE">
        <w:rPr>
          <w:lang w:val="es-ES"/>
        </w:rPr>
        <w:t>marca de Pamplona (1991-2017); en él se concluía que este importe se corre</w:t>
      </w:r>
      <w:r w:rsidR="00621DFE">
        <w:rPr>
          <w:lang w:val="es-ES"/>
        </w:rPr>
        <w:t>s</w:t>
      </w:r>
      <w:r w:rsidR="00621DFE">
        <w:rPr>
          <w:lang w:val="es-ES"/>
        </w:rPr>
        <w:t>pondía fundamentalmente con la importante variación del coste por metro cu</w:t>
      </w:r>
      <w:r w:rsidR="00621DFE">
        <w:rPr>
          <w:lang w:val="es-ES"/>
        </w:rPr>
        <w:t>a</w:t>
      </w:r>
      <w:r w:rsidR="00621DFE">
        <w:rPr>
          <w:lang w:val="es-ES"/>
        </w:rPr>
        <w:t xml:space="preserve">drado de terreno expropiado con motivo de las sentencias dictadas al respecto. </w:t>
      </w:r>
    </w:p>
    <w:p w:rsidR="00B01865" w:rsidRPr="00B01865" w:rsidRDefault="00B01865" w:rsidP="00386271">
      <w:pPr>
        <w:pStyle w:val="texto"/>
        <w:rPr>
          <w:lang w:val="es-ES"/>
        </w:rPr>
      </w:pPr>
      <w:r w:rsidRPr="00B01865">
        <w:rPr>
          <w:lang w:val="es-ES"/>
        </w:rPr>
        <w:t>Destaca</w:t>
      </w:r>
      <w:r w:rsidR="00904024">
        <w:rPr>
          <w:lang w:val="es-ES"/>
        </w:rPr>
        <w:t>,</w:t>
      </w:r>
      <w:r w:rsidRPr="00B01865">
        <w:rPr>
          <w:lang w:val="es-ES"/>
        </w:rPr>
        <w:t xml:space="preserve"> además</w:t>
      </w:r>
      <w:r w:rsidR="00904024">
        <w:rPr>
          <w:lang w:val="es-ES"/>
        </w:rPr>
        <w:t>,</w:t>
      </w:r>
      <w:r w:rsidRPr="00B01865">
        <w:rPr>
          <w:lang w:val="es-ES"/>
        </w:rPr>
        <w:t xml:space="preserve"> el decremento de las transferencias al Estado en un cinco por ciento (29,72 millones de euros menos) debido a la resolución de la discr</w:t>
      </w:r>
      <w:r w:rsidRPr="00B01865">
        <w:rPr>
          <w:lang w:val="es-ES"/>
        </w:rPr>
        <w:t>e</w:t>
      </w:r>
      <w:r w:rsidRPr="00B01865">
        <w:rPr>
          <w:lang w:val="es-ES"/>
        </w:rPr>
        <w:t xml:space="preserve">pancia existente por la fijación de la aportación del Convenio Económico con el Estado. </w:t>
      </w:r>
    </w:p>
    <w:p w:rsidR="00B01865" w:rsidRPr="00B01865" w:rsidRDefault="00B01865" w:rsidP="00B01865">
      <w:pPr>
        <w:tabs>
          <w:tab w:val="center" w:pos="2835"/>
          <w:tab w:val="center" w:pos="3969"/>
          <w:tab w:val="center" w:pos="5103"/>
          <w:tab w:val="center" w:pos="6237"/>
          <w:tab w:val="center" w:pos="7371"/>
        </w:tabs>
        <w:spacing w:after="120"/>
        <w:ind w:firstLine="284"/>
        <w:rPr>
          <w:rFonts w:ascii="Arial" w:hAnsi="Arial" w:cs="Arial"/>
          <w:i/>
          <w:spacing w:val="6"/>
          <w:sz w:val="25"/>
          <w:szCs w:val="25"/>
          <w:lang w:val="es-ES"/>
        </w:rPr>
      </w:pPr>
      <w:r w:rsidRPr="00B01865">
        <w:rPr>
          <w:rFonts w:ascii="Arial" w:hAnsi="Arial" w:cs="Arial"/>
          <w:i/>
          <w:spacing w:val="6"/>
          <w:sz w:val="25"/>
          <w:szCs w:val="25"/>
          <w:lang w:val="es-ES"/>
        </w:rPr>
        <w:lastRenderedPageBreak/>
        <w:t>Transferencias de capital</w:t>
      </w:r>
    </w:p>
    <w:p w:rsidR="00B01865" w:rsidRPr="00B01865" w:rsidRDefault="00B01865" w:rsidP="00386271">
      <w:pPr>
        <w:pStyle w:val="texto"/>
        <w:rPr>
          <w:lang w:val="es-ES"/>
        </w:rPr>
      </w:pPr>
      <w:r w:rsidRPr="00B01865">
        <w:rPr>
          <w:lang w:val="es-ES"/>
        </w:rPr>
        <w:t>Las transferencias de capital concedidas en 2017 ascendieron a 107,12 m</w:t>
      </w:r>
      <w:r w:rsidRPr="00B01865">
        <w:rPr>
          <w:lang w:val="es-ES"/>
        </w:rPr>
        <w:t>i</w:t>
      </w:r>
      <w:r w:rsidRPr="00B01865">
        <w:rPr>
          <w:lang w:val="es-ES"/>
        </w:rPr>
        <w:t>llones de euros. Suponen el tres por ciento del total de obligaciones reconoc</w:t>
      </w:r>
      <w:r w:rsidRPr="00B01865">
        <w:rPr>
          <w:lang w:val="es-ES"/>
        </w:rPr>
        <w:t>i</w:t>
      </w:r>
      <w:r w:rsidRPr="00B01865">
        <w:rPr>
          <w:lang w:val="es-ES"/>
        </w:rPr>
        <w:t>das en el ejercicio y experimentaron un incremento del 16 por ciento respecto a 2016 tal y como se muestra a continuación:</w:t>
      </w:r>
    </w:p>
    <w:tbl>
      <w:tblPr>
        <w:tblStyle w:val="Tablaconcuadrcula"/>
        <w:tblW w:w="8819" w:type="dxa"/>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1465"/>
        <w:gridCol w:w="1465"/>
        <w:gridCol w:w="1466"/>
      </w:tblGrid>
      <w:tr w:rsidR="00B01865" w:rsidRPr="00B01865" w:rsidTr="00386271">
        <w:tc>
          <w:tcPr>
            <w:tcW w:w="8819" w:type="dxa"/>
            <w:gridSpan w:val="4"/>
            <w:tcBorders>
              <w:bottom w:val="single" w:sz="4" w:space="0" w:color="auto"/>
            </w:tcBorders>
            <w:shd w:val="clear" w:color="auto" w:fill="auto"/>
          </w:tcPr>
          <w:p w:rsidR="00B01865" w:rsidRPr="00B01865" w:rsidRDefault="00B01865" w:rsidP="00B01865">
            <w:pPr>
              <w:tabs>
                <w:tab w:val="center" w:pos="2835"/>
                <w:tab w:val="center" w:pos="3969"/>
                <w:tab w:val="center" w:pos="5103"/>
                <w:tab w:val="center" w:pos="6237"/>
                <w:tab w:val="center" w:pos="7371"/>
              </w:tabs>
              <w:spacing w:after="0"/>
              <w:ind w:right="-52" w:firstLine="0"/>
              <w:contextualSpacing/>
              <w:jc w:val="right"/>
              <w:rPr>
                <w:rFonts w:ascii="Arial" w:hAnsi="Arial" w:cs="Arial"/>
                <w:spacing w:val="6"/>
                <w:sz w:val="17"/>
                <w:szCs w:val="17"/>
                <w:lang w:val="es-ES"/>
              </w:rPr>
            </w:pPr>
            <w:r w:rsidRPr="00B01865">
              <w:rPr>
                <w:rFonts w:ascii="Arial" w:hAnsi="Arial" w:cs="Arial"/>
                <w:spacing w:val="6"/>
                <w:sz w:val="17"/>
                <w:szCs w:val="17"/>
                <w:lang w:val="es-ES"/>
              </w:rPr>
              <w:t>(en miles de euros)</w:t>
            </w:r>
          </w:p>
        </w:tc>
      </w:tr>
      <w:tr w:rsidR="00B01865" w:rsidRPr="00B01865" w:rsidTr="00386271">
        <w:trPr>
          <w:trHeight w:val="255"/>
        </w:trPr>
        <w:tc>
          <w:tcPr>
            <w:tcW w:w="4423" w:type="dxa"/>
            <w:tcBorders>
              <w:top w:val="single" w:sz="4" w:space="0" w:color="auto"/>
              <w:bottom w:val="single" w:sz="4" w:space="0" w:color="auto"/>
            </w:tcBorders>
            <w:shd w:val="clear" w:color="auto" w:fill="8DB3E2" w:themeFill="text2" w:themeFillTint="66"/>
            <w:vAlign w:val="center"/>
          </w:tcPr>
          <w:p w:rsidR="00B01865" w:rsidRPr="00B01865" w:rsidRDefault="00692F65" w:rsidP="00B01865">
            <w:pPr>
              <w:tabs>
                <w:tab w:val="center" w:pos="2835"/>
                <w:tab w:val="center" w:pos="3969"/>
                <w:tab w:val="center" w:pos="5103"/>
                <w:tab w:val="center" w:pos="6237"/>
                <w:tab w:val="center" w:pos="7371"/>
              </w:tabs>
              <w:spacing w:after="0"/>
              <w:ind w:firstLine="0"/>
              <w:contextualSpacing/>
              <w:rPr>
                <w:rFonts w:ascii="Arial" w:hAnsi="Arial" w:cs="Arial"/>
                <w:spacing w:val="6"/>
                <w:sz w:val="18"/>
                <w:szCs w:val="18"/>
                <w:lang w:val="es-ES"/>
              </w:rPr>
            </w:pPr>
            <w:r>
              <w:rPr>
                <w:rFonts w:ascii="Arial" w:hAnsi="Arial" w:cs="Arial"/>
                <w:spacing w:val="6"/>
                <w:sz w:val="18"/>
                <w:szCs w:val="18"/>
                <w:lang w:val="es-ES"/>
              </w:rPr>
              <w:t>Transferencias de capital</w:t>
            </w:r>
          </w:p>
        </w:tc>
        <w:tc>
          <w:tcPr>
            <w:tcW w:w="1465"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lang w:val="es-ES"/>
              </w:rPr>
            </w:pPr>
            <w:r w:rsidRPr="00B01865">
              <w:rPr>
                <w:rFonts w:ascii="Arial" w:hAnsi="Arial" w:cs="Arial"/>
                <w:spacing w:val="6"/>
                <w:sz w:val="18"/>
                <w:szCs w:val="18"/>
                <w:lang w:val="es-ES"/>
              </w:rPr>
              <w:t>2016</w:t>
            </w:r>
          </w:p>
        </w:tc>
        <w:tc>
          <w:tcPr>
            <w:tcW w:w="1465"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lang w:val="es-ES"/>
              </w:rPr>
            </w:pPr>
            <w:r w:rsidRPr="00B01865">
              <w:rPr>
                <w:rFonts w:ascii="Arial" w:hAnsi="Arial" w:cs="Arial"/>
                <w:spacing w:val="6"/>
                <w:sz w:val="18"/>
                <w:szCs w:val="18"/>
                <w:lang w:val="es-ES"/>
              </w:rPr>
              <w:t>2017</w:t>
            </w:r>
          </w:p>
        </w:tc>
        <w:tc>
          <w:tcPr>
            <w:tcW w:w="1466"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lang w:val="es-ES"/>
              </w:rPr>
            </w:pPr>
            <w:r w:rsidRPr="00B01865">
              <w:rPr>
                <w:rFonts w:ascii="Arial" w:hAnsi="Arial" w:cs="Arial"/>
                <w:spacing w:val="6"/>
                <w:sz w:val="18"/>
                <w:szCs w:val="18"/>
                <w:lang w:val="es-ES"/>
              </w:rPr>
              <w:t xml:space="preserve">% variación </w:t>
            </w:r>
          </w:p>
          <w:p w:rsidR="00B01865" w:rsidRPr="00B01865" w:rsidRDefault="00B01865" w:rsidP="00621DFE">
            <w:pPr>
              <w:tabs>
                <w:tab w:val="center" w:pos="2835"/>
                <w:tab w:val="center" w:pos="3969"/>
                <w:tab w:val="center" w:pos="5103"/>
                <w:tab w:val="center" w:pos="6237"/>
                <w:tab w:val="center" w:pos="7371"/>
              </w:tabs>
              <w:spacing w:after="0"/>
              <w:ind w:firstLine="0"/>
              <w:contextualSpacing/>
              <w:jc w:val="right"/>
              <w:rPr>
                <w:rFonts w:ascii="Arial" w:hAnsi="Arial" w:cs="Arial"/>
                <w:spacing w:val="6"/>
                <w:sz w:val="18"/>
                <w:szCs w:val="18"/>
                <w:lang w:val="es-ES"/>
              </w:rPr>
            </w:pPr>
            <w:r w:rsidRPr="00B01865">
              <w:rPr>
                <w:rFonts w:ascii="Arial" w:hAnsi="Arial" w:cs="Arial"/>
                <w:spacing w:val="6"/>
                <w:sz w:val="18"/>
                <w:szCs w:val="18"/>
                <w:lang w:val="es-ES"/>
              </w:rPr>
              <w:t>201</w:t>
            </w:r>
            <w:r w:rsidR="00621DFE">
              <w:rPr>
                <w:rFonts w:ascii="Arial" w:hAnsi="Arial" w:cs="Arial"/>
                <w:spacing w:val="6"/>
                <w:sz w:val="18"/>
                <w:szCs w:val="18"/>
                <w:lang w:val="es-ES"/>
              </w:rPr>
              <w:t>7</w:t>
            </w:r>
            <w:r w:rsidRPr="00B01865">
              <w:rPr>
                <w:rFonts w:ascii="Arial" w:hAnsi="Arial" w:cs="Arial"/>
                <w:spacing w:val="6"/>
                <w:sz w:val="18"/>
                <w:szCs w:val="18"/>
                <w:lang w:val="es-ES"/>
              </w:rPr>
              <w:t>/201</w:t>
            </w:r>
            <w:r w:rsidR="00621DFE">
              <w:rPr>
                <w:rFonts w:ascii="Arial" w:hAnsi="Arial" w:cs="Arial"/>
                <w:spacing w:val="6"/>
                <w:sz w:val="18"/>
                <w:szCs w:val="18"/>
                <w:lang w:val="es-ES"/>
              </w:rPr>
              <w:t>6</w:t>
            </w:r>
          </w:p>
        </w:tc>
      </w:tr>
      <w:tr w:rsidR="00B01865" w:rsidRPr="00B01865" w:rsidTr="00B01865">
        <w:trPr>
          <w:trHeight w:val="198"/>
        </w:trPr>
        <w:tc>
          <w:tcPr>
            <w:tcW w:w="4423" w:type="dxa"/>
            <w:tcBorders>
              <w:top w:val="single" w:sz="4" w:space="0" w:color="auto"/>
              <w:bottom w:val="single" w:sz="2" w:space="0" w:color="auto"/>
            </w:tcBorders>
            <w:vAlign w:val="center"/>
          </w:tcPr>
          <w:p w:rsidR="00B01865" w:rsidRPr="00B01865" w:rsidRDefault="00692F65" w:rsidP="00B01865">
            <w:pPr>
              <w:spacing w:after="0"/>
              <w:ind w:firstLine="0"/>
              <w:contextualSpacing/>
              <w:jc w:val="left"/>
              <w:rPr>
                <w:rFonts w:ascii="Arial Narrow" w:hAnsi="Arial Narrow"/>
                <w:color w:val="000000"/>
              </w:rPr>
            </w:pPr>
            <w:r>
              <w:rPr>
                <w:rFonts w:ascii="Arial Narrow" w:hAnsi="Arial Narrow"/>
                <w:color w:val="000000"/>
              </w:rPr>
              <w:t>A</w:t>
            </w:r>
            <w:r w:rsidR="00B01865" w:rsidRPr="00B01865">
              <w:rPr>
                <w:rFonts w:ascii="Arial Narrow" w:hAnsi="Arial Narrow"/>
                <w:color w:val="000000"/>
              </w:rPr>
              <w:t xml:space="preserve"> fundaciones</w:t>
            </w:r>
          </w:p>
        </w:tc>
        <w:tc>
          <w:tcPr>
            <w:tcW w:w="1465" w:type="dxa"/>
            <w:tcBorders>
              <w:top w:val="single" w:sz="4"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2.621</w:t>
            </w:r>
          </w:p>
        </w:tc>
        <w:tc>
          <w:tcPr>
            <w:tcW w:w="1465" w:type="dxa"/>
            <w:tcBorders>
              <w:top w:val="single" w:sz="4"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5.208</w:t>
            </w:r>
          </w:p>
        </w:tc>
        <w:tc>
          <w:tcPr>
            <w:tcW w:w="1466" w:type="dxa"/>
            <w:tcBorders>
              <w:top w:val="single" w:sz="4"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99</w:t>
            </w:r>
          </w:p>
        </w:tc>
      </w:tr>
      <w:tr w:rsidR="00B01865" w:rsidRPr="00B01865" w:rsidTr="00B01865">
        <w:trPr>
          <w:trHeight w:val="198"/>
        </w:trPr>
        <w:tc>
          <w:tcPr>
            <w:tcW w:w="4423" w:type="dxa"/>
            <w:tcBorders>
              <w:top w:val="single" w:sz="2" w:space="0" w:color="auto"/>
              <w:bottom w:val="single" w:sz="2" w:space="0" w:color="auto"/>
            </w:tcBorders>
            <w:vAlign w:val="center"/>
          </w:tcPr>
          <w:p w:rsidR="00B01865" w:rsidRPr="00B01865" w:rsidRDefault="00692F65" w:rsidP="00692F65">
            <w:pPr>
              <w:spacing w:after="0"/>
              <w:ind w:firstLine="0"/>
              <w:contextualSpacing/>
              <w:jc w:val="left"/>
              <w:rPr>
                <w:rFonts w:ascii="Arial Narrow" w:hAnsi="Arial Narrow"/>
                <w:color w:val="000000"/>
              </w:rPr>
            </w:pPr>
            <w:r>
              <w:rPr>
                <w:rFonts w:ascii="Arial Narrow" w:hAnsi="Arial Narrow"/>
                <w:color w:val="000000"/>
              </w:rPr>
              <w:t>A</w:t>
            </w:r>
            <w:r w:rsidR="00B01865" w:rsidRPr="00B01865">
              <w:rPr>
                <w:rFonts w:ascii="Arial Narrow" w:hAnsi="Arial Narrow"/>
                <w:color w:val="000000"/>
              </w:rPr>
              <w:t xml:space="preserve"> empresas públicas</w:t>
            </w:r>
          </w:p>
        </w:tc>
        <w:tc>
          <w:tcPr>
            <w:tcW w:w="1465"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656</w:t>
            </w:r>
          </w:p>
        </w:tc>
        <w:tc>
          <w:tcPr>
            <w:tcW w:w="1465"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2.010</w:t>
            </w:r>
          </w:p>
        </w:tc>
        <w:tc>
          <w:tcPr>
            <w:tcW w:w="1466"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207</w:t>
            </w:r>
          </w:p>
        </w:tc>
      </w:tr>
      <w:tr w:rsidR="00B01865" w:rsidRPr="00B01865" w:rsidTr="00B01865">
        <w:trPr>
          <w:trHeight w:val="198"/>
        </w:trPr>
        <w:tc>
          <w:tcPr>
            <w:tcW w:w="4423" w:type="dxa"/>
            <w:tcBorders>
              <w:top w:val="single" w:sz="2" w:space="0" w:color="auto"/>
              <w:bottom w:val="single" w:sz="2" w:space="0" w:color="auto"/>
            </w:tcBorders>
            <w:vAlign w:val="center"/>
          </w:tcPr>
          <w:p w:rsidR="00B01865" w:rsidRPr="00B01865" w:rsidRDefault="00692F65" w:rsidP="00B01865">
            <w:pPr>
              <w:spacing w:after="0"/>
              <w:ind w:firstLine="0"/>
              <w:contextualSpacing/>
              <w:jc w:val="left"/>
              <w:rPr>
                <w:rFonts w:ascii="Arial Narrow" w:hAnsi="Arial Narrow"/>
                <w:color w:val="000000"/>
              </w:rPr>
            </w:pPr>
            <w:r>
              <w:rPr>
                <w:rFonts w:ascii="Arial Narrow" w:hAnsi="Arial Narrow"/>
                <w:color w:val="000000"/>
              </w:rPr>
              <w:t>A</w:t>
            </w:r>
            <w:r w:rsidR="00B01865" w:rsidRPr="00B01865">
              <w:rPr>
                <w:rFonts w:ascii="Arial Narrow" w:hAnsi="Arial Narrow"/>
                <w:color w:val="000000"/>
              </w:rPr>
              <w:t xml:space="preserve"> entidades locales</w:t>
            </w:r>
          </w:p>
        </w:tc>
        <w:tc>
          <w:tcPr>
            <w:tcW w:w="1465"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17.384</w:t>
            </w:r>
          </w:p>
        </w:tc>
        <w:tc>
          <w:tcPr>
            <w:tcW w:w="1465"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30.237</w:t>
            </w:r>
          </w:p>
        </w:tc>
        <w:tc>
          <w:tcPr>
            <w:tcW w:w="1466"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74</w:t>
            </w:r>
          </w:p>
        </w:tc>
      </w:tr>
      <w:tr w:rsidR="00B01865" w:rsidRPr="00B01865" w:rsidTr="00B01865">
        <w:trPr>
          <w:trHeight w:val="198"/>
        </w:trPr>
        <w:tc>
          <w:tcPr>
            <w:tcW w:w="4423" w:type="dxa"/>
            <w:tcBorders>
              <w:top w:val="single" w:sz="2" w:space="0" w:color="auto"/>
              <w:bottom w:val="single" w:sz="2" w:space="0" w:color="auto"/>
            </w:tcBorders>
            <w:vAlign w:val="center"/>
          </w:tcPr>
          <w:p w:rsidR="00B01865" w:rsidRPr="00B01865" w:rsidRDefault="00692F65" w:rsidP="00B01865">
            <w:pPr>
              <w:spacing w:after="0"/>
              <w:ind w:firstLine="0"/>
              <w:contextualSpacing/>
              <w:jc w:val="left"/>
              <w:rPr>
                <w:rFonts w:ascii="Arial Narrow" w:hAnsi="Arial Narrow"/>
                <w:color w:val="000000"/>
              </w:rPr>
            </w:pPr>
            <w:r>
              <w:rPr>
                <w:rFonts w:ascii="Arial Narrow" w:hAnsi="Arial Narrow"/>
                <w:color w:val="000000"/>
              </w:rPr>
              <w:t>A</w:t>
            </w:r>
            <w:r w:rsidR="00B01865" w:rsidRPr="00B01865">
              <w:rPr>
                <w:rFonts w:ascii="Arial Narrow" w:hAnsi="Arial Narrow"/>
                <w:color w:val="000000"/>
              </w:rPr>
              <w:t xml:space="preserve"> empresas privadas</w:t>
            </w:r>
          </w:p>
        </w:tc>
        <w:tc>
          <w:tcPr>
            <w:tcW w:w="1465"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38.947</w:t>
            </w:r>
          </w:p>
        </w:tc>
        <w:tc>
          <w:tcPr>
            <w:tcW w:w="1465"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39.421</w:t>
            </w:r>
          </w:p>
        </w:tc>
        <w:tc>
          <w:tcPr>
            <w:tcW w:w="1466" w:type="dxa"/>
            <w:tcBorders>
              <w:top w:val="single" w:sz="2" w:space="0" w:color="auto"/>
              <w:bottom w:val="single" w:sz="2"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1</w:t>
            </w:r>
          </w:p>
        </w:tc>
      </w:tr>
      <w:tr w:rsidR="00B01865" w:rsidRPr="00B01865" w:rsidTr="00386271">
        <w:trPr>
          <w:trHeight w:val="198"/>
        </w:trPr>
        <w:tc>
          <w:tcPr>
            <w:tcW w:w="4423" w:type="dxa"/>
            <w:tcBorders>
              <w:top w:val="single" w:sz="2" w:space="0" w:color="auto"/>
              <w:bottom w:val="single" w:sz="4" w:space="0" w:color="auto"/>
            </w:tcBorders>
            <w:vAlign w:val="center"/>
          </w:tcPr>
          <w:p w:rsidR="00B01865" w:rsidRPr="00B01865" w:rsidRDefault="00692F65" w:rsidP="00692F65">
            <w:pPr>
              <w:spacing w:after="0"/>
              <w:ind w:firstLine="0"/>
              <w:contextualSpacing/>
              <w:jc w:val="left"/>
              <w:rPr>
                <w:rFonts w:ascii="Arial Narrow" w:hAnsi="Arial Narrow"/>
                <w:color w:val="000000"/>
              </w:rPr>
            </w:pPr>
            <w:r>
              <w:rPr>
                <w:rFonts w:ascii="Arial Narrow" w:hAnsi="Arial Narrow"/>
                <w:color w:val="000000"/>
              </w:rPr>
              <w:t>A</w:t>
            </w:r>
            <w:r w:rsidR="00B01865" w:rsidRPr="00B01865">
              <w:rPr>
                <w:rFonts w:ascii="Arial Narrow" w:hAnsi="Arial Narrow"/>
                <w:color w:val="000000"/>
              </w:rPr>
              <w:t xml:space="preserve"> familias e instituciones sin fines de lucro</w:t>
            </w:r>
          </w:p>
        </w:tc>
        <w:tc>
          <w:tcPr>
            <w:tcW w:w="1465" w:type="dxa"/>
            <w:tcBorders>
              <w:top w:val="single" w:sz="2" w:space="0" w:color="auto"/>
              <w:bottom w:val="single" w:sz="4"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32.411</w:t>
            </w:r>
          </w:p>
        </w:tc>
        <w:tc>
          <w:tcPr>
            <w:tcW w:w="1465" w:type="dxa"/>
            <w:tcBorders>
              <w:top w:val="single" w:sz="2" w:space="0" w:color="auto"/>
              <w:bottom w:val="single" w:sz="4"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30.246</w:t>
            </w:r>
          </w:p>
        </w:tc>
        <w:tc>
          <w:tcPr>
            <w:tcW w:w="1466" w:type="dxa"/>
            <w:tcBorders>
              <w:top w:val="single" w:sz="2" w:space="0" w:color="auto"/>
              <w:bottom w:val="single" w:sz="4" w:space="0" w:color="auto"/>
            </w:tcBorders>
            <w:vAlign w:val="center"/>
          </w:tcPr>
          <w:p w:rsidR="00B01865" w:rsidRPr="00B01865" w:rsidRDefault="00B01865" w:rsidP="00B01865">
            <w:pPr>
              <w:spacing w:after="0"/>
              <w:ind w:firstLine="0"/>
              <w:contextualSpacing/>
              <w:jc w:val="right"/>
              <w:rPr>
                <w:rFonts w:ascii="Arial Narrow" w:hAnsi="Arial Narrow"/>
                <w:color w:val="000000"/>
              </w:rPr>
            </w:pPr>
            <w:r w:rsidRPr="00B01865">
              <w:rPr>
                <w:rFonts w:ascii="Arial Narrow" w:hAnsi="Arial Narrow"/>
                <w:color w:val="000000"/>
              </w:rPr>
              <w:t>-7</w:t>
            </w:r>
          </w:p>
        </w:tc>
      </w:tr>
      <w:tr w:rsidR="00B01865" w:rsidRPr="00B01865" w:rsidTr="00386271">
        <w:trPr>
          <w:trHeight w:val="255"/>
        </w:trPr>
        <w:tc>
          <w:tcPr>
            <w:tcW w:w="4423"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spacing w:after="0"/>
              <w:ind w:firstLine="0"/>
              <w:contextualSpacing/>
              <w:rPr>
                <w:rFonts w:ascii="Arial" w:hAnsi="Arial" w:cs="Arial"/>
                <w:color w:val="000000"/>
                <w:sz w:val="18"/>
                <w:szCs w:val="18"/>
              </w:rPr>
            </w:pPr>
            <w:r w:rsidRPr="00B01865">
              <w:rPr>
                <w:rFonts w:ascii="Arial" w:hAnsi="Arial" w:cs="Arial"/>
                <w:color w:val="000000"/>
                <w:sz w:val="18"/>
                <w:szCs w:val="18"/>
              </w:rPr>
              <w:t>Total</w:t>
            </w:r>
          </w:p>
        </w:tc>
        <w:tc>
          <w:tcPr>
            <w:tcW w:w="1465"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spacing w:after="0"/>
              <w:contextualSpacing/>
              <w:jc w:val="right"/>
              <w:rPr>
                <w:rFonts w:ascii="Arial" w:hAnsi="Arial" w:cs="Arial"/>
                <w:color w:val="000000"/>
                <w:sz w:val="18"/>
                <w:szCs w:val="18"/>
              </w:rPr>
            </w:pPr>
            <w:r w:rsidRPr="00B01865">
              <w:rPr>
                <w:rFonts w:ascii="Arial" w:hAnsi="Arial" w:cs="Arial"/>
                <w:color w:val="000000"/>
                <w:sz w:val="18"/>
                <w:szCs w:val="18"/>
              </w:rPr>
              <w:t>92.019</w:t>
            </w:r>
          </w:p>
        </w:tc>
        <w:tc>
          <w:tcPr>
            <w:tcW w:w="1465"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spacing w:after="0"/>
              <w:contextualSpacing/>
              <w:jc w:val="right"/>
              <w:rPr>
                <w:rFonts w:ascii="Arial" w:hAnsi="Arial" w:cs="Arial"/>
                <w:color w:val="000000"/>
                <w:sz w:val="18"/>
                <w:szCs w:val="18"/>
              </w:rPr>
            </w:pPr>
            <w:r w:rsidRPr="00B01865">
              <w:rPr>
                <w:rFonts w:ascii="Arial" w:hAnsi="Arial" w:cs="Arial"/>
                <w:color w:val="000000"/>
                <w:sz w:val="18"/>
                <w:szCs w:val="18"/>
              </w:rPr>
              <w:t>107.122</w:t>
            </w:r>
          </w:p>
        </w:tc>
        <w:tc>
          <w:tcPr>
            <w:tcW w:w="1466"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spacing w:after="0"/>
              <w:contextualSpacing/>
              <w:jc w:val="right"/>
              <w:rPr>
                <w:rFonts w:ascii="Arial" w:hAnsi="Arial" w:cs="Arial"/>
                <w:color w:val="000000"/>
                <w:sz w:val="18"/>
                <w:szCs w:val="18"/>
              </w:rPr>
            </w:pPr>
            <w:r w:rsidRPr="00B01865">
              <w:rPr>
                <w:rFonts w:ascii="Arial" w:hAnsi="Arial" w:cs="Arial"/>
                <w:color w:val="000000"/>
                <w:sz w:val="18"/>
                <w:szCs w:val="18"/>
              </w:rPr>
              <w:t>16</w:t>
            </w:r>
          </w:p>
        </w:tc>
      </w:tr>
    </w:tbl>
    <w:p w:rsidR="00B01865" w:rsidRPr="00B01865" w:rsidRDefault="00B01865" w:rsidP="00D36628">
      <w:pPr>
        <w:pStyle w:val="texto"/>
        <w:spacing w:before="180"/>
        <w:rPr>
          <w:lang w:val="es-ES"/>
        </w:rPr>
      </w:pPr>
      <w:r w:rsidRPr="00B01865">
        <w:rPr>
          <w:lang w:val="es-ES"/>
        </w:rPr>
        <w:t xml:space="preserve">En 2017, el 37 por ciento de las transferencias se concedieron a empresas privadas, un 28 por ciento tanto a familias e instituciones sin ánimo de lucro como a entidades locales, y el siete por ciento restante </w:t>
      </w:r>
      <w:r w:rsidR="00BC745B">
        <w:rPr>
          <w:lang w:val="es-ES"/>
        </w:rPr>
        <w:t>a</w:t>
      </w:r>
      <w:r w:rsidRPr="00B01865">
        <w:rPr>
          <w:lang w:val="es-ES"/>
        </w:rPr>
        <w:t xml:space="preserve"> fundaciones y empr</w:t>
      </w:r>
      <w:r w:rsidRPr="00B01865">
        <w:rPr>
          <w:lang w:val="es-ES"/>
        </w:rPr>
        <w:t>e</w:t>
      </w:r>
      <w:r w:rsidRPr="00B01865">
        <w:rPr>
          <w:lang w:val="es-ES"/>
        </w:rPr>
        <w:t>sas públicas.</w:t>
      </w:r>
    </w:p>
    <w:p w:rsidR="00B01865" w:rsidRPr="00B01865" w:rsidRDefault="00B01865" w:rsidP="00386271">
      <w:pPr>
        <w:pStyle w:val="texto"/>
        <w:rPr>
          <w:lang w:val="es-ES"/>
        </w:rPr>
      </w:pPr>
      <w:r w:rsidRPr="00B01865">
        <w:rPr>
          <w:lang w:val="es-ES"/>
        </w:rPr>
        <w:t>En general</w:t>
      </w:r>
      <w:r w:rsidR="00904024">
        <w:rPr>
          <w:lang w:val="es-ES"/>
        </w:rPr>
        <w:t>,</w:t>
      </w:r>
      <w:r w:rsidRPr="00B01865">
        <w:rPr>
          <w:lang w:val="es-ES"/>
        </w:rPr>
        <w:t xml:space="preserve"> todos los artículos económicos experimentan aumentos frente a 2016, destacando el </w:t>
      </w:r>
      <w:r w:rsidR="00BC745B">
        <w:rPr>
          <w:lang w:val="es-ES"/>
        </w:rPr>
        <w:t>de</w:t>
      </w:r>
      <w:r w:rsidRPr="00B01865">
        <w:rPr>
          <w:lang w:val="es-ES"/>
        </w:rPr>
        <w:t xml:space="preserve"> las empresas públicas en un 207 por ciento; el único que disminuye es el correspondiente a las transferencias destinadas a familias e in</w:t>
      </w:r>
      <w:r w:rsidRPr="00B01865">
        <w:rPr>
          <w:lang w:val="es-ES"/>
        </w:rPr>
        <w:t>s</w:t>
      </w:r>
      <w:r w:rsidRPr="00B01865">
        <w:rPr>
          <w:lang w:val="es-ES"/>
        </w:rPr>
        <w:t>tituciones sin fines de lucro, que lo hace en un siete por ciento.</w:t>
      </w:r>
    </w:p>
    <w:p w:rsidR="00B01865" w:rsidRPr="00B01865" w:rsidRDefault="00B01865" w:rsidP="00386271">
      <w:pPr>
        <w:pStyle w:val="texto"/>
        <w:rPr>
          <w:rFonts w:ascii="Arial" w:hAnsi="Arial"/>
          <w:i/>
          <w:iCs/>
          <w:color w:val="000000"/>
          <w:spacing w:val="10"/>
          <w:kern w:val="28"/>
          <w:sz w:val="25"/>
          <w:szCs w:val="26"/>
        </w:rPr>
      </w:pPr>
      <w:r w:rsidRPr="00B01865">
        <w:rPr>
          <w:lang w:val="es-ES"/>
        </w:rPr>
        <w:t>No consta la aprobación de un plan estratégico de subvenciones para el año 2017 para la ACFN, instrumento que sí se aprobó para el periodo 2018-2020.</w:t>
      </w:r>
    </w:p>
    <w:p w:rsidR="00B01865" w:rsidRPr="00B01865" w:rsidRDefault="00B01865" w:rsidP="00BC745B">
      <w:pPr>
        <w:pStyle w:val="atitulo3"/>
        <w:spacing w:before="240" w:after="120"/>
      </w:pPr>
      <w:r w:rsidRPr="00B01865">
        <w:t>V.</w:t>
      </w:r>
      <w:r w:rsidR="001C37BF">
        <w:t>7</w:t>
      </w:r>
      <w:r w:rsidRPr="00B01865">
        <w:t>.1. Muestra revisada</w:t>
      </w:r>
    </w:p>
    <w:p w:rsidR="00B01865" w:rsidRPr="00B01865" w:rsidRDefault="00B01865" w:rsidP="00BC745B">
      <w:pPr>
        <w:pStyle w:val="texto"/>
        <w:rPr>
          <w:lang w:val="es-ES"/>
        </w:rPr>
      </w:pPr>
      <w:r w:rsidRPr="00B01865">
        <w:rPr>
          <w:lang w:val="es-ES"/>
        </w:rPr>
        <w:t>La muestra revisada de transferencias corrientes y de capital concedidas en 2017 ha sido la siguiente:</w:t>
      </w:r>
    </w:p>
    <w:tbl>
      <w:tblPr>
        <w:tblW w:w="4940" w:type="pct"/>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4859"/>
        <w:gridCol w:w="1320"/>
        <w:gridCol w:w="1320"/>
        <w:gridCol w:w="1323"/>
      </w:tblGrid>
      <w:tr w:rsidR="00B01865" w:rsidRPr="00B01865" w:rsidTr="00386271">
        <w:trPr>
          <w:trHeight w:val="255"/>
          <w:jc w:val="center"/>
        </w:trPr>
        <w:tc>
          <w:tcPr>
            <w:tcW w:w="5000" w:type="pct"/>
            <w:gridSpan w:val="4"/>
            <w:tcBorders>
              <w:top w:val="nil"/>
              <w:left w:val="nil"/>
              <w:bottom w:val="single" w:sz="4" w:space="0" w:color="auto"/>
              <w:right w:val="nil"/>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7"/>
                <w:szCs w:val="17"/>
              </w:rPr>
            </w:pPr>
            <w:r w:rsidRPr="00B01865">
              <w:rPr>
                <w:rFonts w:ascii="Arial" w:hAnsi="Arial" w:cs="Arial"/>
                <w:spacing w:val="6"/>
                <w:sz w:val="17"/>
                <w:szCs w:val="17"/>
              </w:rPr>
              <w:t>(en miles de euros)</w:t>
            </w:r>
          </w:p>
        </w:tc>
      </w:tr>
      <w:tr w:rsidR="00B01865" w:rsidRPr="00B01865" w:rsidTr="00386271">
        <w:trPr>
          <w:trHeight w:val="255"/>
          <w:jc w:val="center"/>
        </w:trPr>
        <w:tc>
          <w:tcPr>
            <w:tcW w:w="2754" w:type="pct"/>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left"/>
              <w:rPr>
                <w:rFonts w:ascii="Arial" w:hAnsi="Arial" w:cs="Arial"/>
                <w:spacing w:val="6"/>
                <w:sz w:val="18"/>
                <w:szCs w:val="18"/>
              </w:rPr>
            </w:pPr>
          </w:p>
        </w:tc>
        <w:tc>
          <w:tcPr>
            <w:tcW w:w="748" w:type="pct"/>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sidRPr="00B01865">
              <w:rPr>
                <w:rFonts w:ascii="Arial" w:hAnsi="Arial" w:cs="Arial"/>
                <w:spacing w:val="6"/>
                <w:sz w:val="18"/>
                <w:szCs w:val="18"/>
              </w:rPr>
              <w:t>Gasto 2016</w:t>
            </w:r>
          </w:p>
        </w:tc>
        <w:tc>
          <w:tcPr>
            <w:tcW w:w="748" w:type="pct"/>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sidRPr="00B01865">
              <w:rPr>
                <w:rFonts w:ascii="Arial" w:hAnsi="Arial" w:cs="Arial"/>
                <w:spacing w:val="6"/>
                <w:sz w:val="18"/>
                <w:szCs w:val="18"/>
              </w:rPr>
              <w:t>Gasto 2017</w:t>
            </w:r>
          </w:p>
        </w:tc>
        <w:tc>
          <w:tcPr>
            <w:tcW w:w="749" w:type="pct"/>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sidRPr="00B01865">
              <w:rPr>
                <w:rFonts w:ascii="Arial" w:hAnsi="Arial" w:cs="Arial"/>
                <w:spacing w:val="6"/>
                <w:sz w:val="18"/>
                <w:szCs w:val="18"/>
              </w:rPr>
              <w:t xml:space="preserve">% variación </w:t>
            </w:r>
          </w:p>
          <w:p w:rsidR="00B01865" w:rsidRPr="00B01865" w:rsidRDefault="00B01865" w:rsidP="00B01865">
            <w:pPr>
              <w:keepLines/>
              <w:tabs>
                <w:tab w:val="right" w:pos="2835"/>
                <w:tab w:val="right" w:pos="3969"/>
                <w:tab w:val="right" w:pos="5103"/>
                <w:tab w:val="right" w:pos="6237"/>
                <w:tab w:val="right" w:pos="7371"/>
              </w:tabs>
              <w:spacing w:after="0"/>
              <w:ind w:firstLine="0"/>
              <w:contextualSpacing/>
              <w:jc w:val="right"/>
              <w:rPr>
                <w:rFonts w:ascii="Arial" w:hAnsi="Arial" w:cs="Arial"/>
                <w:spacing w:val="6"/>
                <w:sz w:val="18"/>
                <w:szCs w:val="18"/>
              </w:rPr>
            </w:pPr>
            <w:r w:rsidRPr="00B01865">
              <w:rPr>
                <w:rFonts w:ascii="Arial" w:hAnsi="Arial" w:cs="Arial"/>
                <w:spacing w:val="6"/>
                <w:sz w:val="18"/>
                <w:szCs w:val="18"/>
              </w:rPr>
              <w:t>2017/2016</w:t>
            </w:r>
          </w:p>
        </w:tc>
      </w:tr>
      <w:tr w:rsidR="00B01865" w:rsidRPr="00B01865" w:rsidTr="00BC745B">
        <w:trPr>
          <w:trHeight w:val="170"/>
          <w:jc w:val="center"/>
        </w:trPr>
        <w:tc>
          <w:tcPr>
            <w:tcW w:w="5000" w:type="pct"/>
            <w:gridSpan w:val="4"/>
            <w:tcBorders>
              <w:top w:val="single" w:sz="4" w:space="0" w:color="auto"/>
              <w:left w:val="nil"/>
              <w:bottom w:val="single" w:sz="2" w:space="0" w:color="auto"/>
              <w:right w:val="nil"/>
            </w:tcBorders>
            <w:shd w:val="clear" w:color="auto" w:fill="8DB3E2" w:themeFill="text2" w:themeFillTint="66"/>
            <w:noWrap/>
            <w:vAlign w:val="center"/>
          </w:tcPr>
          <w:p w:rsidR="00B01865" w:rsidRPr="00B01865" w:rsidRDefault="00B01865" w:rsidP="00B01865">
            <w:pPr>
              <w:spacing w:after="0"/>
              <w:ind w:firstLine="0"/>
              <w:contextualSpacing/>
              <w:jc w:val="left"/>
              <w:rPr>
                <w:rFonts w:ascii="Arial" w:hAnsi="Arial" w:cs="Arial"/>
                <w:sz w:val="18"/>
                <w:szCs w:val="18"/>
              </w:rPr>
            </w:pPr>
            <w:r w:rsidRPr="00B01865">
              <w:rPr>
                <w:rFonts w:ascii="Arial" w:hAnsi="Arial" w:cs="Arial"/>
                <w:sz w:val="18"/>
                <w:szCs w:val="18"/>
              </w:rPr>
              <w:t>Transferencias corrientes</w:t>
            </w:r>
          </w:p>
        </w:tc>
      </w:tr>
      <w:tr w:rsidR="00B01865" w:rsidRPr="00B01865" w:rsidTr="00BC745B">
        <w:trPr>
          <w:trHeight w:val="170"/>
          <w:jc w:val="center"/>
        </w:trPr>
        <w:tc>
          <w:tcPr>
            <w:tcW w:w="2754" w:type="pct"/>
            <w:tcBorders>
              <w:top w:val="single" w:sz="2" w:space="0" w:color="auto"/>
              <w:left w:val="nil"/>
              <w:bottom w:val="single" w:sz="2" w:space="0" w:color="auto"/>
              <w:right w:val="nil"/>
            </w:tcBorders>
            <w:noWrap/>
            <w:vAlign w:val="center"/>
          </w:tcPr>
          <w:p w:rsidR="00B01865" w:rsidRPr="00B01865" w:rsidRDefault="00B01865" w:rsidP="00B01865">
            <w:pPr>
              <w:spacing w:after="0"/>
              <w:ind w:firstLine="0"/>
              <w:contextualSpacing/>
              <w:jc w:val="left"/>
              <w:rPr>
                <w:rFonts w:ascii="Arial Narrow" w:hAnsi="Arial Narrow" w:cs="Arial"/>
              </w:rPr>
            </w:pPr>
            <w:r w:rsidRPr="00B01865">
              <w:rPr>
                <w:rFonts w:ascii="Arial Narrow" w:hAnsi="Arial Narrow" w:cs="Arial"/>
              </w:rPr>
              <w:t>Subvenciones para arrendamiento de viviendas</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contextualSpacing/>
              <w:jc w:val="right"/>
              <w:rPr>
                <w:rFonts w:ascii="Arial Narrow" w:hAnsi="Arial Narrow" w:cs="Arial"/>
              </w:rPr>
            </w:pPr>
            <w:r w:rsidRPr="00B01865">
              <w:rPr>
                <w:rFonts w:ascii="Arial Narrow" w:hAnsi="Arial Narrow" w:cs="Arial"/>
              </w:rPr>
              <w:t>12.116</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contextualSpacing/>
              <w:jc w:val="right"/>
              <w:rPr>
                <w:rFonts w:ascii="Arial Narrow" w:hAnsi="Arial Narrow" w:cs="Arial"/>
              </w:rPr>
            </w:pPr>
            <w:r w:rsidRPr="00B01865">
              <w:rPr>
                <w:rFonts w:ascii="Arial Narrow" w:hAnsi="Arial Narrow" w:cs="Arial"/>
              </w:rPr>
              <w:t>14.457</w:t>
            </w:r>
          </w:p>
        </w:tc>
        <w:tc>
          <w:tcPr>
            <w:tcW w:w="749" w:type="pct"/>
            <w:tcBorders>
              <w:top w:val="single" w:sz="2" w:space="0" w:color="auto"/>
              <w:left w:val="nil"/>
              <w:bottom w:val="single" w:sz="2" w:space="0" w:color="auto"/>
              <w:right w:val="nil"/>
            </w:tcBorders>
            <w:vAlign w:val="center"/>
          </w:tcPr>
          <w:p w:rsidR="00B01865" w:rsidRPr="00B01865" w:rsidRDefault="00B01865" w:rsidP="00B01865">
            <w:pPr>
              <w:spacing w:after="0"/>
              <w:contextualSpacing/>
              <w:jc w:val="right"/>
              <w:rPr>
                <w:rFonts w:ascii="Arial Narrow" w:hAnsi="Arial Narrow" w:cs="Arial"/>
              </w:rPr>
            </w:pPr>
            <w:r w:rsidRPr="00B01865">
              <w:rPr>
                <w:rFonts w:ascii="Arial Narrow" w:hAnsi="Arial Narrow" w:cs="Arial"/>
              </w:rPr>
              <w:t>19</w:t>
            </w:r>
          </w:p>
        </w:tc>
      </w:tr>
      <w:tr w:rsidR="00B01865" w:rsidRPr="00B01865" w:rsidTr="00BC745B">
        <w:trPr>
          <w:trHeight w:val="170"/>
          <w:jc w:val="center"/>
        </w:trPr>
        <w:tc>
          <w:tcPr>
            <w:tcW w:w="2754" w:type="pct"/>
            <w:tcBorders>
              <w:top w:val="single" w:sz="2" w:space="0" w:color="auto"/>
              <w:left w:val="nil"/>
              <w:bottom w:val="single" w:sz="2" w:space="0" w:color="auto"/>
              <w:right w:val="nil"/>
            </w:tcBorders>
            <w:noWrap/>
            <w:vAlign w:val="center"/>
          </w:tcPr>
          <w:p w:rsidR="00B01865" w:rsidRPr="00B01865" w:rsidRDefault="00B01865" w:rsidP="00B01865">
            <w:pPr>
              <w:spacing w:after="0"/>
              <w:ind w:firstLine="0"/>
              <w:contextualSpacing/>
              <w:jc w:val="left"/>
              <w:rPr>
                <w:rFonts w:ascii="Arial Narrow" w:hAnsi="Arial Narrow" w:cs="Arial"/>
              </w:rPr>
            </w:pPr>
            <w:r w:rsidRPr="00B01865">
              <w:rPr>
                <w:rFonts w:ascii="Arial Narrow" w:hAnsi="Arial Narrow" w:cs="Arial"/>
              </w:rPr>
              <w:t>Becas y ayudas para enseñanzas medias y estudios superiores</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sidRPr="00B01865">
              <w:rPr>
                <w:rFonts w:ascii="Arial Narrow" w:hAnsi="Arial Narrow" w:cs="Arial"/>
              </w:rPr>
              <w:t>3.360</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sidRPr="00B01865">
              <w:rPr>
                <w:rFonts w:ascii="Arial Narrow" w:hAnsi="Arial Narrow" w:cs="Arial"/>
              </w:rPr>
              <w:t>4.572</w:t>
            </w:r>
          </w:p>
        </w:tc>
        <w:tc>
          <w:tcPr>
            <w:tcW w:w="749"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sidRPr="00B01865">
              <w:rPr>
                <w:rFonts w:ascii="Arial Narrow" w:hAnsi="Arial Narrow" w:cs="Arial"/>
              </w:rPr>
              <w:t>36</w:t>
            </w:r>
          </w:p>
        </w:tc>
      </w:tr>
      <w:tr w:rsidR="00B01865" w:rsidRPr="00B01865" w:rsidTr="00BC745B">
        <w:trPr>
          <w:trHeight w:val="170"/>
          <w:jc w:val="center"/>
        </w:trPr>
        <w:tc>
          <w:tcPr>
            <w:tcW w:w="2754" w:type="pct"/>
            <w:tcBorders>
              <w:top w:val="single" w:sz="2" w:space="0" w:color="auto"/>
              <w:left w:val="nil"/>
              <w:bottom w:val="single" w:sz="2" w:space="0" w:color="auto"/>
              <w:right w:val="nil"/>
            </w:tcBorders>
            <w:noWrap/>
            <w:vAlign w:val="center"/>
          </w:tcPr>
          <w:p w:rsidR="00B01865" w:rsidRPr="00B01865" w:rsidRDefault="00B01865" w:rsidP="00B01865">
            <w:pPr>
              <w:spacing w:after="0"/>
              <w:ind w:firstLine="0"/>
              <w:contextualSpacing/>
              <w:jc w:val="left"/>
              <w:rPr>
                <w:rFonts w:ascii="Arial Narrow" w:hAnsi="Arial Narrow" w:cs="Arial"/>
              </w:rPr>
            </w:pPr>
            <w:r w:rsidRPr="00B01865">
              <w:rPr>
                <w:rFonts w:ascii="Arial Narrow" w:hAnsi="Arial Narrow" w:cs="Arial"/>
              </w:rPr>
              <w:t>Canon riegos Canal Navarra, ampliación 1ª fase</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sidRPr="00B01865">
              <w:rPr>
                <w:rFonts w:ascii="Arial Narrow" w:hAnsi="Arial Narrow" w:cs="Arial"/>
              </w:rPr>
              <w:t>0</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sidRPr="00B01865">
              <w:rPr>
                <w:rFonts w:ascii="Arial Narrow" w:hAnsi="Arial Narrow" w:cs="Arial"/>
              </w:rPr>
              <w:t>2.916</w:t>
            </w:r>
          </w:p>
        </w:tc>
        <w:tc>
          <w:tcPr>
            <w:tcW w:w="749"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sidRPr="00B01865">
              <w:rPr>
                <w:rFonts w:ascii="Arial Narrow" w:hAnsi="Arial Narrow" w:cs="Arial"/>
              </w:rPr>
              <w:t>-</w:t>
            </w:r>
          </w:p>
        </w:tc>
      </w:tr>
      <w:tr w:rsidR="00B01865" w:rsidRPr="00B01865" w:rsidTr="00BC745B">
        <w:trPr>
          <w:trHeight w:val="170"/>
          <w:jc w:val="center"/>
        </w:trPr>
        <w:tc>
          <w:tcPr>
            <w:tcW w:w="5000" w:type="pct"/>
            <w:gridSpan w:val="4"/>
            <w:tcBorders>
              <w:top w:val="single" w:sz="4" w:space="0" w:color="auto"/>
              <w:left w:val="nil"/>
              <w:bottom w:val="single" w:sz="2" w:space="0" w:color="auto"/>
              <w:right w:val="nil"/>
            </w:tcBorders>
            <w:shd w:val="clear" w:color="auto" w:fill="8DB3E2" w:themeFill="text2" w:themeFillTint="66"/>
            <w:noWrap/>
            <w:vAlign w:val="center"/>
          </w:tcPr>
          <w:p w:rsidR="00B01865" w:rsidRPr="00B01865" w:rsidRDefault="00B01865" w:rsidP="00B01865">
            <w:pPr>
              <w:spacing w:after="0"/>
              <w:ind w:firstLine="0"/>
              <w:contextualSpacing/>
              <w:jc w:val="left"/>
              <w:rPr>
                <w:rFonts w:ascii="Arial" w:hAnsi="Arial" w:cs="Arial"/>
                <w:sz w:val="18"/>
                <w:szCs w:val="18"/>
              </w:rPr>
            </w:pPr>
            <w:r w:rsidRPr="00B01865">
              <w:rPr>
                <w:rFonts w:ascii="Arial" w:hAnsi="Arial" w:cs="Arial"/>
                <w:sz w:val="18"/>
                <w:szCs w:val="18"/>
              </w:rPr>
              <w:t>Transferencias de capital</w:t>
            </w:r>
          </w:p>
        </w:tc>
      </w:tr>
      <w:tr w:rsidR="00B01865" w:rsidRPr="00B01865" w:rsidTr="00BC745B">
        <w:trPr>
          <w:trHeight w:val="170"/>
          <w:jc w:val="center"/>
        </w:trPr>
        <w:tc>
          <w:tcPr>
            <w:tcW w:w="2754" w:type="pct"/>
            <w:tcBorders>
              <w:top w:val="single" w:sz="2" w:space="0" w:color="auto"/>
              <w:left w:val="nil"/>
              <w:bottom w:val="single" w:sz="2" w:space="0" w:color="auto"/>
              <w:right w:val="nil"/>
            </w:tcBorders>
            <w:noWrap/>
            <w:vAlign w:val="center"/>
          </w:tcPr>
          <w:p w:rsidR="00B01865" w:rsidRPr="00B01865" w:rsidRDefault="00B01865" w:rsidP="00B01865">
            <w:pPr>
              <w:spacing w:after="0"/>
              <w:ind w:firstLine="0"/>
              <w:contextualSpacing/>
              <w:jc w:val="left"/>
              <w:rPr>
                <w:rFonts w:ascii="Arial Narrow" w:hAnsi="Arial Narrow" w:cs="Arial"/>
              </w:rPr>
            </w:pPr>
            <w:r w:rsidRPr="00B01865">
              <w:rPr>
                <w:rFonts w:ascii="Arial Narrow" w:hAnsi="Arial Narrow" w:cs="Arial"/>
              </w:rPr>
              <w:t>Ayudas a centros tecnológicos y organismos de investigación</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contextualSpacing/>
              <w:jc w:val="right"/>
              <w:rPr>
                <w:rFonts w:ascii="Arial Narrow" w:hAnsi="Arial Narrow" w:cs="Arial"/>
              </w:rPr>
            </w:pPr>
            <w:r w:rsidRPr="00B01865">
              <w:rPr>
                <w:rFonts w:ascii="Arial Narrow" w:hAnsi="Arial Narrow" w:cs="Arial"/>
              </w:rPr>
              <w:t>7.461</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contextualSpacing/>
              <w:jc w:val="right"/>
              <w:rPr>
                <w:rFonts w:ascii="Arial Narrow" w:hAnsi="Arial Narrow" w:cs="Arial"/>
              </w:rPr>
            </w:pPr>
            <w:r w:rsidRPr="00B01865">
              <w:rPr>
                <w:rFonts w:ascii="Arial Narrow" w:hAnsi="Arial Narrow" w:cs="Arial"/>
              </w:rPr>
              <w:t>5.444</w:t>
            </w:r>
          </w:p>
        </w:tc>
        <w:tc>
          <w:tcPr>
            <w:tcW w:w="749" w:type="pct"/>
            <w:tcBorders>
              <w:top w:val="single" w:sz="2" w:space="0" w:color="auto"/>
              <w:left w:val="nil"/>
              <w:bottom w:val="single" w:sz="2" w:space="0" w:color="auto"/>
              <w:right w:val="nil"/>
            </w:tcBorders>
            <w:vAlign w:val="center"/>
          </w:tcPr>
          <w:p w:rsidR="00B01865" w:rsidRPr="00B01865" w:rsidRDefault="00B01865" w:rsidP="00B01865">
            <w:pPr>
              <w:spacing w:after="0"/>
              <w:contextualSpacing/>
              <w:jc w:val="right"/>
              <w:rPr>
                <w:rFonts w:ascii="Arial Narrow" w:hAnsi="Arial Narrow" w:cs="Arial"/>
              </w:rPr>
            </w:pPr>
            <w:r w:rsidRPr="00B01865">
              <w:rPr>
                <w:rFonts w:ascii="Arial Narrow" w:hAnsi="Arial Narrow" w:cs="Arial"/>
              </w:rPr>
              <w:t>-27</w:t>
            </w:r>
          </w:p>
        </w:tc>
      </w:tr>
      <w:tr w:rsidR="00B01865" w:rsidRPr="00B01865" w:rsidTr="00BC745B">
        <w:trPr>
          <w:trHeight w:val="170"/>
          <w:jc w:val="center"/>
        </w:trPr>
        <w:tc>
          <w:tcPr>
            <w:tcW w:w="2754" w:type="pct"/>
            <w:tcBorders>
              <w:top w:val="single" w:sz="2" w:space="0" w:color="auto"/>
              <w:left w:val="nil"/>
              <w:bottom w:val="single" w:sz="2" w:space="0" w:color="auto"/>
              <w:right w:val="nil"/>
            </w:tcBorders>
            <w:noWrap/>
            <w:vAlign w:val="center"/>
          </w:tcPr>
          <w:p w:rsidR="00B01865" w:rsidRPr="00B01865" w:rsidRDefault="00B01865" w:rsidP="00B01865">
            <w:pPr>
              <w:spacing w:after="0"/>
              <w:ind w:firstLine="0"/>
              <w:contextualSpacing/>
              <w:jc w:val="left"/>
              <w:rPr>
                <w:rFonts w:ascii="Arial Narrow" w:hAnsi="Arial Narrow" w:cs="Arial"/>
              </w:rPr>
            </w:pPr>
            <w:r w:rsidRPr="00B01865">
              <w:rPr>
                <w:rFonts w:ascii="Arial Narrow" w:hAnsi="Arial Narrow" w:cs="Arial"/>
              </w:rPr>
              <w:t>Proyectos I+D estratégicos RIS3 Navarra</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sidRPr="00B01865">
              <w:rPr>
                <w:rFonts w:ascii="Arial Narrow" w:hAnsi="Arial Narrow" w:cs="Arial"/>
              </w:rPr>
              <w:t>0</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sidRPr="00B01865">
              <w:rPr>
                <w:rFonts w:ascii="Arial Narrow" w:hAnsi="Arial Narrow" w:cs="Arial"/>
              </w:rPr>
              <w:t>2.034</w:t>
            </w:r>
          </w:p>
        </w:tc>
        <w:tc>
          <w:tcPr>
            <w:tcW w:w="749"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sidRPr="00B01865">
              <w:rPr>
                <w:rFonts w:ascii="Arial Narrow" w:hAnsi="Arial Narrow" w:cs="Arial"/>
              </w:rPr>
              <w:t>-</w:t>
            </w:r>
          </w:p>
        </w:tc>
      </w:tr>
      <w:tr w:rsidR="00B01865" w:rsidRPr="00B01865" w:rsidTr="00BC745B">
        <w:trPr>
          <w:trHeight w:val="170"/>
          <w:jc w:val="center"/>
        </w:trPr>
        <w:tc>
          <w:tcPr>
            <w:tcW w:w="2754" w:type="pct"/>
            <w:tcBorders>
              <w:top w:val="single" w:sz="2" w:space="0" w:color="auto"/>
              <w:left w:val="nil"/>
              <w:bottom w:val="single" w:sz="2" w:space="0" w:color="auto"/>
              <w:right w:val="nil"/>
            </w:tcBorders>
            <w:noWrap/>
            <w:vAlign w:val="center"/>
          </w:tcPr>
          <w:p w:rsidR="00B01865" w:rsidRPr="00B01865" w:rsidRDefault="00B01865" w:rsidP="00B01865">
            <w:pPr>
              <w:spacing w:after="0"/>
              <w:ind w:firstLine="0"/>
              <w:contextualSpacing/>
              <w:jc w:val="left"/>
              <w:rPr>
                <w:rFonts w:ascii="Arial Narrow" w:hAnsi="Arial Narrow" w:cs="Arial"/>
              </w:rPr>
            </w:pPr>
            <w:r w:rsidRPr="00B01865">
              <w:rPr>
                <w:rFonts w:ascii="Arial Narrow" w:hAnsi="Arial Narrow" w:cs="Arial"/>
              </w:rPr>
              <w:t>Instalación nuevos regadíos Canal Navarra</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sidRPr="00B01865">
              <w:rPr>
                <w:rFonts w:ascii="Arial Narrow" w:hAnsi="Arial Narrow" w:cs="Arial"/>
              </w:rPr>
              <w:t>11</w:t>
            </w:r>
          </w:p>
        </w:tc>
        <w:tc>
          <w:tcPr>
            <w:tcW w:w="748"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sidRPr="00B01865">
              <w:rPr>
                <w:rFonts w:ascii="Arial Narrow" w:hAnsi="Arial Narrow" w:cs="Arial"/>
              </w:rPr>
              <w:t>556</w:t>
            </w:r>
          </w:p>
        </w:tc>
        <w:tc>
          <w:tcPr>
            <w:tcW w:w="749" w:type="pct"/>
            <w:tcBorders>
              <w:top w:val="single" w:sz="2" w:space="0" w:color="auto"/>
              <w:left w:val="nil"/>
              <w:bottom w:val="single" w:sz="2"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sidRPr="00B01865">
              <w:rPr>
                <w:rFonts w:ascii="Arial Narrow" w:hAnsi="Arial Narrow" w:cs="Arial"/>
              </w:rPr>
              <w:t>5.019</w:t>
            </w:r>
          </w:p>
        </w:tc>
      </w:tr>
      <w:tr w:rsidR="00B01865" w:rsidRPr="00B01865" w:rsidTr="00BC745B">
        <w:trPr>
          <w:trHeight w:val="170"/>
          <w:jc w:val="center"/>
        </w:trPr>
        <w:tc>
          <w:tcPr>
            <w:tcW w:w="5000" w:type="pct"/>
            <w:gridSpan w:val="4"/>
            <w:tcBorders>
              <w:top w:val="single" w:sz="2" w:space="0" w:color="auto"/>
              <w:left w:val="nil"/>
              <w:bottom w:val="single" w:sz="4" w:space="0" w:color="auto"/>
              <w:right w:val="nil"/>
            </w:tcBorders>
            <w:shd w:val="clear" w:color="auto" w:fill="8DB3E2" w:themeFill="text2" w:themeFillTint="66"/>
            <w:noWrap/>
            <w:vAlign w:val="center"/>
          </w:tcPr>
          <w:p w:rsidR="00B01865" w:rsidRPr="00B01865" w:rsidRDefault="00B01865" w:rsidP="00B01865">
            <w:pPr>
              <w:spacing w:after="0"/>
              <w:ind w:firstLine="0"/>
              <w:contextualSpacing/>
              <w:jc w:val="left"/>
              <w:rPr>
                <w:rFonts w:ascii="Arial" w:hAnsi="Arial" w:cs="Arial"/>
                <w:sz w:val="18"/>
                <w:szCs w:val="18"/>
              </w:rPr>
            </w:pPr>
            <w:r w:rsidRPr="00B01865">
              <w:rPr>
                <w:rFonts w:ascii="Arial" w:hAnsi="Arial" w:cs="Arial"/>
                <w:sz w:val="18"/>
                <w:szCs w:val="18"/>
              </w:rPr>
              <w:t xml:space="preserve">Reintegros </w:t>
            </w:r>
          </w:p>
        </w:tc>
      </w:tr>
      <w:tr w:rsidR="00B01865" w:rsidRPr="00B01865" w:rsidTr="00BC745B">
        <w:trPr>
          <w:trHeight w:val="170"/>
          <w:jc w:val="center"/>
        </w:trPr>
        <w:tc>
          <w:tcPr>
            <w:tcW w:w="2754" w:type="pct"/>
            <w:tcBorders>
              <w:top w:val="single" w:sz="4" w:space="0" w:color="auto"/>
              <w:left w:val="nil"/>
              <w:bottom w:val="single" w:sz="4" w:space="0" w:color="auto"/>
              <w:right w:val="nil"/>
            </w:tcBorders>
            <w:noWrap/>
            <w:vAlign w:val="center"/>
          </w:tcPr>
          <w:p w:rsidR="00B01865" w:rsidRPr="00B01865" w:rsidRDefault="000C0E8C" w:rsidP="00B01865">
            <w:pPr>
              <w:spacing w:after="0"/>
              <w:ind w:firstLine="0"/>
              <w:contextualSpacing/>
              <w:jc w:val="left"/>
              <w:rPr>
                <w:rFonts w:ascii="Arial Narrow" w:hAnsi="Arial Narrow" w:cs="Arial"/>
              </w:rPr>
            </w:pPr>
            <w:r>
              <w:rPr>
                <w:rFonts w:ascii="Arial Narrow" w:hAnsi="Arial Narrow" w:cs="Arial"/>
              </w:rPr>
              <w:t>18</w:t>
            </w:r>
            <w:r w:rsidR="00B01865" w:rsidRPr="00B01865">
              <w:rPr>
                <w:rFonts w:ascii="Arial Narrow" w:hAnsi="Arial Narrow" w:cs="Arial"/>
              </w:rPr>
              <w:t xml:space="preserve"> expedientes </w:t>
            </w:r>
          </w:p>
        </w:tc>
        <w:tc>
          <w:tcPr>
            <w:tcW w:w="748" w:type="pct"/>
            <w:tcBorders>
              <w:top w:val="single" w:sz="4" w:space="0" w:color="auto"/>
              <w:left w:val="nil"/>
              <w:bottom w:val="single" w:sz="4"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sidRPr="00B01865">
              <w:rPr>
                <w:rFonts w:ascii="Arial Narrow" w:hAnsi="Arial Narrow" w:cs="Arial"/>
              </w:rPr>
              <w:t>-</w:t>
            </w:r>
          </w:p>
        </w:tc>
        <w:tc>
          <w:tcPr>
            <w:tcW w:w="748" w:type="pct"/>
            <w:tcBorders>
              <w:top w:val="single" w:sz="4" w:space="0" w:color="auto"/>
              <w:left w:val="nil"/>
              <w:bottom w:val="single" w:sz="4" w:space="0" w:color="auto"/>
              <w:right w:val="nil"/>
            </w:tcBorders>
            <w:vAlign w:val="center"/>
          </w:tcPr>
          <w:p w:rsidR="00B01865" w:rsidRPr="00B01865" w:rsidRDefault="000C0E8C" w:rsidP="00B01865">
            <w:pPr>
              <w:spacing w:after="0"/>
              <w:ind w:firstLine="0"/>
              <w:contextualSpacing/>
              <w:jc w:val="right"/>
              <w:rPr>
                <w:rFonts w:ascii="Arial Narrow" w:hAnsi="Arial Narrow" w:cs="Arial"/>
              </w:rPr>
            </w:pPr>
            <w:r>
              <w:rPr>
                <w:rFonts w:ascii="Arial Narrow" w:hAnsi="Arial Narrow" w:cs="Arial"/>
              </w:rPr>
              <w:t>5.174</w:t>
            </w:r>
          </w:p>
        </w:tc>
        <w:tc>
          <w:tcPr>
            <w:tcW w:w="749" w:type="pct"/>
            <w:tcBorders>
              <w:top w:val="single" w:sz="4" w:space="0" w:color="auto"/>
              <w:left w:val="nil"/>
              <w:bottom w:val="single" w:sz="4" w:space="0" w:color="auto"/>
              <w:right w:val="nil"/>
            </w:tcBorders>
            <w:vAlign w:val="center"/>
          </w:tcPr>
          <w:p w:rsidR="00B01865" w:rsidRPr="00B01865" w:rsidRDefault="00B01865" w:rsidP="00B01865">
            <w:pPr>
              <w:spacing w:after="0"/>
              <w:ind w:firstLine="0"/>
              <w:contextualSpacing/>
              <w:jc w:val="right"/>
              <w:rPr>
                <w:rFonts w:ascii="Arial Narrow" w:hAnsi="Arial Narrow" w:cs="Arial"/>
              </w:rPr>
            </w:pPr>
            <w:r w:rsidRPr="00B01865">
              <w:rPr>
                <w:rFonts w:ascii="Arial Narrow" w:hAnsi="Arial Narrow" w:cs="Arial"/>
              </w:rPr>
              <w:t>-</w:t>
            </w:r>
          </w:p>
        </w:tc>
      </w:tr>
    </w:tbl>
    <w:p w:rsidR="00B01865" w:rsidRPr="00B01865" w:rsidRDefault="00B01865" w:rsidP="00386271">
      <w:pPr>
        <w:pStyle w:val="texto"/>
        <w:spacing w:before="240"/>
        <w:rPr>
          <w:lang w:val="es-ES"/>
        </w:rPr>
      </w:pPr>
      <w:r w:rsidRPr="00B01865">
        <w:rPr>
          <w:lang w:val="es-ES"/>
        </w:rPr>
        <w:t>Se ha comprobado que, en general, los gastos revisados están autorizados, intervenidos, justificados y correctamente contabilizados, y la concesión, just</w:t>
      </w:r>
      <w:r w:rsidRPr="00B01865">
        <w:rPr>
          <w:lang w:val="es-ES"/>
        </w:rPr>
        <w:t>i</w:t>
      </w:r>
      <w:r w:rsidRPr="00B01865">
        <w:rPr>
          <w:lang w:val="es-ES"/>
        </w:rPr>
        <w:lastRenderedPageBreak/>
        <w:t>ficación y abono, o reintegro en su caso, de las subvenciones</w:t>
      </w:r>
      <w:r w:rsidRPr="00B01865">
        <w:rPr>
          <w:vertAlign w:val="superscript"/>
          <w:lang w:val="es-ES"/>
        </w:rPr>
        <w:footnoteReference w:id="6"/>
      </w:r>
      <w:r w:rsidRPr="00B01865">
        <w:rPr>
          <w:lang w:val="es-ES"/>
        </w:rPr>
        <w:t xml:space="preserve"> se realizó co</w:t>
      </w:r>
      <w:r w:rsidRPr="00B01865">
        <w:rPr>
          <w:lang w:val="es-ES"/>
        </w:rPr>
        <w:t>n</w:t>
      </w:r>
      <w:r w:rsidRPr="00B01865">
        <w:rPr>
          <w:lang w:val="es-ES"/>
        </w:rPr>
        <w:t>forme a lo establecido en su normativa reguladora, si bien señalamos los s</w:t>
      </w:r>
      <w:r w:rsidRPr="00B01865">
        <w:rPr>
          <w:lang w:val="es-ES"/>
        </w:rPr>
        <w:t>i</w:t>
      </w:r>
      <w:r w:rsidRPr="00B01865">
        <w:rPr>
          <w:lang w:val="es-ES"/>
        </w:rPr>
        <w:t>guientes aspectos:</w:t>
      </w:r>
    </w:p>
    <w:p w:rsidR="00B01865" w:rsidRPr="00386271" w:rsidRDefault="00B01865" w:rsidP="00B01865">
      <w:pPr>
        <w:numPr>
          <w:ilvl w:val="0"/>
          <w:numId w:val="2"/>
        </w:numPr>
        <w:tabs>
          <w:tab w:val="clear" w:pos="1948"/>
          <w:tab w:val="num" w:pos="300"/>
          <w:tab w:val="num" w:pos="360"/>
          <w:tab w:val="left" w:pos="480"/>
          <w:tab w:val="num" w:pos="600"/>
          <w:tab w:val="num" w:pos="720"/>
          <w:tab w:val="num" w:pos="1320"/>
        </w:tabs>
        <w:ind w:left="0" w:firstLine="289"/>
        <w:rPr>
          <w:spacing w:val="6"/>
          <w:sz w:val="26"/>
          <w:szCs w:val="24"/>
        </w:rPr>
      </w:pPr>
      <w:r w:rsidRPr="00386271">
        <w:rPr>
          <w:rFonts w:cs="Arial"/>
          <w:spacing w:val="6"/>
          <w:sz w:val="26"/>
          <w:szCs w:val="24"/>
        </w:rPr>
        <w:t>Uno de los criterios recogido en la convocatoria para las subvenciones a centros tecnológicos y organismos de investigación</w:t>
      </w:r>
      <w:r w:rsidR="00904024">
        <w:rPr>
          <w:rFonts w:cs="Arial"/>
          <w:spacing w:val="6"/>
          <w:sz w:val="26"/>
          <w:szCs w:val="24"/>
        </w:rPr>
        <w:t>,</w:t>
      </w:r>
      <w:r w:rsidRPr="00386271">
        <w:rPr>
          <w:rFonts w:cs="Arial"/>
          <w:spacing w:val="6"/>
          <w:sz w:val="26"/>
          <w:szCs w:val="24"/>
        </w:rPr>
        <w:t xml:space="preserve"> para la evaluación de los proyectos presentados por una misma entidad, era el de “prioridad del proyecto respecto al plan estratégico del centro”.</w:t>
      </w:r>
    </w:p>
    <w:p w:rsidR="00B01865" w:rsidRPr="00B01865" w:rsidRDefault="00C71F04" w:rsidP="00386271">
      <w:pPr>
        <w:pStyle w:val="texto"/>
      </w:pPr>
      <w:r>
        <w:t xml:space="preserve">La Universidad Pública de Navarra </w:t>
      </w:r>
      <w:r w:rsidR="00B01865" w:rsidRPr="00B01865">
        <w:t>remitió este listado con información rel</w:t>
      </w:r>
      <w:r w:rsidR="00B01865" w:rsidRPr="00B01865">
        <w:t>a</w:t>
      </w:r>
      <w:r w:rsidR="00B01865" w:rsidRPr="00B01865">
        <w:t>tiva a la priorización de los proyectos</w:t>
      </w:r>
      <w:r w:rsidR="00904024">
        <w:t>,</w:t>
      </w:r>
      <w:r w:rsidR="00B01865" w:rsidRPr="00B01865">
        <w:t xml:space="preserve"> de tal forma que no se podían identificar adecuadamente, por lo que se le requirió que modificara los datos para poder realizar la asignación de puntos correctamente. La entidad volvió a enviar esta información pero estos datos, debido a un error material con la información inicial con la que se contaba, no se cruzaron adecuadamente. </w:t>
      </w:r>
    </w:p>
    <w:p w:rsidR="00B01865" w:rsidRPr="00B01865" w:rsidRDefault="00B01865" w:rsidP="00386271">
      <w:pPr>
        <w:pStyle w:val="texto"/>
      </w:pPr>
      <w:r w:rsidRPr="00B01865">
        <w:t>Esta asignación de puntuaciones dio como resultado la resolución de conc</w:t>
      </w:r>
      <w:r w:rsidRPr="00B01865">
        <w:t>e</w:t>
      </w:r>
      <w:r w:rsidRPr="00B01865">
        <w:t xml:space="preserve">sión de ayudas en junio de 2017; una vez que el centro en cuestión recibió esta notificación y advirtió el error, lo comunicó al Departamento de </w:t>
      </w:r>
      <w:r w:rsidR="007C50A4">
        <w:t>Desarrollo Económico</w:t>
      </w:r>
      <w:r w:rsidRPr="00B01865">
        <w:t>, y se decidió modificar la resolución anterior; así, en agosto de 2017, la resolución definitiva incluyó seis proyectos de ese centro que deberían haber recibido subvención, en caso de que la asignación de puntos hubiera sido correcta, por un total de 342.583 euros. Por otro lado, se mantuvieron tres pr</w:t>
      </w:r>
      <w:r w:rsidRPr="00B01865">
        <w:t>o</w:t>
      </w:r>
      <w:r w:rsidRPr="00B01865">
        <w:t xml:space="preserve">yectos, que no deberían haber recibido ayuda si la asignación de puntuaciones hubiera sido correcta, por un total de 420.292 euros, por considerar que: </w:t>
      </w:r>
    </w:p>
    <w:p w:rsidR="00B01865" w:rsidRPr="00B01865" w:rsidRDefault="00B01865" w:rsidP="00B01865">
      <w:pPr>
        <w:tabs>
          <w:tab w:val="left" w:pos="480"/>
          <w:tab w:val="num" w:pos="600"/>
          <w:tab w:val="num" w:pos="720"/>
          <w:tab w:val="num" w:pos="1320"/>
          <w:tab w:val="num" w:pos="4045"/>
        </w:tabs>
        <w:ind w:firstLine="284"/>
        <w:rPr>
          <w:rFonts w:cs="Arial"/>
          <w:spacing w:val="6"/>
          <w:sz w:val="26"/>
          <w:szCs w:val="24"/>
        </w:rPr>
      </w:pPr>
      <w:r w:rsidRPr="00B01865">
        <w:rPr>
          <w:rFonts w:cs="Arial"/>
          <w:i/>
          <w:spacing w:val="6"/>
          <w:sz w:val="22"/>
          <w:szCs w:val="22"/>
        </w:rPr>
        <w:t>“… dado que el plazo de ejecución de los proyectos es de un año, todos se encuentran iniciados en distintas fases de desarrollo, incluyendo contrataciones de investigadores, por lo que una denegación ahora supondría un grave perjuicio para las entidades benefici</w:t>
      </w:r>
      <w:r w:rsidRPr="00B01865">
        <w:rPr>
          <w:rFonts w:cs="Arial"/>
          <w:i/>
          <w:spacing w:val="6"/>
          <w:sz w:val="22"/>
          <w:szCs w:val="22"/>
        </w:rPr>
        <w:t>a</w:t>
      </w:r>
      <w:r w:rsidRPr="00B01865">
        <w:rPr>
          <w:rFonts w:cs="Arial"/>
          <w:i/>
          <w:spacing w:val="6"/>
          <w:sz w:val="22"/>
          <w:szCs w:val="22"/>
        </w:rPr>
        <w:t>rias…”.</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 xml:space="preserve">Los 2,92 millones de euros correspondientes al canon de riegos del Canal de Navarra se corresponden con gastos de 2015 (7.436 euros), de 2016 (0,48 millones de euros) y de 2017 (2,43 millones). </w:t>
      </w:r>
    </w:p>
    <w:p w:rsidR="00B01865" w:rsidRPr="00B01865" w:rsidRDefault="00B01865" w:rsidP="00386271">
      <w:pPr>
        <w:pStyle w:val="texto"/>
      </w:pPr>
      <w:r w:rsidRPr="00B01865">
        <w:tab/>
        <w:t>La razón de que se hayan reconocido en 2017 gastos de ejercicios anteriores se debe a la tardanza significativa con la que se han tramitado estos expedientes debido fundamentalmente a las siguientes causas: el Servicio de Intervención realizó actuaciones más exhaustivas respecto a años anteriores; este servicio recibió los expedientes con retraso respecto al devengo del gasto y</w:t>
      </w:r>
      <w:r w:rsidR="00904024">
        <w:t>,</w:t>
      </w:r>
      <w:r w:rsidRPr="00B01865">
        <w:t xml:space="preserve"> además, e</w:t>
      </w:r>
      <w:r w:rsidRPr="00B01865">
        <w:t>s</w:t>
      </w:r>
      <w:r w:rsidRPr="00B01865">
        <w:t>tos estaban incompletos, lo que demoró aún más la actuación de la interve</w:t>
      </w:r>
      <w:r w:rsidRPr="00B01865">
        <w:t>n</w:t>
      </w:r>
      <w:r w:rsidRPr="00B01865">
        <w:t xml:space="preserve">ción.  </w:t>
      </w:r>
    </w:p>
    <w:p w:rsidR="00B01865" w:rsidRPr="00B01865" w:rsidRDefault="00B01865" w:rsidP="00386271">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lastRenderedPageBreak/>
        <w:t>Con anterioridad al año 2011, no existía el censo único de solicitantes de vivienda protegida, por lo que no era necesario la inscripción en el mismo para acceder al arrendamiento de viviendas en promociones privadas calificadas en régimen de alquiler. Esto supone que los promotores siguen teniendo su propia lista de demandantes de alquiler y la gestionan según sus propios criterios.</w:t>
      </w:r>
    </w:p>
    <w:p w:rsidR="00B01865" w:rsidRPr="00B01865" w:rsidRDefault="00B01865" w:rsidP="00386271">
      <w:pPr>
        <w:pStyle w:val="texto"/>
        <w:rPr>
          <w:lang w:val="es-ES"/>
        </w:rPr>
      </w:pPr>
      <w:r w:rsidRPr="00B01865">
        <w:rPr>
          <w:lang w:val="es-ES"/>
        </w:rPr>
        <w:t>Recomendamos:</w:t>
      </w:r>
    </w:p>
    <w:p w:rsidR="00B01865" w:rsidRPr="00386271"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386271">
        <w:rPr>
          <w:rFonts w:cs="Arial"/>
          <w:i/>
          <w:spacing w:val="6"/>
          <w:sz w:val="26"/>
          <w:szCs w:val="24"/>
        </w:rPr>
        <w:t>Comprobar rigurosamente la asignación a las puntuaciones obtenidas en las solicitudes de ayudas presentadas con el fin de subvencionar aquello que corresponda en función de los criterios establecidos en cada convocatoria.</w:t>
      </w:r>
    </w:p>
    <w:p w:rsidR="00B01865" w:rsidRPr="00386271"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386271">
        <w:rPr>
          <w:rFonts w:cs="Arial"/>
          <w:i/>
          <w:spacing w:val="6"/>
          <w:sz w:val="26"/>
          <w:szCs w:val="24"/>
        </w:rPr>
        <w:t>Agilizar en la medida de lo posible las tareas de control</w:t>
      </w:r>
      <w:r w:rsidR="000C0E8C">
        <w:rPr>
          <w:rFonts w:cs="Arial"/>
          <w:i/>
          <w:spacing w:val="6"/>
          <w:sz w:val="26"/>
          <w:szCs w:val="24"/>
        </w:rPr>
        <w:t xml:space="preserve"> de la unidad ge</w:t>
      </w:r>
      <w:r w:rsidR="000C0E8C">
        <w:rPr>
          <w:rFonts w:cs="Arial"/>
          <w:i/>
          <w:spacing w:val="6"/>
          <w:sz w:val="26"/>
          <w:szCs w:val="24"/>
        </w:rPr>
        <w:t>s</w:t>
      </w:r>
      <w:r w:rsidR="000C0E8C">
        <w:rPr>
          <w:rFonts w:cs="Arial"/>
          <w:i/>
          <w:spacing w:val="6"/>
          <w:sz w:val="26"/>
          <w:szCs w:val="24"/>
        </w:rPr>
        <w:t>tora</w:t>
      </w:r>
      <w:r w:rsidRPr="00386271">
        <w:rPr>
          <w:rFonts w:cs="Arial"/>
          <w:i/>
          <w:spacing w:val="6"/>
          <w:sz w:val="26"/>
          <w:szCs w:val="24"/>
        </w:rPr>
        <w:t xml:space="preserve"> e intervención sobre los gastos derivados del canon de riegos del Canal de Navarra para aplicar adecuadamente el principio de devengo en la contabil</w:t>
      </w:r>
      <w:r w:rsidRPr="00386271">
        <w:rPr>
          <w:rFonts w:cs="Arial"/>
          <w:i/>
          <w:spacing w:val="6"/>
          <w:sz w:val="26"/>
          <w:szCs w:val="24"/>
        </w:rPr>
        <w:t>i</w:t>
      </w:r>
      <w:r w:rsidRPr="00386271">
        <w:rPr>
          <w:rFonts w:cs="Arial"/>
          <w:i/>
          <w:spacing w:val="6"/>
          <w:sz w:val="26"/>
          <w:szCs w:val="24"/>
        </w:rPr>
        <w:t>zación de estos gastos en el presupuesto.</w:t>
      </w:r>
    </w:p>
    <w:p w:rsidR="00B01865" w:rsidRPr="00386271"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386271">
        <w:rPr>
          <w:rFonts w:cs="Arial"/>
          <w:i/>
          <w:spacing w:val="6"/>
          <w:sz w:val="26"/>
          <w:szCs w:val="24"/>
        </w:rPr>
        <w:t>Analizar la posibilidad y conveniencia de incluir a los demandantes de a</w:t>
      </w:r>
      <w:r w:rsidRPr="00386271">
        <w:rPr>
          <w:rFonts w:cs="Arial"/>
          <w:i/>
          <w:spacing w:val="6"/>
          <w:sz w:val="26"/>
          <w:szCs w:val="24"/>
        </w:rPr>
        <w:t>l</w:t>
      </w:r>
      <w:r w:rsidRPr="00386271">
        <w:rPr>
          <w:rFonts w:cs="Arial"/>
          <w:i/>
          <w:spacing w:val="6"/>
          <w:sz w:val="26"/>
          <w:szCs w:val="24"/>
        </w:rPr>
        <w:t>quiler de las promociones anteriores a 2011 en el censo único en aras a la transparencia.</w:t>
      </w:r>
    </w:p>
    <w:p w:rsidR="00B01865" w:rsidRPr="00B01865" w:rsidRDefault="00B01865" w:rsidP="000C0E8C">
      <w:pPr>
        <w:keepNext/>
        <w:spacing w:before="240" w:after="240"/>
        <w:ind w:firstLine="0"/>
        <w:rPr>
          <w:rFonts w:ascii="Arial" w:hAnsi="Arial"/>
          <w:i/>
          <w:iCs/>
          <w:color w:val="000000"/>
          <w:spacing w:val="10"/>
          <w:kern w:val="28"/>
          <w:sz w:val="25"/>
          <w:szCs w:val="26"/>
        </w:rPr>
      </w:pPr>
      <w:bookmarkStart w:id="86" w:name="_Toc418853784"/>
      <w:bookmarkStart w:id="87" w:name="_Toc402180194"/>
      <w:r w:rsidRPr="00B01865">
        <w:rPr>
          <w:rFonts w:ascii="Arial" w:hAnsi="Arial"/>
          <w:i/>
          <w:iCs/>
          <w:color w:val="000000"/>
          <w:spacing w:val="10"/>
          <w:kern w:val="28"/>
          <w:sz w:val="25"/>
          <w:szCs w:val="26"/>
        </w:rPr>
        <w:t>V.</w:t>
      </w:r>
      <w:r w:rsidR="001C37BF">
        <w:rPr>
          <w:rFonts w:ascii="Arial" w:hAnsi="Arial"/>
          <w:i/>
          <w:iCs/>
          <w:color w:val="000000"/>
          <w:spacing w:val="10"/>
          <w:kern w:val="28"/>
          <w:sz w:val="25"/>
          <w:szCs w:val="26"/>
        </w:rPr>
        <w:t>7</w:t>
      </w:r>
      <w:r w:rsidRPr="00B01865">
        <w:rPr>
          <w:rFonts w:ascii="Arial" w:hAnsi="Arial"/>
          <w:i/>
          <w:iCs/>
          <w:color w:val="000000"/>
          <w:spacing w:val="10"/>
          <w:kern w:val="28"/>
          <w:sz w:val="25"/>
          <w:szCs w:val="26"/>
        </w:rPr>
        <w:t>.2. Convenio Económico con el Estado</w:t>
      </w:r>
      <w:bookmarkEnd w:id="86"/>
      <w:bookmarkEnd w:id="87"/>
    </w:p>
    <w:p w:rsidR="00B01865" w:rsidRPr="00B01865" w:rsidRDefault="00B01865" w:rsidP="00386271">
      <w:pPr>
        <w:pStyle w:val="texto"/>
        <w:rPr>
          <w:lang w:val="es-ES"/>
        </w:rPr>
      </w:pPr>
      <w:r w:rsidRPr="00B01865">
        <w:rPr>
          <w:lang w:val="es-ES"/>
        </w:rPr>
        <w:t>La actividad financiera y tributaria de Navarra se rige, en virtud de su rég</w:t>
      </w:r>
      <w:r w:rsidRPr="00B01865">
        <w:rPr>
          <w:lang w:val="es-ES"/>
        </w:rPr>
        <w:t>i</w:t>
      </w:r>
      <w:r w:rsidRPr="00B01865">
        <w:rPr>
          <w:lang w:val="es-ES"/>
        </w:rPr>
        <w:t xml:space="preserve">men foral, por el Convenio Económico entre el Estado y la Comunidad Foral de Navarra, firmado el 31 de julio de 1990 y regulado en la Ley 28/1990, de 26 de diciembre. </w:t>
      </w:r>
    </w:p>
    <w:p w:rsidR="00B01865" w:rsidRPr="00B01865" w:rsidRDefault="00B01865" w:rsidP="00386271">
      <w:pPr>
        <w:pStyle w:val="texto"/>
        <w:rPr>
          <w:lang w:val="es-ES"/>
        </w:rPr>
      </w:pPr>
      <w:r w:rsidRPr="00B01865">
        <w:rPr>
          <w:lang w:val="es-ES"/>
        </w:rPr>
        <w:t>En el convenio se establecen los criterios de armonización fiscal y el método para calcular la aportación de Navarra por las cargas del Estado no asumidas por la Comunidad Foral y para los ajustes en recaudación tributaria.</w:t>
      </w:r>
    </w:p>
    <w:p w:rsidR="00B01865" w:rsidRPr="00B01865" w:rsidRDefault="00B01865" w:rsidP="00386271">
      <w:pPr>
        <w:pStyle w:val="texto"/>
        <w:rPr>
          <w:lang w:val="es-ES"/>
        </w:rPr>
      </w:pPr>
      <w:r w:rsidRPr="00B01865">
        <w:rPr>
          <w:lang w:val="es-ES"/>
        </w:rPr>
        <w:t>El Convenio ha sido actualizado y modificado en varias ocasiones, siendo la última en 2015 de acuerdo a la Ley 14/2015, de 24 de junio.</w:t>
      </w:r>
    </w:p>
    <w:p w:rsidR="00B01865" w:rsidRPr="00B01865" w:rsidRDefault="00B01865" w:rsidP="00386271">
      <w:pPr>
        <w:pStyle w:val="texto"/>
        <w:rPr>
          <w:lang w:val="es-ES"/>
        </w:rPr>
      </w:pPr>
      <w:r w:rsidRPr="00B01865">
        <w:rPr>
          <w:lang w:val="es-ES"/>
        </w:rPr>
        <w:t>En el informe de esta Cámara de las Cuentas Generales correspondiente al ejercicio 2016 ya se describió la problemática existente para llegar a un acue</w:t>
      </w:r>
      <w:r w:rsidRPr="00B01865">
        <w:rPr>
          <w:lang w:val="es-ES"/>
        </w:rPr>
        <w:t>r</w:t>
      </w:r>
      <w:r w:rsidRPr="00B01865">
        <w:rPr>
          <w:lang w:val="es-ES"/>
        </w:rPr>
        <w:t>do sobre la fijación de la aportación para el quinquenio 2015-2019. Esta di</w:t>
      </w:r>
      <w:r w:rsidRPr="00B01865">
        <w:rPr>
          <w:lang w:val="es-ES"/>
        </w:rPr>
        <w:t>s</w:t>
      </w:r>
      <w:r w:rsidRPr="00B01865">
        <w:rPr>
          <w:lang w:val="es-ES"/>
        </w:rPr>
        <w:t>crepancia se resolvió a finales de diciembre de 2017 por acuerdo entre ambas administraciones sobre la aprobación tanto de la aportación del quinquenio 2015-2019, como de una nueva metodología para determinar los ajustes fisc</w:t>
      </w:r>
      <w:r w:rsidRPr="00B01865">
        <w:rPr>
          <w:lang w:val="es-ES"/>
        </w:rPr>
        <w:t>a</w:t>
      </w:r>
      <w:r w:rsidRPr="00B01865">
        <w:rPr>
          <w:lang w:val="es-ES"/>
        </w:rPr>
        <w:t>les.</w:t>
      </w:r>
    </w:p>
    <w:p w:rsidR="00BC745B" w:rsidRDefault="00BC745B">
      <w:pPr>
        <w:spacing w:after="0"/>
        <w:ind w:firstLine="0"/>
        <w:jc w:val="left"/>
        <w:rPr>
          <w:spacing w:val="6"/>
          <w:sz w:val="26"/>
          <w:szCs w:val="24"/>
          <w:lang w:val="es-ES"/>
        </w:rPr>
      </w:pPr>
      <w:r>
        <w:rPr>
          <w:lang w:val="es-ES"/>
        </w:rPr>
        <w:br w:type="page"/>
      </w:r>
    </w:p>
    <w:p w:rsidR="00B01865" w:rsidRPr="00B01865" w:rsidRDefault="00B01865" w:rsidP="00386271">
      <w:pPr>
        <w:pStyle w:val="texto"/>
        <w:rPr>
          <w:lang w:val="es-ES"/>
        </w:rPr>
      </w:pPr>
      <w:r w:rsidRPr="00B01865">
        <w:rPr>
          <w:lang w:val="es-ES"/>
        </w:rPr>
        <w:lastRenderedPageBreak/>
        <w:t>Los gastos e ingresos correspondientes al Convenio Económico reconocidos en el presupuesto de 2017 y su comparación con el ejercicio anterior fueron:</w:t>
      </w:r>
    </w:p>
    <w:tbl>
      <w:tblPr>
        <w:tblW w:w="8890"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5609"/>
        <w:gridCol w:w="1093"/>
        <w:gridCol w:w="1094"/>
        <w:gridCol w:w="1094"/>
      </w:tblGrid>
      <w:tr w:rsidR="00B01865" w:rsidRPr="00B01865" w:rsidTr="00645E74">
        <w:trPr>
          <w:trHeight w:val="255"/>
          <w:jc w:val="center"/>
        </w:trPr>
        <w:tc>
          <w:tcPr>
            <w:tcW w:w="8890" w:type="dxa"/>
            <w:gridSpan w:val="4"/>
            <w:tcBorders>
              <w:top w:val="nil"/>
              <w:bottom w:val="single" w:sz="2" w:space="0" w:color="auto"/>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7"/>
                <w:szCs w:val="17"/>
                <w:lang w:val="es-ES"/>
              </w:rPr>
            </w:pPr>
            <w:r w:rsidRPr="00B01865">
              <w:rPr>
                <w:rFonts w:ascii="Arial" w:hAnsi="Arial"/>
                <w:spacing w:val="6"/>
                <w:sz w:val="17"/>
                <w:szCs w:val="17"/>
                <w:lang w:val="es-ES"/>
              </w:rPr>
              <w:t>(en miles de euros)</w:t>
            </w:r>
          </w:p>
        </w:tc>
      </w:tr>
      <w:tr w:rsidR="00B01865" w:rsidRPr="00B01865" w:rsidTr="00645E74">
        <w:trPr>
          <w:trHeight w:val="255"/>
          <w:jc w:val="center"/>
        </w:trPr>
        <w:tc>
          <w:tcPr>
            <w:tcW w:w="5609" w:type="dxa"/>
            <w:tcBorders>
              <w:top w:val="single" w:sz="2"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lang w:val="es-ES"/>
              </w:rPr>
            </w:pPr>
            <w:r w:rsidRPr="00B01865">
              <w:rPr>
                <w:rFonts w:ascii="Arial" w:hAnsi="Arial"/>
                <w:spacing w:val="6"/>
                <w:sz w:val="18"/>
                <w:szCs w:val="24"/>
                <w:lang w:val="es-ES"/>
              </w:rPr>
              <w:t>Convenio-Partida Presupuestarias</w:t>
            </w:r>
          </w:p>
        </w:tc>
        <w:tc>
          <w:tcPr>
            <w:tcW w:w="1093"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lang w:val="es-ES"/>
              </w:rPr>
            </w:pPr>
            <w:r w:rsidRPr="00B01865">
              <w:rPr>
                <w:rFonts w:ascii="Arial" w:hAnsi="Arial"/>
                <w:spacing w:val="6"/>
                <w:sz w:val="18"/>
                <w:szCs w:val="24"/>
                <w:lang w:val="es-ES"/>
              </w:rPr>
              <w:t>2016</w:t>
            </w:r>
          </w:p>
        </w:tc>
        <w:tc>
          <w:tcPr>
            <w:tcW w:w="1094" w:type="dxa"/>
            <w:tcBorders>
              <w:top w:val="single" w:sz="2"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lang w:val="es-ES"/>
              </w:rPr>
            </w:pPr>
            <w:r w:rsidRPr="00B01865">
              <w:rPr>
                <w:rFonts w:ascii="Arial" w:hAnsi="Arial"/>
                <w:spacing w:val="6"/>
                <w:sz w:val="18"/>
                <w:szCs w:val="24"/>
                <w:lang w:val="es-ES"/>
              </w:rPr>
              <w:t>2017</w:t>
            </w:r>
          </w:p>
        </w:tc>
        <w:tc>
          <w:tcPr>
            <w:tcW w:w="1094" w:type="dxa"/>
            <w:tcBorders>
              <w:top w:val="single" w:sz="2" w:space="0" w:color="auto"/>
              <w:bottom w:val="single" w:sz="4" w:space="0" w:color="auto"/>
            </w:tcBorders>
            <w:shd w:val="clear" w:color="auto" w:fill="8DB3E2" w:themeFill="text2" w:themeFillTint="66"/>
            <w:vAlign w:val="center"/>
          </w:tcPr>
          <w:p w:rsidR="00B01865" w:rsidRPr="00B01865" w:rsidRDefault="00B01865" w:rsidP="00386271">
            <w:pPr>
              <w:keepLines/>
              <w:tabs>
                <w:tab w:val="right" w:pos="2835"/>
                <w:tab w:val="right" w:pos="3969"/>
                <w:tab w:val="right" w:pos="5103"/>
                <w:tab w:val="right" w:pos="6237"/>
                <w:tab w:val="right" w:pos="7371"/>
              </w:tabs>
              <w:spacing w:after="0"/>
              <w:ind w:left="-60" w:firstLine="0"/>
              <w:jc w:val="right"/>
              <w:rPr>
                <w:rFonts w:ascii="Arial" w:hAnsi="Arial"/>
                <w:spacing w:val="6"/>
                <w:sz w:val="18"/>
                <w:szCs w:val="24"/>
                <w:lang w:val="es-ES"/>
              </w:rPr>
            </w:pPr>
            <w:r w:rsidRPr="00B01865">
              <w:rPr>
                <w:rFonts w:ascii="Arial" w:hAnsi="Arial"/>
                <w:spacing w:val="6"/>
                <w:sz w:val="18"/>
                <w:szCs w:val="24"/>
                <w:lang w:val="es-ES"/>
              </w:rPr>
              <w:t>% variación 2017/2016</w:t>
            </w:r>
          </w:p>
        </w:tc>
      </w:tr>
      <w:tr w:rsidR="00B01865" w:rsidRPr="00B01865" w:rsidTr="00645E74">
        <w:trPr>
          <w:trHeight w:val="198"/>
          <w:jc w:val="center"/>
        </w:trPr>
        <w:tc>
          <w:tcPr>
            <w:tcW w:w="5609" w:type="dxa"/>
            <w:tcBorders>
              <w:top w:val="single" w:sz="4" w:space="0" w:color="auto"/>
              <w:bottom w:val="single" w:sz="2"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Aportación al Estado</w:t>
            </w:r>
          </w:p>
        </w:tc>
        <w:tc>
          <w:tcPr>
            <w:tcW w:w="1093" w:type="dxa"/>
            <w:tcBorders>
              <w:top w:val="single" w:sz="4"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520.687</w:t>
            </w:r>
          </w:p>
        </w:tc>
        <w:tc>
          <w:tcPr>
            <w:tcW w:w="1094"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509.174</w:t>
            </w:r>
          </w:p>
        </w:tc>
        <w:tc>
          <w:tcPr>
            <w:tcW w:w="1094" w:type="dxa"/>
            <w:tcBorders>
              <w:top w:val="single" w:sz="4"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w:t>
            </w:r>
          </w:p>
        </w:tc>
      </w:tr>
      <w:tr w:rsidR="00B01865" w:rsidRPr="00B01865" w:rsidTr="00645E74">
        <w:trPr>
          <w:trHeight w:val="198"/>
          <w:jc w:val="center"/>
        </w:trPr>
        <w:tc>
          <w:tcPr>
            <w:tcW w:w="5609" w:type="dxa"/>
            <w:tcBorders>
              <w:top w:val="single" w:sz="2" w:space="0" w:color="auto"/>
              <w:bottom w:val="single" w:sz="2"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Compensación por impuestos sobre el sector eléctrico</w:t>
            </w:r>
          </w:p>
        </w:tc>
        <w:tc>
          <w:tcPr>
            <w:tcW w:w="1093"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20.169</w:t>
            </w:r>
          </w:p>
        </w:tc>
        <w:tc>
          <w:tcPr>
            <w:tcW w:w="1094"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1.965</w:t>
            </w:r>
          </w:p>
        </w:tc>
        <w:tc>
          <w:tcPr>
            <w:tcW w:w="109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-90</w:t>
            </w:r>
          </w:p>
        </w:tc>
      </w:tr>
      <w:tr w:rsidR="00B01865" w:rsidRPr="00645E74" w:rsidTr="00645E74">
        <w:trPr>
          <w:trHeight w:val="255"/>
          <w:jc w:val="center"/>
        </w:trPr>
        <w:tc>
          <w:tcPr>
            <w:tcW w:w="5609" w:type="dxa"/>
            <w:tcBorders>
              <w:top w:val="single" w:sz="2" w:space="0" w:color="auto"/>
              <w:bottom w:val="single" w:sz="4" w:space="0" w:color="auto"/>
            </w:tcBorders>
            <w:shd w:val="clear" w:color="auto" w:fill="FFFFFF" w:themeFill="background1"/>
            <w:vAlign w:val="center"/>
            <w:hideMark/>
          </w:tcPr>
          <w:p w:rsidR="00B01865" w:rsidRPr="00645E74"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b/>
                <w:bCs/>
                <w:color w:val="000000"/>
                <w:spacing w:val="6"/>
                <w:sz w:val="16"/>
                <w:szCs w:val="16"/>
                <w:lang w:val="es-ES"/>
              </w:rPr>
            </w:pPr>
            <w:r w:rsidRPr="00645E74">
              <w:rPr>
                <w:rFonts w:ascii="Arial" w:hAnsi="Arial" w:cs="Arial"/>
                <w:b/>
                <w:spacing w:val="6"/>
                <w:sz w:val="18"/>
                <w:szCs w:val="18"/>
              </w:rPr>
              <w:t>Total partidas Gastos- Convenio</w:t>
            </w:r>
          </w:p>
        </w:tc>
        <w:tc>
          <w:tcPr>
            <w:tcW w:w="1093" w:type="dxa"/>
            <w:tcBorders>
              <w:top w:val="single" w:sz="2" w:space="0" w:color="auto"/>
              <w:bottom w:val="single" w:sz="4" w:space="0" w:color="auto"/>
            </w:tcBorders>
            <w:shd w:val="clear" w:color="auto" w:fill="FFFFFF" w:themeFill="background1"/>
            <w:vAlign w:val="center"/>
          </w:tcPr>
          <w:p w:rsidR="00B01865" w:rsidRPr="00645E74"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645E74">
              <w:rPr>
                <w:rFonts w:ascii="Arial" w:hAnsi="Arial" w:cs="Arial"/>
                <w:b/>
                <w:spacing w:val="6"/>
                <w:sz w:val="18"/>
                <w:szCs w:val="18"/>
              </w:rPr>
              <w:t>540.856</w:t>
            </w:r>
          </w:p>
        </w:tc>
        <w:tc>
          <w:tcPr>
            <w:tcW w:w="1094" w:type="dxa"/>
            <w:tcBorders>
              <w:top w:val="single" w:sz="2" w:space="0" w:color="auto"/>
              <w:bottom w:val="single" w:sz="4" w:space="0" w:color="auto"/>
            </w:tcBorders>
            <w:shd w:val="clear" w:color="auto" w:fill="FFFFFF" w:themeFill="background1"/>
            <w:noWrap/>
            <w:vAlign w:val="center"/>
          </w:tcPr>
          <w:p w:rsidR="00B01865" w:rsidRPr="00645E74"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645E74">
              <w:rPr>
                <w:rFonts w:ascii="Arial" w:hAnsi="Arial" w:cs="Arial"/>
                <w:b/>
                <w:spacing w:val="6"/>
                <w:sz w:val="18"/>
                <w:szCs w:val="18"/>
              </w:rPr>
              <w:t>511.139</w:t>
            </w:r>
          </w:p>
        </w:tc>
        <w:tc>
          <w:tcPr>
            <w:tcW w:w="1094" w:type="dxa"/>
            <w:tcBorders>
              <w:top w:val="single" w:sz="2" w:space="0" w:color="auto"/>
              <w:bottom w:val="single" w:sz="4" w:space="0" w:color="auto"/>
            </w:tcBorders>
            <w:shd w:val="clear" w:color="auto" w:fill="FFFFFF" w:themeFill="background1"/>
            <w:vAlign w:val="center"/>
          </w:tcPr>
          <w:p w:rsidR="00B01865" w:rsidRPr="00645E74"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645E74">
              <w:rPr>
                <w:rFonts w:ascii="Arial" w:hAnsi="Arial" w:cs="Arial"/>
                <w:b/>
                <w:spacing w:val="6"/>
                <w:sz w:val="18"/>
                <w:szCs w:val="18"/>
              </w:rPr>
              <w:t>-5</w:t>
            </w:r>
          </w:p>
        </w:tc>
      </w:tr>
      <w:tr w:rsidR="00B01865" w:rsidRPr="00B01865" w:rsidTr="00645E74">
        <w:trPr>
          <w:trHeight w:val="198"/>
          <w:jc w:val="center"/>
        </w:trPr>
        <w:tc>
          <w:tcPr>
            <w:tcW w:w="5609" w:type="dxa"/>
            <w:tcBorders>
              <w:top w:val="single" w:sz="4" w:space="0" w:color="auto"/>
              <w:bottom w:val="single" w:sz="2"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Ajustes por IVA</w:t>
            </w:r>
          </w:p>
        </w:tc>
        <w:tc>
          <w:tcPr>
            <w:tcW w:w="1093" w:type="dxa"/>
            <w:tcBorders>
              <w:top w:val="single" w:sz="4"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835.522</w:t>
            </w:r>
          </w:p>
        </w:tc>
        <w:tc>
          <w:tcPr>
            <w:tcW w:w="1094"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889.110</w:t>
            </w:r>
          </w:p>
        </w:tc>
        <w:tc>
          <w:tcPr>
            <w:tcW w:w="1094" w:type="dxa"/>
            <w:tcBorders>
              <w:top w:val="single" w:sz="4"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w:t>
            </w:r>
          </w:p>
        </w:tc>
      </w:tr>
      <w:tr w:rsidR="00B01865" w:rsidRPr="00B01865" w:rsidTr="00645E74">
        <w:trPr>
          <w:trHeight w:val="198"/>
          <w:jc w:val="center"/>
        </w:trPr>
        <w:tc>
          <w:tcPr>
            <w:tcW w:w="5609" w:type="dxa"/>
            <w:tcBorders>
              <w:top w:val="single" w:sz="2" w:space="0" w:color="auto"/>
              <w:bottom w:val="single" w:sz="2"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Ajuste fiscal por impuestos especiales s/ alcohol y bebidas derivadas</w:t>
            </w:r>
          </w:p>
        </w:tc>
        <w:tc>
          <w:tcPr>
            <w:tcW w:w="1093"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-37.473</w:t>
            </w:r>
          </w:p>
        </w:tc>
        <w:tc>
          <w:tcPr>
            <w:tcW w:w="1094"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-37.958</w:t>
            </w:r>
          </w:p>
        </w:tc>
        <w:tc>
          <w:tcPr>
            <w:tcW w:w="109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w:t>
            </w:r>
          </w:p>
        </w:tc>
      </w:tr>
      <w:tr w:rsidR="00B01865" w:rsidRPr="00B01865" w:rsidTr="00645E74">
        <w:trPr>
          <w:trHeight w:val="198"/>
          <w:jc w:val="center"/>
        </w:trPr>
        <w:tc>
          <w:tcPr>
            <w:tcW w:w="5609" w:type="dxa"/>
            <w:tcBorders>
              <w:top w:val="single" w:sz="2" w:space="0" w:color="auto"/>
              <w:bottom w:val="single" w:sz="2"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Ajuste fiscal por impuestos especiales sobre la cerveza</w:t>
            </w:r>
          </w:p>
        </w:tc>
        <w:tc>
          <w:tcPr>
            <w:tcW w:w="1093"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4.406</w:t>
            </w:r>
          </w:p>
        </w:tc>
        <w:tc>
          <w:tcPr>
            <w:tcW w:w="1094"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6.431</w:t>
            </w:r>
          </w:p>
        </w:tc>
        <w:tc>
          <w:tcPr>
            <w:tcW w:w="109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46</w:t>
            </w:r>
          </w:p>
        </w:tc>
      </w:tr>
      <w:tr w:rsidR="00B01865" w:rsidRPr="00B01865" w:rsidTr="00645E74">
        <w:trPr>
          <w:trHeight w:val="198"/>
          <w:jc w:val="center"/>
        </w:trPr>
        <w:tc>
          <w:tcPr>
            <w:tcW w:w="5609" w:type="dxa"/>
            <w:tcBorders>
              <w:top w:val="single" w:sz="2" w:space="0" w:color="auto"/>
              <w:bottom w:val="single" w:sz="2"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Ajuste fiscal por impuestos especiales sobre las labores de tabaco</w:t>
            </w:r>
          </w:p>
        </w:tc>
        <w:tc>
          <w:tcPr>
            <w:tcW w:w="1093"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8.114</w:t>
            </w:r>
          </w:p>
        </w:tc>
        <w:tc>
          <w:tcPr>
            <w:tcW w:w="1094"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12.235</w:t>
            </w:r>
          </w:p>
        </w:tc>
        <w:tc>
          <w:tcPr>
            <w:tcW w:w="109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51</w:t>
            </w:r>
          </w:p>
        </w:tc>
      </w:tr>
      <w:tr w:rsidR="00B01865" w:rsidRPr="00B01865" w:rsidTr="00645E74">
        <w:trPr>
          <w:trHeight w:val="198"/>
          <w:jc w:val="center"/>
        </w:trPr>
        <w:tc>
          <w:tcPr>
            <w:tcW w:w="5609" w:type="dxa"/>
            <w:tcBorders>
              <w:top w:val="single" w:sz="2" w:space="0" w:color="auto"/>
              <w:bottom w:val="single" w:sz="4"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Ajuste fiscal por impuestos especiales sobre hidrocarburos</w:t>
            </w:r>
          </w:p>
        </w:tc>
        <w:tc>
          <w:tcPr>
            <w:tcW w:w="1093" w:type="dxa"/>
            <w:tcBorders>
              <w:top w:val="single" w:sz="2" w:space="0" w:color="auto"/>
              <w:bottom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-10.034</w:t>
            </w:r>
          </w:p>
        </w:tc>
        <w:tc>
          <w:tcPr>
            <w:tcW w:w="1094" w:type="dxa"/>
            <w:tcBorders>
              <w:top w:val="single" w:sz="2" w:space="0" w:color="auto"/>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133.152</w:t>
            </w:r>
          </w:p>
        </w:tc>
        <w:tc>
          <w:tcPr>
            <w:tcW w:w="1094" w:type="dxa"/>
            <w:tcBorders>
              <w:top w:val="single" w:sz="2" w:space="0" w:color="auto"/>
              <w:bottom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1.427</w:t>
            </w:r>
          </w:p>
        </w:tc>
      </w:tr>
      <w:tr w:rsidR="00B01865" w:rsidRPr="00B01865" w:rsidTr="00645E74">
        <w:trPr>
          <w:trHeight w:val="255"/>
          <w:jc w:val="center"/>
        </w:trPr>
        <w:tc>
          <w:tcPr>
            <w:tcW w:w="5609" w:type="dxa"/>
            <w:tcBorders>
              <w:top w:val="single" w:sz="4" w:space="0" w:color="auto"/>
              <w:bottom w:val="single" w:sz="4" w:space="0" w:color="auto"/>
            </w:tcBorders>
            <w:vAlign w:val="center"/>
            <w:hideMark/>
          </w:tcPr>
          <w:p w:rsidR="00B01865" w:rsidRPr="00B01865" w:rsidRDefault="00B01865" w:rsidP="00645E74">
            <w:pPr>
              <w:keepLines/>
              <w:tabs>
                <w:tab w:val="right" w:pos="2835"/>
                <w:tab w:val="right" w:pos="3969"/>
                <w:tab w:val="right" w:pos="5103"/>
                <w:tab w:val="right" w:pos="6237"/>
                <w:tab w:val="right" w:pos="7371"/>
              </w:tabs>
              <w:spacing w:after="0"/>
              <w:ind w:firstLine="0"/>
              <w:jc w:val="left"/>
              <w:rPr>
                <w:rFonts w:ascii="Arial Narrow" w:hAnsi="Arial Narrow"/>
                <w:i/>
                <w:spacing w:val="6"/>
              </w:rPr>
            </w:pPr>
            <w:r w:rsidRPr="00B01865">
              <w:rPr>
                <w:rFonts w:ascii="Arial Narrow" w:hAnsi="Arial Narrow"/>
                <w:i/>
                <w:spacing w:val="6"/>
              </w:rPr>
              <w:t xml:space="preserve">  Subtotal Ajustes IVA y Especiales</w:t>
            </w:r>
          </w:p>
        </w:tc>
        <w:tc>
          <w:tcPr>
            <w:tcW w:w="1093" w:type="dxa"/>
            <w:tcBorders>
              <w:top w:val="single" w:sz="4" w:space="0" w:color="auto"/>
              <w:bottom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sidRPr="00B01865">
              <w:rPr>
                <w:rFonts w:ascii="Arial Narrow" w:hAnsi="Arial Narrow"/>
                <w:i/>
                <w:spacing w:val="6"/>
              </w:rPr>
              <w:t>800.536</w:t>
            </w:r>
          </w:p>
        </w:tc>
        <w:tc>
          <w:tcPr>
            <w:tcW w:w="1094" w:type="dxa"/>
            <w:tcBorders>
              <w:top w:val="single" w:sz="4" w:space="0" w:color="auto"/>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sidRPr="00B01865">
              <w:rPr>
                <w:rFonts w:ascii="Arial Narrow" w:hAnsi="Arial Narrow"/>
                <w:i/>
                <w:spacing w:val="6"/>
              </w:rPr>
              <w:t>1.002.970</w:t>
            </w:r>
          </w:p>
        </w:tc>
        <w:tc>
          <w:tcPr>
            <w:tcW w:w="1094" w:type="dxa"/>
            <w:tcBorders>
              <w:top w:val="single" w:sz="4" w:space="0" w:color="auto"/>
              <w:bottom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i/>
                <w:spacing w:val="6"/>
              </w:rPr>
            </w:pPr>
            <w:r w:rsidRPr="00B01865">
              <w:rPr>
                <w:rFonts w:ascii="Arial Narrow" w:hAnsi="Arial Narrow"/>
                <w:i/>
                <w:spacing w:val="6"/>
              </w:rPr>
              <w:t>25</w:t>
            </w:r>
          </w:p>
        </w:tc>
      </w:tr>
      <w:tr w:rsidR="00B01865" w:rsidRPr="00B01865" w:rsidTr="00645E74">
        <w:trPr>
          <w:trHeight w:val="198"/>
          <w:jc w:val="center"/>
        </w:trPr>
        <w:tc>
          <w:tcPr>
            <w:tcW w:w="5609" w:type="dxa"/>
            <w:tcBorders>
              <w:top w:val="single" w:sz="4"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Saldo liquidación definitiva aportación Estado 2015-2016</w:t>
            </w:r>
          </w:p>
        </w:tc>
        <w:tc>
          <w:tcPr>
            <w:tcW w:w="1093" w:type="dxa"/>
            <w:tcBorders>
              <w:top w:val="single" w:sz="4"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0</w:t>
            </w:r>
          </w:p>
        </w:tc>
        <w:tc>
          <w:tcPr>
            <w:tcW w:w="1094"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128.694</w:t>
            </w:r>
          </w:p>
        </w:tc>
        <w:tc>
          <w:tcPr>
            <w:tcW w:w="1094" w:type="dxa"/>
            <w:tcBorders>
              <w:top w:val="single" w:sz="4"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w:t>
            </w:r>
          </w:p>
        </w:tc>
      </w:tr>
      <w:tr w:rsidR="00B01865" w:rsidRPr="00B01865" w:rsidTr="00645E74">
        <w:trPr>
          <w:trHeight w:val="198"/>
          <w:jc w:val="center"/>
        </w:trPr>
        <w:tc>
          <w:tcPr>
            <w:tcW w:w="5609"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Compensación por impuestos sobre el sector eléctrico</w:t>
            </w:r>
          </w:p>
        </w:tc>
        <w:tc>
          <w:tcPr>
            <w:tcW w:w="1093" w:type="dxa"/>
            <w:tcBorders>
              <w:top w:val="single" w:sz="2" w:space="0" w:color="auto"/>
              <w:bottom w:val="single" w:sz="2" w:space="0" w:color="auto"/>
            </w:tcBorders>
            <w:vAlign w:val="center"/>
          </w:tcPr>
          <w:p w:rsidR="00B01865" w:rsidRPr="00B01865" w:rsidRDefault="00A050F1"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0</w:t>
            </w:r>
          </w:p>
        </w:tc>
        <w:tc>
          <w:tcPr>
            <w:tcW w:w="1094"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0</w:t>
            </w:r>
          </w:p>
        </w:tc>
        <w:tc>
          <w:tcPr>
            <w:tcW w:w="109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w:t>
            </w:r>
          </w:p>
        </w:tc>
      </w:tr>
      <w:tr w:rsidR="00B01865" w:rsidRPr="00B01865" w:rsidTr="00645E74">
        <w:trPr>
          <w:trHeight w:val="198"/>
          <w:jc w:val="center"/>
        </w:trPr>
        <w:tc>
          <w:tcPr>
            <w:tcW w:w="5609"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Participación de las diputaciones en los ingresos del Estado</w:t>
            </w:r>
          </w:p>
        </w:tc>
        <w:tc>
          <w:tcPr>
            <w:tcW w:w="1093"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88</w:t>
            </w:r>
          </w:p>
        </w:tc>
        <w:tc>
          <w:tcPr>
            <w:tcW w:w="1094"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92</w:t>
            </w:r>
          </w:p>
        </w:tc>
        <w:tc>
          <w:tcPr>
            <w:tcW w:w="109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w:t>
            </w:r>
          </w:p>
        </w:tc>
      </w:tr>
      <w:tr w:rsidR="00B01865" w:rsidRPr="00645E74" w:rsidTr="00645E74">
        <w:trPr>
          <w:trHeight w:val="255"/>
          <w:jc w:val="center"/>
        </w:trPr>
        <w:tc>
          <w:tcPr>
            <w:tcW w:w="5609" w:type="dxa"/>
            <w:tcBorders>
              <w:top w:val="single" w:sz="2" w:space="0" w:color="auto"/>
            </w:tcBorders>
            <w:shd w:val="clear" w:color="auto" w:fill="FFFFFF" w:themeFill="background1"/>
            <w:vAlign w:val="center"/>
            <w:hideMark/>
          </w:tcPr>
          <w:p w:rsidR="00B01865" w:rsidRPr="00645E74"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b/>
                <w:bCs/>
                <w:color w:val="000000"/>
                <w:spacing w:val="6"/>
                <w:sz w:val="18"/>
                <w:szCs w:val="18"/>
                <w:lang w:val="es-ES"/>
              </w:rPr>
            </w:pPr>
            <w:r w:rsidRPr="00645E74">
              <w:rPr>
                <w:rFonts w:ascii="Arial" w:hAnsi="Arial" w:cs="Arial"/>
                <w:b/>
                <w:spacing w:val="6"/>
                <w:sz w:val="18"/>
                <w:szCs w:val="18"/>
              </w:rPr>
              <w:t>Total partidas Ingresos- Convenio</w:t>
            </w:r>
          </w:p>
        </w:tc>
        <w:tc>
          <w:tcPr>
            <w:tcW w:w="1093" w:type="dxa"/>
            <w:tcBorders>
              <w:top w:val="single" w:sz="2" w:space="0" w:color="auto"/>
            </w:tcBorders>
            <w:shd w:val="clear" w:color="auto" w:fill="FFFFFF" w:themeFill="background1"/>
            <w:vAlign w:val="center"/>
          </w:tcPr>
          <w:p w:rsidR="00B01865" w:rsidRPr="00645E74" w:rsidRDefault="00B01865" w:rsidP="00A050F1">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645E74">
              <w:rPr>
                <w:rFonts w:ascii="Arial" w:hAnsi="Arial" w:cs="Arial"/>
                <w:b/>
                <w:spacing w:val="6"/>
                <w:sz w:val="18"/>
                <w:szCs w:val="18"/>
              </w:rPr>
              <w:t>80</w:t>
            </w:r>
            <w:r w:rsidR="00A050F1">
              <w:rPr>
                <w:rFonts w:ascii="Arial" w:hAnsi="Arial" w:cs="Arial"/>
                <w:b/>
                <w:spacing w:val="6"/>
                <w:sz w:val="18"/>
                <w:szCs w:val="18"/>
              </w:rPr>
              <w:t>0.624</w:t>
            </w:r>
          </w:p>
        </w:tc>
        <w:tc>
          <w:tcPr>
            <w:tcW w:w="1094" w:type="dxa"/>
            <w:tcBorders>
              <w:top w:val="single" w:sz="2" w:space="0" w:color="auto"/>
            </w:tcBorders>
            <w:shd w:val="clear" w:color="auto" w:fill="FFFFFF" w:themeFill="background1"/>
            <w:noWrap/>
            <w:vAlign w:val="center"/>
          </w:tcPr>
          <w:p w:rsidR="00B01865" w:rsidRPr="00645E74"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645E74">
              <w:rPr>
                <w:rFonts w:ascii="Arial" w:hAnsi="Arial" w:cs="Arial"/>
                <w:b/>
                <w:spacing w:val="6"/>
                <w:sz w:val="18"/>
                <w:szCs w:val="18"/>
              </w:rPr>
              <w:t>1.131.756</w:t>
            </w:r>
          </w:p>
        </w:tc>
        <w:tc>
          <w:tcPr>
            <w:tcW w:w="1094" w:type="dxa"/>
            <w:tcBorders>
              <w:top w:val="single" w:sz="2" w:space="0" w:color="auto"/>
            </w:tcBorders>
            <w:shd w:val="clear" w:color="auto" w:fill="FFFFFF" w:themeFill="background1"/>
            <w:vAlign w:val="center"/>
          </w:tcPr>
          <w:p w:rsidR="00B01865" w:rsidRPr="00645E74"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645E74">
              <w:rPr>
                <w:rFonts w:ascii="Arial" w:hAnsi="Arial" w:cs="Arial"/>
                <w:b/>
                <w:spacing w:val="6"/>
                <w:sz w:val="18"/>
                <w:szCs w:val="18"/>
              </w:rPr>
              <w:t>41</w:t>
            </w:r>
          </w:p>
        </w:tc>
      </w:tr>
    </w:tbl>
    <w:p w:rsidR="00B01865" w:rsidRPr="00B01865" w:rsidRDefault="00B01865" w:rsidP="00B01865">
      <w:pPr>
        <w:spacing w:before="240" w:after="12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Gastos</w:t>
      </w:r>
    </w:p>
    <w:p w:rsidR="00B01865" w:rsidRPr="00645E74"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645E74">
        <w:rPr>
          <w:rFonts w:cs="Arial"/>
          <w:spacing w:val="6"/>
          <w:sz w:val="26"/>
          <w:szCs w:val="24"/>
        </w:rPr>
        <w:t>La aportación al Estado en 2017 ascendió a 509,17 millones de euros, s</w:t>
      </w:r>
      <w:r w:rsidRPr="00645E74">
        <w:rPr>
          <w:rFonts w:cs="Arial"/>
          <w:spacing w:val="6"/>
          <w:sz w:val="26"/>
          <w:szCs w:val="24"/>
        </w:rPr>
        <w:t>u</w:t>
      </w:r>
      <w:r w:rsidRPr="00645E74">
        <w:rPr>
          <w:rFonts w:cs="Arial"/>
          <w:spacing w:val="6"/>
          <w:sz w:val="26"/>
          <w:szCs w:val="24"/>
        </w:rPr>
        <w:t xml:space="preserve">poniendo el 13 por ciento del total de obligaciones reconocidas en el ejercicio y disminuyó un dos por ciento respecto a 2016. </w:t>
      </w:r>
    </w:p>
    <w:p w:rsidR="00B01865" w:rsidRPr="00B01865" w:rsidRDefault="00B01865" w:rsidP="00645E74">
      <w:pPr>
        <w:pStyle w:val="texto"/>
        <w:rPr>
          <w:lang w:val="es-ES"/>
        </w:rPr>
      </w:pPr>
      <w:r w:rsidRPr="00B01865">
        <w:rPr>
          <w:lang w:val="es-ES"/>
        </w:rPr>
        <w:t>El acuerdo de diciembre de 2017 estableció una aportación para el año base de 510 millones, lo que supuso que la liquidación definitiva de los años ant</w:t>
      </w:r>
      <w:r w:rsidRPr="00B01865">
        <w:rPr>
          <w:lang w:val="es-ES"/>
        </w:rPr>
        <w:t>e</w:t>
      </w:r>
      <w:r w:rsidRPr="00B01865">
        <w:rPr>
          <w:lang w:val="es-ES"/>
        </w:rPr>
        <w:t>riores arrojara una compensación a favor de Navarra de 128,69 millones.</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El otro gasto del Convenio está relacionado con la compensación por i</w:t>
      </w:r>
      <w:r w:rsidRPr="00B01865">
        <w:rPr>
          <w:rFonts w:cs="Arial"/>
          <w:spacing w:val="6"/>
          <w:sz w:val="26"/>
          <w:szCs w:val="24"/>
        </w:rPr>
        <w:t>m</w:t>
      </w:r>
      <w:r w:rsidRPr="00B01865">
        <w:rPr>
          <w:rFonts w:cs="Arial"/>
          <w:spacing w:val="6"/>
          <w:sz w:val="26"/>
          <w:szCs w:val="24"/>
        </w:rPr>
        <w:t xml:space="preserve">puestos sobre el sector eléctrico que en 2017 ascendió a 1,96 millones de euros, cantidad que se corresponde con la regularización del año 2016. </w:t>
      </w:r>
    </w:p>
    <w:p w:rsidR="00B01865" w:rsidRPr="00B01865" w:rsidRDefault="00B01865" w:rsidP="00B01865">
      <w:pPr>
        <w:spacing w:before="240" w:after="120"/>
        <w:ind w:firstLine="284"/>
        <w:jc w:val="left"/>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Ingresos tributarios</w:t>
      </w:r>
    </w:p>
    <w:p w:rsidR="00B01865" w:rsidRPr="00B01865" w:rsidRDefault="00B01865" w:rsidP="00645E74">
      <w:pPr>
        <w:pStyle w:val="texto"/>
        <w:rPr>
          <w:lang w:val="es-ES"/>
        </w:rPr>
      </w:pPr>
      <w:r w:rsidRPr="00B01865">
        <w:rPr>
          <w:lang w:val="es-ES"/>
        </w:rPr>
        <w:t>Los ajustes aplicados corresponden a los impuestos indirectos, IVA e i</w:t>
      </w:r>
      <w:r w:rsidRPr="00B01865">
        <w:rPr>
          <w:lang w:val="es-ES"/>
        </w:rPr>
        <w:t>m</w:t>
      </w:r>
      <w:r w:rsidRPr="00B01865">
        <w:rPr>
          <w:lang w:val="es-ES"/>
        </w:rPr>
        <w:t>puestos especiales, y se calculan conforme a las fórmulas y métodos previstos en el Convenio Económico.</w:t>
      </w:r>
    </w:p>
    <w:p w:rsidR="00B01865" w:rsidRPr="00B01865" w:rsidRDefault="00B01865" w:rsidP="00645E74">
      <w:pPr>
        <w:pStyle w:val="texto"/>
        <w:rPr>
          <w:lang w:val="es-ES"/>
        </w:rPr>
      </w:pPr>
      <w:r w:rsidRPr="00B01865">
        <w:rPr>
          <w:lang w:val="es-ES"/>
        </w:rPr>
        <w:t>La metodología acordada en diciembre de 2017 para realizar los ajustes fi</w:t>
      </w:r>
      <w:r w:rsidRPr="00B01865">
        <w:rPr>
          <w:lang w:val="es-ES"/>
        </w:rPr>
        <w:t>s</w:t>
      </w:r>
      <w:r w:rsidRPr="00B01865">
        <w:rPr>
          <w:lang w:val="es-ES"/>
        </w:rPr>
        <w:t>cales suponía modificar al alza los índices de variación de consumo y a la baja los índices de gestión; la aplicación de estos parámetros supuso realizar regul</w:t>
      </w:r>
      <w:r w:rsidRPr="00B01865">
        <w:rPr>
          <w:lang w:val="es-ES"/>
        </w:rPr>
        <w:t>a</w:t>
      </w:r>
      <w:r w:rsidRPr="00B01865">
        <w:rPr>
          <w:lang w:val="es-ES"/>
        </w:rPr>
        <w:t>rizaciones en los distintos impuestos, existiendo diferencias significativas entre 2016 y 2017 en ajustes como el correspondiente al impuesto especial sobre h</w:t>
      </w:r>
      <w:r w:rsidRPr="00B01865">
        <w:rPr>
          <w:lang w:val="es-ES"/>
        </w:rPr>
        <w:t>i</w:t>
      </w:r>
      <w:r w:rsidRPr="00B01865">
        <w:rPr>
          <w:lang w:val="es-ES"/>
        </w:rPr>
        <w:t xml:space="preserve">drocarburos. </w:t>
      </w:r>
    </w:p>
    <w:p w:rsidR="00BC745B" w:rsidRDefault="00BC745B">
      <w:pPr>
        <w:spacing w:after="0"/>
        <w:ind w:firstLine="0"/>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br w:type="page"/>
      </w:r>
    </w:p>
    <w:p w:rsidR="00B01865" w:rsidRPr="00B01865" w:rsidRDefault="00B01865" w:rsidP="00B01865">
      <w:pPr>
        <w:spacing w:before="240" w:after="12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lastRenderedPageBreak/>
        <w:t xml:space="preserve">Evolución 2013-2017 gastos e ingresos presupuestarios del Convenio </w:t>
      </w:r>
    </w:p>
    <w:p w:rsidR="00B01865" w:rsidRPr="00B01865" w:rsidRDefault="00B01865" w:rsidP="00645E74">
      <w:pPr>
        <w:pStyle w:val="texto"/>
        <w:rPr>
          <w:lang w:val="es-ES"/>
        </w:rPr>
      </w:pPr>
      <w:r w:rsidRPr="00B01865">
        <w:rPr>
          <w:lang w:val="es-ES"/>
        </w:rPr>
        <w:t xml:space="preserve">En el cuadro siguiente se muestra la evolución de </w:t>
      </w:r>
      <w:r w:rsidR="00694EA0">
        <w:rPr>
          <w:lang w:val="es-ES"/>
        </w:rPr>
        <w:t>los gastos e ingresos</w:t>
      </w:r>
      <w:r w:rsidRPr="00B01865">
        <w:rPr>
          <w:lang w:val="es-ES"/>
        </w:rPr>
        <w:t xml:space="preserve"> del Convenio para el periodo 2013-2017:</w:t>
      </w:r>
    </w:p>
    <w:tbl>
      <w:tblPr>
        <w:tblW w:w="8805" w:type="dxa"/>
        <w:tblInd w:w="70"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122"/>
        <w:gridCol w:w="912"/>
        <w:gridCol w:w="913"/>
        <w:gridCol w:w="912"/>
        <w:gridCol w:w="913"/>
        <w:gridCol w:w="983"/>
        <w:gridCol w:w="1050"/>
      </w:tblGrid>
      <w:tr w:rsidR="00B01865" w:rsidRPr="00B01865" w:rsidTr="00645E74">
        <w:trPr>
          <w:trHeight w:val="270"/>
        </w:trPr>
        <w:tc>
          <w:tcPr>
            <w:tcW w:w="8805" w:type="dxa"/>
            <w:gridSpan w:val="7"/>
            <w:tcBorders>
              <w:top w:val="nil"/>
              <w:bottom w:val="single" w:sz="4" w:space="0" w:color="auto"/>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7"/>
                <w:szCs w:val="17"/>
                <w:lang w:val="es-ES"/>
              </w:rPr>
            </w:pPr>
            <w:r w:rsidRPr="00B01865">
              <w:rPr>
                <w:rFonts w:ascii="Arial" w:hAnsi="Arial"/>
                <w:spacing w:val="6"/>
                <w:sz w:val="17"/>
                <w:szCs w:val="17"/>
                <w:lang w:val="es-ES"/>
              </w:rPr>
              <w:t>(en miles de euros)</w:t>
            </w:r>
          </w:p>
        </w:tc>
      </w:tr>
      <w:tr w:rsidR="00B01865" w:rsidRPr="00B01865" w:rsidTr="00645E74">
        <w:trPr>
          <w:trHeight w:val="255"/>
        </w:trPr>
        <w:tc>
          <w:tcPr>
            <w:tcW w:w="3122" w:type="dxa"/>
            <w:tcBorders>
              <w:bottom w:val="single" w:sz="4" w:space="0" w:color="auto"/>
            </w:tcBorders>
            <w:shd w:val="clear" w:color="auto" w:fill="8DB3E2" w:themeFill="text2" w:themeFillTint="66"/>
            <w:vAlign w:val="center"/>
            <w:hideMark/>
          </w:tcPr>
          <w:p w:rsidR="00B01865" w:rsidRPr="00B01865" w:rsidRDefault="00B01865" w:rsidP="00B01865">
            <w:pPr>
              <w:keepLines/>
              <w:tabs>
                <w:tab w:val="right" w:pos="5103"/>
                <w:tab w:val="right" w:pos="6237"/>
                <w:tab w:val="right" w:pos="7371"/>
              </w:tabs>
              <w:spacing w:after="0"/>
              <w:ind w:right="-70" w:firstLine="0"/>
              <w:jc w:val="center"/>
              <w:rPr>
                <w:rFonts w:ascii="Arial" w:hAnsi="Arial"/>
                <w:spacing w:val="6"/>
                <w:sz w:val="18"/>
                <w:szCs w:val="24"/>
                <w:lang w:val="es-ES"/>
              </w:rPr>
            </w:pPr>
            <w:r w:rsidRPr="00B01865">
              <w:rPr>
                <w:rFonts w:ascii="Arial" w:hAnsi="Arial"/>
                <w:spacing w:val="6"/>
                <w:sz w:val="18"/>
                <w:szCs w:val="24"/>
                <w:lang w:val="es-ES"/>
              </w:rPr>
              <w:t xml:space="preserve"> </w:t>
            </w:r>
          </w:p>
        </w:tc>
        <w:tc>
          <w:tcPr>
            <w:tcW w:w="912"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lang w:val="es-ES"/>
              </w:rPr>
            </w:pPr>
            <w:r w:rsidRPr="00B01865">
              <w:rPr>
                <w:rFonts w:ascii="Arial" w:hAnsi="Arial"/>
                <w:spacing w:val="6"/>
                <w:sz w:val="18"/>
                <w:szCs w:val="24"/>
                <w:lang w:val="es-ES"/>
              </w:rPr>
              <w:t>2013</w:t>
            </w:r>
          </w:p>
        </w:tc>
        <w:tc>
          <w:tcPr>
            <w:tcW w:w="913"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lang w:val="es-ES"/>
              </w:rPr>
            </w:pPr>
            <w:r w:rsidRPr="00B01865">
              <w:rPr>
                <w:rFonts w:ascii="Arial" w:hAnsi="Arial"/>
                <w:spacing w:val="6"/>
                <w:sz w:val="18"/>
                <w:szCs w:val="24"/>
                <w:lang w:val="es-ES"/>
              </w:rPr>
              <w:t>2014</w:t>
            </w:r>
          </w:p>
        </w:tc>
        <w:tc>
          <w:tcPr>
            <w:tcW w:w="912"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lang w:val="es-ES"/>
              </w:rPr>
            </w:pPr>
            <w:r w:rsidRPr="00B01865">
              <w:rPr>
                <w:rFonts w:ascii="Arial" w:hAnsi="Arial"/>
                <w:spacing w:val="6"/>
                <w:sz w:val="18"/>
                <w:szCs w:val="24"/>
                <w:lang w:val="es-ES"/>
              </w:rPr>
              <w:t>2015</w:t>
            </w:r>
          </w:p>
        </w:tc>
        <w:tc>
          <w:tcPr>
            <w:tcW w:w="913"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lang w:val="es-ES"/>
              </w:rPr>
            </w:pPr>
            <w:r w:rsidRPr="00B01865">
              <w:rPr>
                <w:rFonts w:ascii="Arial" w:hAnsi="Arial"/>
                <w:spacing w:val="6"/>
                <w:sz w:val="18"/>
                <w:szCs w:val="24"/>
                <w:lang w:val="es-ES"/>
              </w:rPr>
              <w:t>2016</w:t>
            </w:r>
          </w:p>
        </w:tc>
        <w:tc>
          <w:tcPr>
            <w:tcW w:w="983"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spacing w:val="6"/>
                <w:sz w:val="18"/>
                <w:szCs w:val="24"/>
                <w:lang w:val="es-ES"/>
              </w:rPr>
            </w:pPr>
            <w:r w:rsidRPr="00B01865">
              <w:rPr>
                <w:rFonts w:ascii="Arial" w:hAnsi="Arial"/>
                <w:spacing w:val="6"/>
                <w:sz w:val="18"/>
                <w:szCs w:val="24"/>
                <w:lang w:val="es-ES"/>
              </w:rPr>
              <w:t>2017</w:t>
            </w:r>
          </w:p>
        </w:tc>
        <w:tc>
          <w:tcPr>
            <w:tcW w:w="1050"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70" w:right="-56" w:firstLine="0"/>
              <w:jc w:val="right"/>
              <w:rPr>
                <w:rFonts w:ascii="Arial" w:hAnsi="Arial"/>
                <w:spacing w:val="6"/>
                <w:sz w:val="18"/>
                <w:szCs w:val="24"/>
                <w:lang w:val="es-ES"/>
              </w:rPr>
            </w:pPr>
            <w:r w:rsidRPr="00B01865">
              <w:rPr>
                <w:rFonts w:ascii="Arial" w:hAnsi="Arial"/>
                <w:spacing w:val="6"/>
                <w:sz w:val="18"/>
                <w:szCs w:val="24"/>
                <w:lang w:val="es-ES"/>
              </w:rPr>
              <w:t>% variación</w:t>
            </w:r>
          </w:p>
          <w:p w:rsidR="00B01865" w:rsidRPr="00B01865" w:rsidRDefault="00B01865" w:rsidP="00645E74">
            <w:pPr>
              <w:keepLines/>
              <w:tabs>
                <w:tab w:val="right" w:pos="2835"/>
                <w:tab w:val="right" w:pos="3969"/>
                <w:tab w:val="right" w:pos="5103"/>
                <w:tab w:val="right" w:pos="6237"/>
                <w:tab w:val="right" w:pos="7371"/>
              </w:tabs>
              <w:spacing w:after="0"/>
              <w:ind w:left="-70" w:right="-56" w:firstLine="0"/>
              <w:jc w:val="right"/>
              <w:rPr>
                <w:rFonts w:ascii="Arial" w:hAnsi="Arial"/>
                <w:spacing w:val="6"/>
                <w:sz w:val="18"/>
                <w:szCs w:val="24"/>
                <w:lang w:val="es-ES"/>
              </w:rPr>
            </w:pPr>
            <w:r w:rsidRPr="00B01865">
              <w:rPr>
                <w:rFonts w:ascii="Arial" w:hAnsi="Arial"/>
                <w:spacing w:val="6"/>
                <w:sz w:val="18"/>
                <w:szCs w:val="24"/>
                <w:lang w:val="es-ES"/>
              </w:rPr>
              <w:t>2017/2013</w:t>
            </w:r>
          </w:p>
        </w:tc>
      </w:tr>
      <w:tr w:rsidR="00B01865" w:rsidRPr="00645E74" w:rsidTr="00645E74">
        <w:trPr>
          <w:trHeight w:val="198"/>
        </w:trPr>
        <w:tc>
          <w:tcPr>
            <w:tcW w:w="3122" w:type="dxa"/>
            <w:tcBorders>
              <w:bottom w:val="single" w:sz="2" w:space="0" w:color="auto"/>
            </w:tcBorders>
            <w:vAlign w:val="center"/>
            <w:hideMark/>
          </w:tcPr>
          <w:p w:rsidR="00B01865" w:rsidRPr="00645E74" w:rsidRDefault="00B01865" w:rsidP="00B01865">
            <w:pPr>
              <w:keepLines/>
              <w:tabs>
                <w:tab w:val="right" w:pos="5103"/>
                <w:tab w:val="right" w:pos="6237"/>
                <w:tab w:val="right" w:pos="7371"/>
              </w:tabs>
              <w:spacing w:after="0"/>
              <w:ind w:firstLine="0"/>
              <w:jc w:val="left"/>
              <w:rPr>
                <w:rFonts w:ascii="Arial Narrow" w:hAnsi="Arial Narrow"/>
                <w:spacing w:val="6"/>
              </w:rPr>
            </w:pPr>
            <w:r w:rsidRPr="00645E74">
              <w:rPr>
                <w:rFonts w:ascii="Arial Narrow" w:hAnsi="Arial Narrow"/>
                <w:spacing w:val="6"/>
              </w:rPr>
              <w:t>Aportación al Estado</w:t>
            </w:r>
          </w:p>
        </w:tc>
        <w:tc>
          <w:tcPr>
            <w:tcW w:w="912"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571.859</w:t>
            </w:r>
          </w:p>
        </w:tc>
        <w:tc>
          <w:tcPr>
            <w:tcW w:w="913"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555.835</w:t>
            </w:r>
          </w:p>
        </w:tc>
        <w:tc>
          <w:tcPr>
            <w:tcW w:w="912"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591.043</w:t>
            </w:r>
          </w:p>
        </w:tc>
        <w:tc>
          <w:tcPr>
            <w:tcW w:w="913"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520.687</w:t>
            </w:r>
          </w:p>
        </w:tc>
        <w:tc>
          <w:tcPr>
            <w:tcW w:w="983"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509.174</w:t>
            </w:r>
          </w:p>
        </w:tc>
        <w:tc>
          <w:tcPr>
            <w:tcW w:w="1050"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70" w:right="-56" w:firstLine="0"/>
              <w:jc w:val="right"/>
              <w:rPr>
                <w:rFonts w:ascii="Arial Narrow" w:hAnsi="Arial Narrow"/>
                <w:spacing w:val="6"/>
              </w:rPr>
            </w:pPr>
            <w:r w:rsidRPr="00645E74">
              <w:rPr>
                <w:rFonts w:ascii="Arial Narrow" w:hAnsi="Arial Narrow"/>
                <w:spacing w:val="6"/>
              </w:rPr>
              <w:t>-11</w:t>
            </w:r>
          </w:p>
        </w:tc>
      </w:tr>
      <w:tr w:rsidR="00B01865" w:rsidRPr="00645E74" w:rsidTr="00645E74">
        <w:trPr>
          <w:trHeight w:val="198"/>
        </w:trPr>
        <w:tc>
          <w:tcPr>
            <w:tcW w:w="3122" w:type="dxa"/>
            <w:tcBorders>
              <w:top w:val="single" w:sz="2" w:space="0" w:color="auto"/>
              <w:bottom w:val="single" w:sz="4" w:space="0" w:color="auto"/>
            </w:tcBorders>
            <w:vAlign w:val="center"/>
            <w:hideMark/>
          </w:tcPr>
          <w:p w:rsidR="00B01865" w:rsidRPr="00645E74" w:rsidRDefault="00B01865" w:rsidP="00B01865">
            <w:pPr>
              <w:keepLines/>
              <w:tabs>
                <w:tab w:val="right" w:pos="5103"/>
                <w:tab w:val="right" w:pos="6237"/>
                <w:tab w:val="right" w:pos="7371"/>
              </w:tabs>
              <w:spacing w:after="0"/>
              <w:ind w:firstLine="0"/>
              <w:jc w:val="left"/>
              <w:rPr>
                <w:rFonts w:ascii="Arial Narrow" w:hAnsi="Arial Narrow"/>
                <w:spacing w:val="6"/>
              </w:rPr>
            </w:pPr>
            <w:proofErr w:type="spellStart"/>
            <w:r w:rsidRPr="00645E74">
              <w:rPr>
                <w:rFonts w:ascii="Arial Narrow" w:hAnsi="Arial Narrow"/>
                <w:spacing w:val="6"/>
              </w:rPr>
              <w:t>Compens</w:t>
            </w:r>
            <w:proofErr w:type="spellEnd"/>
            <w:r w:rsidRPr="00645E74">
              <w:rPr>
                <w:rFonts w:ascii="Arial Narrow" w:hAnsi="Arial Narrow"/>
                <w:spacing w:val="6"/>
              </w:rPr>
              <w:t>. impuestos sector eléctrico</w:t>
            </w:r>
          </w:p>
        </w:tc>
        <w:tc>
          <w:tcPr>
            <w:tcW w:w="912"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0 </w:t>
            </w:r>
          </w:p>
        </w:tc>
        <w:tc>
          <w:tcPr>
            <w:tcW w:w="913"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0 </w:t>
            </w:r>
          </w:p>
        </w:tc>
        <w:tc>
          <w:tcPr>
            <w:tcW w:w="912"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26.859</w:t>
            </w:r>
          </w:p>
        </w:tc>
        <w:tc>
          <w:tcPr>
            <w:tcW w:w="913"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20.169</w:t>
            </w:r>
          </w:p>
        </w:tc>
        <w:tc>
          <w:tcPr>
            <w:tcW w:w="983"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1.965</w:t>
            </w:r>
          </w:p>
        </w:tc>
        <w:tc>
          <w:tcPr>
            <w:tcW w:w="1050"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70" w:right="-56" w:firstLine="0"/>
              <w:jc w:val="right"/>
              <w:rPr>
                <w:rFonts w:ascii="Arial Narrow" w:hAnsi="Arial Narrow"/>
                <w:spacing w:val="6"/>
              </w:rPr>
            </w:pPr>
            <w:r w:rsidRPr="00645E74">
              <w:rPr>
                <w:rFonts w:ascii="Arial Narrow" w:hAnsi="Arial Narrow"/>
                <w:spacing w:val="6"/>
              </w:rPr>
              <w:t>-</w:t>
            </w:r>
          </w:p>
        </w:tc>
      </w:tr>
      <w:tr w:rsidR="00B01865" w:rsidRPr="00B01865" w:rsidTr="00645E74">
        <w:trPr>
          <w:trHeight w:val="255"/>
        </w:trPr>
        <w:tc>
          <w:tcPr>
            <w:tcW w:w="3122" w:type="dxa"/>
            <w:tcBorders>
              <w:bottom w:val="single" w:sz="4" w:space="0" w:color="auto"/>
            </w:tcBorders>
            <w:shd w:val="clear" w:color="auto" w:fill="8DB3E2" w:themeFill="text2" w:themeFillTint="66"/>
            <w:vAlign w:val="center"/>
            <w:hideMark/>
          </w:tcPr>
          <w:p w:rsidR="00B01865" w:rsidRPr="00B01865" w:rsidRDefault="00B01865" w:rsidP="00694EA0">
            <w:pPr>
              <w:keepLines/>
              <w:tabs>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 xml:space="preserve">Total </w:t>
            </w:r>
            <w:r w:rsidR="00694EA0">
              <w:rPr>
                <w:rFonts w:ascii="Arial" w:hAnsi="Arial" w:cs="Arial"/>
                <w:spacing w:val="6"/>
                <w:sz w:val="18"/>
                <w:szCs w:val="18"/>
              </w:rPr>
              <w:t>g</w:t>
            </w:r>
            <w:r w:rsidRPr="00B01865">
              <w:rPr>
                <w:rFonts w:ascii="Arial" w:hAnsi="Arial" w:cs="Arial"/>
                <w:spacing w:val="6"/>
                <w:sz w:val="18"/>
                <w:szCs w:val="18"/>
              </w:rPr>
              <w:t>astos Convenio</w:t>
            </w:r>
          </w:p>
        </w:tc>
        <w:tc>
          <w:tcPr>
            <w:tcW w:w="912"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B01865">
              <w:rPr>
                <w:rFonts w:ascii="Arial" w:hAnsi="Arial" w:cs="Arial"/>
                <w:spacing w:val="6"/>
                <w:sz w:val="18"/>
                <w:szCs w:val="18"/>
              </w:rPr>
              <w:t>571.859</w:t>
            </w:r>
          </w:p>
        </w:tc>
        <w:tc>
          <w:tcPr>
            <w:tcW w:w="913"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B01865">
              <w:rPr>
                <w:rFonts w:ascii="Arial" w:hAnsi="Arial" w:cs="Arial"/>
                <w:spacing w:val="6"/>
                <w:sz w:val="18"/>
                <w:szCs w:val="18"/>
              </w:rPr>
              <w:t>555.835</w:t>
            </w:r>
          </w:p>
        </w:tc>
        <w:tc>
          <w:tcPr>
            <w:tcW w:w="912"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B01865">
              <w:rPr>
                <w:rFonts w:ascii="Arial" w:hAnsi="Arial" w:cs="Arial"/>
                <w:spacing w:val="6"/>
                <w:sz w:val="18"/>
                <w:szCs w:val="18"/>
              </w:rPr>
              <w:t>617.902</w:t>
            </w:r>
          </w:p>
        </w:tc>
        <w:tc>
          <w:tcPr>
            <w:tcW w:w="913"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B01865">
              <w:rPr>
                <w:rFonts w:ascii="Arial" w:hAnsi="Arial" w:cs="Arial"/>
                <w:spacing w:val="6"/>
                <w:sz w:val="18"/>
                <w:szCs w:val="18"/>
              </w:rPr>
              <w:t>540.856</w:t>
            </w:r>
          </w:p>
        </w:tc>
        <w:tc>
          <w:tcPr>
            <w:tcW w:w="983"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B01865">
              <w:rPr>
                <w:rFonts w:ascii="Arial" w:hAnsi="Arial" w:cs="Arial"/>
                <w:spacing w:val="6"/>
                <w:sz w:val="18"/>
                <w:szCs w:val="18"/>
              </w:rPr>
              <w:t>511.139</w:t>
            </w:r>
          </w:p>
        </w:tc>
        <w:tc>
          <w:tcPr>
            <w:tcW w:w="1050" w:type="dxa"/>
            <w:tcBorders>
              <w:bottom w:val="single" w:sz="4" w:space="0" w:color="auto"/>
            </w:tcBorders>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70" w:right="-56" w:firstLine="0"/>
              <w:jc w:val="right"/>
              <w:rPr>
                <w:rFonts w:ascii="Arial" w:hAnsi="Arial" w:cs="Arial"/>
                <w:spacing w:val="6"/>
                <w:sz w:val="18"/>
                <w:szCs w:val="18"/>
              </w:rPr>
            </w:pPr>
            <w:r w:rsidRPr="00B01865">
              <w:rPr>
                <w:rFonts w:ascii="Arial" w:hAnsi="Arial" w:cs="Arial"/>
                <w:spacing w:val="6"/>
                <w:sz w:val="18"/>
                <w:szCs w:val="18"/>
              </w:rPr>
              <w:t>-11</w:t>
            </w:r>
          </w:p>
        </w:tc>
      </w:tr>
      <w:tr w:rsidR="00B01865" w:rsidRPr="00645E74" w:rsidTr="00645E74">
        <w:trPr>
          <w:trHeight w:val="198"/>
        </w:trPr>
        <w:tc>
          <w:tcPr>
            <w:tcW w:w="3122" w:type="dxa"/>
            <w:tcBorders>
              <w:bottom w:val="single" w:sz="2" w:space="0" w:color="auto"/>
            </w:tcBorders>
            <w:vAlign w:val="center"/>
            <w:hideMark/>
          </w:tcPr>
          <w:p w:rsidR="00B01865" w:rsidRPr="00645E74" w:rsidRDefault="00B01865" w:rsidP="00B01865">
            <w:pPr>
              <w:keepLines/>
              <w:tabs>
                <w:tab w:val="right" w:pos="5103"/>
                <w:tab w:val="right" w:pos="6237"/>
                <w:tab w:val="right" w:pos="7371"/>
              </w:tabs>
              <w:spacing w:after="0"/>
              <w:ind w:firstLine="0"/>
              <w:jc w:val="left"/>
              <w:rPr>
                <w:rFonts w:ascii="Arial Narrow" w:hAnsi="Arial Narrow"/>
                <w:spacing w:val="6"/>
              </w:rPr>
            </w:pPr>
            <w:r w:rsidRPr="00645E74">
              <w:rPr>
                <w:rFonts w:ascii="Arial Narrow" w:hAnsi="Arial Narrow"/>
                <w:spacing w:val="6"/>
              </w:rPr>
              <w:t>Ajustes por  IVA</w:t>
            </w:r>
          </w:p>
        </w:tc>
        <w:tc>
          <w:tcPr>
            <w:tcW w:w="912"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646.767</w:t>
            </w:r>
          </w:p>
        </w:tc>
        <w:tc>
          <w:tcPr>
            <w:tcW w:w="913"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750.869</w:t>
            </w:r>
          </w:p>
        </w:tc>
        <w:tc>
          <w:tcPr>
            <w:tcW w:w="912"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811.648</w:t>
            </w:r>
          </w:p>
        </w:tc>
        <w:tc>
          <w:tcPr>
            <w:tcW w:w="913"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835.522</w:t>
            </w:r>
          </w:p>
        </w:tc>
        <w:tc>
          <w:tcPr>
            <w:tcW w:w="983"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889.110</w:t>
            </w:r>
          </w:p>
        </w:tc>
        <w:tc>
          <w:tcPr>
            <w:tcW w:w="1050" w:type="dxa"/>
            <w:tcBorders>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70" w:right="-56" w:firstLine="0"/>
              <w:jc w:val="right"/>
              <w:rPr>
                <w:rFonts w:ascii="Arial Narrow" w:hAnsi="Arial Narrow"/>
                <w:spacing w:val="6"/>
              </w:rPr>
            </w:pPr>
            <w:r w:rsidRPr="00645E74">
              <w:rPr>
                <w:rFonts w:ascii="Arial Narrow" w:hAnsi="Arial Narrow"/>
                <w:spacing w:val="6"/>
              </w:rPr>
              <w:t>37</w:t>
            </w:r>
          </w:p>
        </w:tc>
      </w:tr>
      <w:tr w:rsidR="00B01865" w:rsidRPr="00645E74" w:rsidTr="00645E74">
        <w:trPr>
          <w:trHeight w:val="198"/>
        </w:trPr>
        <w:tc>
          <w:tcPr>
            <w:tcW w:w="3122" w:type="dxa"/>
            <w:tcBorders>
              <w:top w:val="single" w:sz="2" w:space="0" w:color="auto"/>
              <w:bottom w:val="single" w:sz="2" w:space="0" w:color="auto"/>
            </w:tcBorders>
            <w:noWrap/>
            <w:vAlign w:val="center"/>
            <w:hideMark/>
          </w:tcPr>
          <w:p w:rsidR="00B01865" w:rsidRPr="00645E74" w:rsidRDefault="00B01865" w:rsidP="00645E74">
            <w:pPr>
              <w:keepLines/>
              <w:tabs>
                <w:tab w:val="right" w:pos="5103"/>
                <w:tab w:val="right" w:pos="6237"/>
                <w:tab w:val="right" w:pos="7371"/>
              </w:tabs>
              <w:spacing w:after="0"/>
              <w:ind w:firstLine="0"/>
              <w:jc w:val="left"/>
              <w:rPr>
                <w:rFonts w:ascii="Arial Narrow" w:hAnsi="Arial Narrow"/>
                <w:spacing w:val="6"/>
              </w:rPr>
            </w:pPr>
            <w:r w:rsidRPr="00645E74">
              <w:rPr>
                <w:rFonts w:ascii="Arial Narrow" w:hAnsi="Arial Narrow"/>
                <w:spacing w:val="6"/>
              </w:rPr>
              <w:t xml:space="preserve">Ajustes I. </w:t>
            </w:r>
            <w:r w:rsidR="00645E74">
              <w:rPr>
                <w:rFonts w:ascii="Arial Narrow" w:hAnsi="Arial Narrow"/>
                <w:spacing w:val="6"/>
              </w:rPr>
              <w:t>e</w:t>
            </w:r>
            <w:r w:rsidRPr="00645E74">
              <w:rPr>
                <w:rFonts w:ascii="Arial Narrow" w:hAnsi="Arial Narrow"/>
                <w:spacing w:val="6"/>
              </w:rPr>
              <w:t xml:space="preserve">speciales </w:t>
            </w:r>
            <w:r w:rsidR="00645E74">
              <w:rPr>
                <w:rFonts w:ascii="Arial Narrow" w:hAnsi="Arial Narrow"/>
                <w:spacing w:val="6"/>
              </w:rPr>
              <w:t>f</w:t>
            </w:r>
            <w:r w:rsidRPr="00645E74">
              <w:rPr>
                <w:rFonts w:ascii="Arial Narrow" w:hAnsi="Arial Narrow"/>
                <w:spacing w:val="6"/>
              </w:rPr>
              <w:t>abricación</w:t>
            </w:r>
          </w:p>
        </w:tc>
        <w:tc>
          <w:tcPr>
            <w:tcW w:w="912"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9.273</w:t>
            </w:r>
          </w:p>
        </w:tc>
        <w:tc>
          <w:tcPr>
            <w:tcW w:w="913"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-32.095</w:t>
            </w:r>
          </w:p>
        </w:tc>
        <w:tc>
          <w:tcPr>
            <w:tcW w:w="912"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-67.184</w:t>
            </w:r>
          </w:p>
        </w:tc>
        <w:tc>
          <w:tcPr>
            <w:tcW w:w="913"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-34.986</w:t>
            </w:r>
          </w:p>
        </w:tc>
        <w:tc>
          <w:tcPr>
            <w:tcW w:w="983"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113.860</w:t>
            </w:r>
          </w:p>
        </w:tc>
        <w:tc>
          <w:tcPr>
            <w:tcW w:w="1050"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70" w:right="-56" w:firstLine="0"/>
              <w:jc w:val="right"/>
              <w:rPr>
                <w:rFonts w:ascii="Arial Narrow" w:hAnsi="Arial Narrow"/>
                <w:spacing w:val="6"/>
              </w:rPr>
            </w:pPr>
            <w:r w:rsidRPr="00645E74">
              <w:rPr>
                <w:rFonts w:ascii="Arial Narrow" w:hAnsi="Arial Narrow"/>
                <w:spacing w:val="6"/>
              </w:rPr>
              <w:t>1128</w:t>
            </w:r>
          </w:p>
        </w:tc>
      </w:tr>
      <w:tr w:rsidR="00B01865" w:rsidRPr="00645E74" w:rsidTr="00645E74">
        <w:trPr>
          <w:trHeight w:val="198"/>
        </w:trPr>
        <w:tc>
          <w:tcPr>
            <w:tcW w:w="3122" w:type="dxa"/>
            <w:tcBorders>
              <w:top w:val="single" w:sz="2" w:space="0" w:color="auto"/>
              <w:bottom w:val="single" w:sz="2" w:space="0" w:color="auto"/>
            </w:tcBorders>
            <w:vAlign w:val="center"/>
            <w:hideMark/>
          </w:tcPr>
          <w:p w:rsidR="00B01865" w:rsidRPr="00645E74" w:rsidRDefault="00B01865" w:rsidP="00645E74">
            <w:pPr>
              <w:keepLines/>
              <w:tabs>
                <w:tab w:val="right" w:pos="5103"/>
                <w:tab w:val="right" w:pos="6237"/>
                <w:tab w:val="right" w:pos="7371"/>
              </w:tabs>
              <w:spacing w:after="0"/>
              <w:ind w:firstLine="0"/>
              <w:jc w:val="left"/>
              <w:rPr>
                <w:rFonts w:ascii="Arial Narrow" w:hAnsi="Arial Narrow"/>
                <w:spacing w:val="6"/>
              </w:rPr>
            </w:pPr>
            <w:proofErr w:type="spellStart"/>
            <w:r w:rsidRPr="00645E74">
              <w:rPr>
                <w:rFonts w:ascii="Arial Narrow" w:hAnsi="Arial Narrow"/>
                <w:spacing w:val="6"/>
              </w:rPr>
              <w:t>Liq</w:t>
            </w:r>
            <w:proofErr w:type="spellEnd"/>
            <w:r w:rsidRPr="00645E74">
              <w:rPr>
                <w:rFonts w:ascii="Arial Narrow" w:hAnsi="Arial Narrow"/>
                <w:spacing w:val="6"/>
              </w:rPr>
              <w:t xml:space="preserve">. </w:t>
            </w:r>
            <w:proofErr w:type="spellStart"/>
            <w:r w:rsidRPr="00645E74">
              <w:rPr>
                <w:rFonts w:ascii="Arial Narrow" w:hAnsi="Arial Narrow"/>
                <w:spacing w:val="6"/>
              </w:rPr>
              <w:t>Def</w:t>
            </w:r>
            <w:proofErr w:type="spellEnd"/>
            <w:r w:rsidRPr="00645E74">
              <w:rPr>
                <w:rFonts w:ascii="Arial Narrow" w:hAnsi="Arial Narrow"/>
                <w:spacing w:val="6"/>
              </w:rPr>
              <w:t xml:space="preserve">. </w:t>
            </w:r>
            <w:r w:rsidR="00645E74">
              <w:rPr>
                <w:rFonts w:ascii="Arial Narrow" w:hAnsi="Arial Narrow"/>
                <w:spacing w:val="6"/>
              </w:rPr>
              <w:t>a</w:t>
            </w:r>
            <w:r w:rsidRPr="00645E74">
              <w:rPr>
                <w:rFonts w:ascii="Arial Narrow" w:hAnsi="Arial Narrow"/>
                <w:spacing w:val="6"/>
              </w:rPr>
              <w:t>portación al Estado</w:t>
            </w:r>
          </w:p>
        </w:tc>
        <w:tc>
          <w:tcPr>
            <w:tcW w:w="912"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 0</w:t>
            </w:r>
          </w:p>
        </w:tc>
        <w:tc>
          <w:tcPr>
            <w:tcW w:w="913"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0 </w:t>
            </w:r>
          </w:p>
        </w:tc>
        <w:tc>
          <w:tcPr>
            <w:tcW w:w="912"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0 </w:t>
            </w:r>
          </w:p>
        </w:tc>
        <w:tc>
          <w:tcPr>
            <w:tcW w:w="913"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0 </w:t>
            </w:r>
          </w:p>
        </w:tc>
        <w:tc>
          <w:tcPr>
            <w:tcW w:w="983"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 xml:space="preserve"> 128.694</w:t>
            </w:r>
          </w:p>
        </w:tc>
        <w:tc>
          <w:tcPr>
            <w:tcW w:w="1050" w:type="dxa"/>
            <w:tcBorders>
              <w:top w:val="single" w:sz="2" w:space="0" w:color="auto"/>
              <w:bottom w:val="single" w:sz="2"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70" w:right="-56" w:firstLine="0"/>
              <w:jc w:val="right"/>
              <w:rPr>
                <w:rFonts w:ascii="Arial Narrow" w:hAnsi="Arial Narrow"/>
                <w:spacing w:val="6"/>
              </w:rPr>
            </w:pPr>
            <w:r w:rsidRPr="00645E74">
              <w:rPr>
                <w:rFonts w:ascii="Arial Narrow" w:hAnsi="Arial Narrow"/>
                <w:spacing w:val="6"/>
              </w:rPr>
              <w:t>-</w:t>
            </w:r>
          </w:p>
        </w:tc>
      </w:tr>
      <w:tr w:rsidR="00B01865" w:rsidRPr="00645E74" w:rsidTr="00645E74">
        <w:trPr>
          <w:trHeight w:val="198"/>
        </w:trPr>
        <w:tc>
          <w:tcPr>
            <w:tcW w:w="3122" w:type="dxa"/>
            <w:tcBorders>
              <w:top w:val="single" w:sz="2" w:space="0" w:color="auto"/>
              <w:bottom w:val="single" w:sz="4" w:space="0" w:color="auto"/>
            </w:tcBorders>
            <w:vAlign w:val="center"/>
          </w:tcPr>
          <w:p w:rsidR="00B01865" w:rsidRPr="00645E74" w:rsidRDefault="00B01865" w:rsidP="00B01865">
            <w:pPr>
              <w:keepLines/>
              <w:tabs>
                <w:tab w:val="right" w:pos="5103"/>
                <w:tab w:val="right" w:pos="6237"/>
                <w:tab w:val="right" w:pos="7371"/>
              </w:tabs>
              <w:spacing w:after="0"/>
              <w:ind w:firstLine="0"/>
              <w:jc w:val="left"/>
              <w:rPr>
                <w:rFonts w:ascii="Arial Narrow" w:hAnsi="Arial Narrow"/>
                <w:spacing w:val="6"/>
              </w:rPr>
            </w:pPr>
            <w:r w:rsidRPr="00645E74">
              <w:rPr>
                <w:rFonts w:ascii="Arial Narrow" w:hAnsi="Arial Narrow"/>
                <w:spacing w:val="6"/>
              </w:rPr>
              <w:t xml:space="preserve">Participación </w:t>
            </w:r>
            <w:proofErr w:type="spellStart"/>
            <w:r w:rsidRPr="00645E74">
              <w:rPr>
                <w:rFonts w:ascii="Arial Narrow" w:hAnsi="Arial Narrow"/>
                <w:spacing w:val="6"/>
              </w:rPr>
              <w:t>diputac</w:t>
            </w:r>
            <w:proofErr w:type="spellEnd"/>
            <w:r w:rsidRPr="00645E74">
              <w:rPr>
                <w:rFonts w:ascii="Arial Narrow" w:hAnsi="Arial Narrow"/>
                <w:spacing w:val="6"/>
              </w:rPr>
              <w:t xml:space="preserve">. </w:t>
            </w:r>
            <w:proofErr w:type="spellStart"/>
            <w:r w:rsidRPr="00645E74">
              <w:rPr>
                <w:rFonts w:ascii="Arial Narrow" w:hAnsi="Arial Narrow"/>
                <w:spacing w:val="6"/>
              </w:rPr>
              <w:t>Ingr</w:t>
            </w:r>
            <w:proofErr w:type="spellEnd"/>
            <w:r w:rsidRPr="00645E74">
              <w:rPr>
                <w:rFonts w:ascii="Arial Narrow" w:hAnsi="Arial Narrow"/>
                <w:spacing w:val="6"/>
              </w:rPr>
              <w:t>. Estado</w:t>
            </w:r>
          </w:p>
        </w:tc>
        <w:tc>
          <w:tcPr>
            <w:tcW w:w="912"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82</w:t>
            </w:r>
          </w:p>
        </w:tc>
        <w:tc>
          <w:tcPr>
            <w:tcW w:w="913"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82</w:t>
            </w:r>
          </w:p>
        </w:tc>
        <w:tc>
          <w:tcPr>
            <w:tcW w:w="912"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79</w:t>
            </w:r>
          </w:p>
        </w:tc>
        <w:tc>
          <w:tcPr>
            <w:tcW w:w="913"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88</w:t>
            </w:r>
          </w:p>
        </w:tc>
        <w:tc>
          <w:tcPr>
            <w:tcW w:w="983"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112" w:firstLine="0"/>
              <w:jc w:val="right"/>
              <w:rPr>
                <w:rFonts w:ascii="Arial Narrow" w:hAnsi="Arial Narrow"/>
                <w:spacing w:val="6"/>
              </w:rPr>
            </w:pPr>
            <w:r w:rsidRPr="00645E74">
              <w:rPr>
                <w:rFonts w:ascii="Arial Narrow" w:hAnsi="Arial Narrow"/>
                <w:spacing w:val="6"/>
              </w:rPr>
              <w:t>92</w:t>
            </w:r>
          </w:p>
        </w:tc>
        <w:tc>
          <w:tcPr>
            <w:tcW w:w="1050" w:type="dxa"/>
            <w:tcBorders>
              <w:top w:val="single" w:sz="2" w:space="0" w:color="auto"/>
              <w:bottom w:val="single" w:sz="4" w:space="0" w:color="auto"/>
            </w:tcBorders>
            <w:vAlign w:val="center"/>
          </w:tcPr>
          <w:p w:rsidR="00B01865" w:rsidRPr="00645E74" w:rsidRDefault="00B01865" w:rsidP="00645E74">
            <w:pPr>
              <w:keepLines/>
              <w:tabs>
                <w:tab w:val="right" w:pos="2835"/>
                <w:tab w:val="right" w:pos="3969"/>
                <w:tab w:val="right" w:pos="5103"/>
                <w:tab w:val="right" w:pos="6237"/>
                <w:tab w:val="right" w:pos="7371"/>
              </w:tabs>
              <w:spacing w:after="0"/>
              <w:ind w:left="-70" w:right="-56" w:firstLine="0"/>
              <w:jc w:val="right"/>
              <w:rPr>
                <w:rFonts w:ascii="Arial Narrow" w:hAnsi="Arial Narrow"/>
                <w:spacing w:val="6"/>
              </w:rPr>
            </w:pPr>
            <w:r w:rsidRPr="00645E74">
              <w:rPr>
                <w:rFonts w:ascii="Arial Narrow" w:hAnsi="Arial Narrow"/>
                <w:spacing w:val="6"/>
              </w:rPr>
              <w:t>12</w:t>
            </w:r>
          </w:p>
        </w:tc>
      </w:tr>
      <w:tr w:rsidR="00B01865" w:rsidRPr="00B01865" w:rsidTr="00645E74">
        <w:trPr>
          <w:trHeight w:val="255"/>
        </w:trPr>
        <w:tc>
          <w:tcPr>
            <w:tcW w:w="3122" w:type="dxa"/>
            <w:shd w:val="clear" w:color="auto" w:fill="8DB3E2" w:themeFill="text2" w:themeFillTint="66"/>
            <w:vAlign w:val="center"/>
            <w:hideMark/>
          </w:tcPr>
          <w:p w:rsidR="00B01865" w:rsidRPr="00B01865" w:rsidRDefault="00B01865" w:rsidP="00694EA0">
            <w:pPr>
              <w:keepLines/>
              <w:tabs>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 xml:space="preserve">Total </w:t>
            </w:r>
            <w:r w:rsidR="00694EA0">
              <w:rPr>
                <w:rFonts w:ascii="Arial" w:hAnsi="Arial" w:cs="Arial"/>
                <w:spacing w:val="6"/>
                <w:sz w:val="18"/>
                <w:szCs w:val="18"/>
              </w:rPr>
              <w:t>i</w:t>
            </w:r>
            <w:r w:rsidRPr="00B01865">
              <w:rPr>
                <w:rFonts w:ascii="Arial" w:hAnsi="Arial" w:cs="Arial"/>
                <w:spacing w:val="6"/>
                <w:sz w:val="18"/>
                <w:szCs w:val="18"/>
              </w:rPr>
              <w:t>ngresos</w:t>
            </w:r>
            <w:r w:rsidR="00694EA0">
              <w:rPr>
                <w:rFonts w:ascii="Arial" w:hAnsi="Arial" w:cs="Arial"/>
                <w:spacing w:val="6"/>
                <w:sz w:val="18"/>
                <w:szCs w:val="18"/>
              </w:rPr>
              <w:t xml:space="preserve"> </w:t>
            </w:r>
            <w:r w:rsidRPr="00B01865">
              <w:rPr>
                <w:rFonts w:ascii="Arial" w:hAnsi="Arial" w:cs="Arial"/>
                <w:spacing w:val="6"/>
                <w:sz w:val="18"/>
                <w:szCs w:val="18"/>
              </w:rPr>
              <w:t>Convenio</w:t>
            </w:r>
          </w:p>
        </w:tc>
        <w:tc>
          <w:tcPr>
            <w:tcW w:w="912" w:type="dxa"/>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B01865">
              <w:rPr>
                <w:rFonts w:ascii="Arial" w:hAnsi="Arial" w:cs="Arial"/>
                <w:spacing w:val="6"/>
                <w:sz w:val="18"/>
                <w:szCs w:val="18"/>
              </w:rPr>
              <w:t>656.122</w:t>
            </w:r>
          </w:p>
        </w:tc>
        <w:tc>
          <w:tcPr>
            <w:tcW w:w="913" w:type="dxa"/>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B01865">
              <w:rPr>
                <w:rFonts w:ascii="Arial" w:hAnsi="Arial" w:cs="Arial"/>
                <w:spacing w:val="6"/>
                <w:sz w:val="18"/>
                <w:szCs w:val="18"/>
              </w:rPr>
              <w:t>718.856</w:t>
            </w:r>
          </w:p>
        </w:tc>
        <w:tc>
          <w:tcPr>
            <w:tcW w:w="912" w:type="dxa"/>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B01865">
              <w:rPr>
                <w:rFonts w:ascii="Arial" w:hAnsi="Arial" w:cs="Arial"/>
                <w:spacing w:val="6"/>
                <w:sz w:val="18"/>
                <w:szCs w:val="18"/>
              </w:rPr>
              <w:t>744.543</w:t>
            </w:r>
          </w:p>
        </w:tc>
        <w:tc>
          <w:tcPr>
            <w:tcW w:w="913" w:type="dxa"/>
            <w:shd w:val="clear" w:color="auto" w:fill="8DB3E2" w:themeFill="text2" w:themeFillTint="66"/>
            <w:vAlign w:val="center"/>
          </w:tcPr>
          <w:p w:rsidR="00B01865" w:rsidRPr="00B01865" w:rsidRDefault="00B01865" w:rsidP="00A050F1">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B01865">
              <w:rPr>
                <w:rFonts w:ascii="Arial" w:hAnsi="Arial" w:cs="Arial"/>
                <w:spacing w:val="6"/>
                <w:sz w:val="18"/>
                <w:szCs w:val="18"/>
              </w:rPr>
              <w:t>80</w:t>
            </w:r>
            <w:r w:rsidR="00A050F1">
              <w:rPr>
                <w:rFonts w:ascii="Arial" w:hAnsi="Arial" w:cs="Arial"/>
                <w:spacing w:val="6"/>
                <w:sz w:val="18"/>
                <w:szCs w:val="18"/>
              </w:rPr>
              <w:t>0.624</w:t>
            </w:r>
          </w:p>
        </w:tc>
        <w:tc>
          <w:tcPr>
            <w:tcW w:w="983" w:type="dxa"/>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112" w:firstLine="0"/>
              <w:jc w:val="right"/>
              <w:rPr>
                <w:rFonts w:ascii="Arial" w:hAnsi="Arial" w:cs="Arial"/>
                <w:spacing w:val="6"/>
                <w:sz w:val="18"/>
                <w:szCs w:val="18"/>
              </w:rPr>
            </w:pPr>
            <w:r w:rsidRPr="00B01865">
              <w:rPr>
                <w:rFonts w:ascii="Arial" w:hAnsi="Arial" w:cs="Arial"/>
                <w:spacing w:val="6"/>
                <w:sz w:val="18"/>
                <w:szCs w:val="18"/>
              </w:rPr>
              <w:t>1.131.756</w:t>
            </w:r>
          </w:p>
        </w:tc>
        <w:tc>
          <w:tcPr>
            <w:tcW w:w="1050" w:type="dxa"/>
            <w:shd w:val="clear" w:color="auto" w:fill="8DB3E2" w:themeFill="text2" w:themeFillTint="66"/>
            <w:vAlign w:val="center"/>
          </w:tcPr>
          <w:p w:rsidR="00B01865" w:rsidRPr="00B01865" w:rsidRDefault="00B01865" w:rsidP="00645E74">
            <w:pPr>
              <w:keepLines/>
              <w:tabs>
                <w:tab w:val="right" w:pos="2835"/>
                <w:tab w:val="right" w:pos="3969"/>
                <w:tab w:val="right" w:pos="5103"/>
                <w:tab w:val="right" w:pos="6237"/>
                <w:tab w:val="right" w:pos="7371"/>
              </w:tabs>
              <w:spacing w:after="0"/>
              <w:ind w:left="-70" w:right="-56" w:firstLine="0"/>
              <w:jc w:val="right"/>
              <w:rPr>
                <w:rFonts w:ascii="Arial" w:hAnsi="Arial" w:cs="Arial"/>
                <w:spacing w:val="6"/>
                <w:sz w:val="18"/>
                <w:szCs w:val="18"/>
              </w:rPr>
            </w:pPr>
            <w:r w:rsidRPr="00B01865">
              <w:rPr>
                <w:rFonts w:ascii="Arial" w:hAnsi="Arial" w:cs="Arial"/>
                <w:spacing w:val="6"/>
                <w:sz w:val="18"/>
                <w:szCs w:val="18"/>
              </w:rPr>
              <w:t>72</w:t>
            </w:r>
          </w:p>
        </w:tc>
      </w:tr>
    </w:tbl>
    <w:p w:rsidR="00B01865" w:rsidRPr="00B01865" w:rsidRDefault="00694EA0" w:rsidP="00645E74">
      <w:pPr>
        <w:pStyle w:val="texto"/>
        <w:spacing w:before="240"/>
        <w:rPr>
          <w:lang w:val="es-ES"/>
        </w:rPr>
      </w:pPr>
      <w:r>
        <w:rPr>
          <w:lang w:val="es-ES"/>
        </w:rPr>
        <w:t>E</w:t>
      </w:r>
      <w:r w:rsidR="00B01865" w:rsidRPr="00B01865">
        <w:rPr>
          <w:lang w:val="es-ES"/>
        </w:rPr>
        <w:t>n 2017 la aportación al Estado disminuye un 11 por ciento</w:t>
      </w:r>
      <w:r>
        <w:rPr>
          <w:lang w:val="es-ES"/>
        </w:rPr>
        <w:t>,</w:t>
      </w:r>
      <w:r w:rsidR="00B01865" w:rsidRPr="00B01865">
        <w:rPr>
          <w:lang w:val="es-ES"/>
        </w:rPr>
        <w:t xml:space="preserve"> debido a la a</w:t>
      </w:r>
      <w:r w:rsidR="00B01865" w:rsidRPr="00B01865">
        <w:rPr>
          <w:lang w:val="es-ES"/>
        </w:rPr>
        <w:t>c</w:t>
      </w:r>
      <w:r w:rsidR="00B01865" w:rsidRPr="00B01865">
        <w:rPr>
          <w:lang w:val="es-ES"/>
        </w:rPr>
        <w:t xml:space="preserve">tualización del importe establecido por acuerdo de ambas administraciones adoptado </w:t>
      </w:r>
      <w:r>
        <w:rPr>
          <w:lang w:val="es-ES"/>
        </w:rPr>
        <w:t>a finales de</w:t>
      </w:r>
      <w:r w:rsidR="00B01865" w:rsidRPr="00B01865">
        <w:rPr>
          <w:lang w:val="es-ES"/>
        </w:rPr>
        <w:t xml:space="preserve"> diciembre de 2017. </w:t>
      </w:r>
    </w:p>
    <w:p w:rsidR="00645E74" w:rsidRDefault="00B01865" w:rsidP="00694EA0">
      <w:pPr>
        <w:pStyle w:val="texto"/>
        <w:rPr>
          <w:rFonts w:ascii="Arial" w:hAnsi="Arial"/>
          <w:color w:val="000000"/>
          <w:spacing w:val="10"/>
          <w:kern w:val="28"/>
          <w:sz w:val="25"/>
          <w:szCs w:val="26"/>
        </w:rPr>
      </w:pPr>
      <w:r w:rsidRPr="00B01865">
        <w:rPr>
          <w:lang w:val="es-ES"/>
        </w:rPr>
        <w:t>Los ajustes por impuestos especiales de fabricación aumentan de forma rel</w:t>
      </w:r>
      <w:r w:rsidRPr="00B01865">
        <w:rPr>
          <w:lang w:val="es-ES"/>
        </w:rPr>
        <w:t>e</w:t>
      </w:r>
      <w:r w:rsidRPr="00B01865">
        <w:rPr>
          <w:lang w:val="es-ES"/>
        </w:rPr>
        <w:t>vante un 1.128 por ciento, debido al cambio de metodología y de índices aco</w:t>
      </w:r>
      <w:r w:rsidRPr="00B01865">
        <w:rPr>
          <w:lang w:val="es-ES"/>
        </w:rPr>
        <w:t>r</w:t>
      </w:r>
      <w:r w:rsidRPr="00B01865">
        <w:rPr>
          <w:lang w:val="es-ES"/>
        </w:rPr>
        <w:t>dado en diciembre de 2017; esta circunstancia unida a la liquidación definitiva de la aportación de años anteriores a 2017, hacen que los ingresos sean signif</w:t>
      </w:r>
      <w:r w:rsidRPr="00B01865">
        <w:rPr>
          <w:lang w:val="es-ES"/>
        </w:rPr>
        <w:t>i</w:t>
      </w:r>
      <w:r w:rsidRPr="00B01865">
        <w:rPr>
          <w:lang w:val="es-ES"/>
        </w:rPr>
        <w:t>cativamente superiores a los gastos en este ejercicio (620,62 millones).</w:t>
      </w:r>
      <w:bookmarkStart w:id="88" w:name="_Toc494270389"/>
      <w:bookmarkStart w:id="89" w:name="_Toc525907445"/>
    </w:p>
    <w:p w:rsidR="00B01865" w:rsidRPr="000A1183" w:rsidRDefault="00B01865" w:rsidP="000A1183">
      <w:pPr>
        <w:pStyle w:val="atitulo2"/>
        <w:spacing w:before="240"/>
        <w:rPr>
          <w:bCs w:val="0"/>
          <w:iCs w:val="0"/>
        </w:rPr>
      </w:pPr>
      <w:bookmarkStart w:id="90" w:name="_Toc530034673"/>
      <w:r w:rsidRPr="000A1183">
        <w:rPr>
          <w:bCs w:val="0"/>
          <w:iCs w:val="0"/>
        </w:rPr>
        <w:t>V.</w:t>
      </w:r>
      <w:r w:rsidR="001C37BF" w:rsidRPr="000A1183">
        <w:rPr>
          <w:bCs w:val="0"/>
          <w:iCs w:val="0"/>
        </w:rPr>
        <w:t>8</w:t>
      </w:r>
      <w:r w:rsidRPr="000A1183">
        <w:rPr>
          <w:bCs w:val="0"/>
          <w:iCs w:val="0"/>
        </w:rPr>
        <w:t>. Inversiones e inmovilizado no financiero</w:t>
      </w:r>
      <w:bookmarkEnd w:id="88"/>
      <w:bookmarkEnd w:id="89"/>
      <w:bookmarkEnd w:id="90"/>
    </w:p>
    <w:p w:rsidR="00B01865" w:rsidRPr="00B01865" w:rsidRDefault="00B01865" w:rsidP="00645E74">
      <w:pPr>
        <w:pStyle w:val="texto"/>
        <w:rPr>
          <w:lang w:val="es-ES"/>
        </w:rPr>
      </w:pPr>
      <w:r w:rsidRPr="00B01865">
        <w:rPr>
          <w:lang w:val="es-ES"/>
        </w:rPr>
        <w:t xml:space="preserve">Las inversiones del año 2017 ascendieron a 119,15 millones de euros, el tres por ciento del total de las obligaciones reconocidas, con un grado de ejecución del 86 por ciento, siendo el gasto por conceptos económicos el que presentamos a continuación: </w:t>
      </w:r>
    </w:p>
    <w:tbl>
      <w:tblPr>
        <w:tblW w:w="8834" w:type="dxa"/>
        <w:tblInd w:w="55" w:type="dxa"/>
        <w:tblLayout w:type="fixed"/>
        <w:tblCellMar>
          <w:left w:w="70" w:type="dxa"/>
          <w:right w:w="70" w:type="dxa"/>
        </w:tblCellMar>
        <w:tblLook w:val="04A0" w:firstRow="1" w:lastRow="0" w:firstColumn="1" w:lastColumn="0" w:noHBand="0" w:noVBand="1"/>
      </w:tblPr>
      <w:tblGrid>
        <w:gridCol w:w="3580"/>
        <w:gridCol w:w="1751"/>
        <w:gridCol w:w="1751"/>
        <w:gridCol w:w="1752"/>
      </w:tblGrid>
      <w:tr w:rsidR="00B01865" w:rsidRPr="00B01865" w:rsidTr="00B01865">
        <w:trPr>
          <w:trHeight w:val="300"/>
        </w:trPr>
        <w:tc>
          <w:tcPr>
            <w:tcW w:w="8834" w:type="dxa"/>
            <w:gridSpan w:val="4"/>
            <w:tcBorders>
              <w:bottom w:val="single" w:sz="4" w:space="0" w:color="auto"/>
            </w:tcBorders>
            <w:shd w:val="clear" w:color="auto" w:fill="auto"/>
            <w:noWrap/>
            <w:vAlign w:val="center"/>
          </w:tcPr>
          <w:p w:rsidR="00B01865" w:rsidRPr="00B01865" w:rsidRDefault="00B01865" w:rsidP="00B01865">
            <w:pPr>
              <w:spacing w:after="0"/>
              <w:ind w:firstLine="0"/>
              <w:contextualSpacing/>
              <w:jc w:val="right"/>
              <w:rPr>
                <w:rFonts w:ascii="Arial" w:hAnsi="Arial" w:cs="Arial"/>
                <w:color w:val="000000"/>
                <w:sz w:val="17"/>
                <w:szCs w:val="17"/>
                <w:lang w:val="es-ES" w:eastAsia="es-ES"/>
              </w:rPr>
            </w:pPr>
            <w:r w:rsidRPr="00B01865">
              <w:rPr>
                <w:rFonts w:ascii="Arial" w:hAnsi="Arial" w:cs="Arial"/>
                <w:color w:val="000000"/>
                <w:sz w:val="17"/>
                <w:szCs w:val="17"/>
                <w:lang w:val="es-ES" w:eastAsia="es-ES"/>
              </w:rPr>
              <w:t>(en miles de euros)</w:t>
            </w:r>
          </w:p>
        </w:tc>
      </w:tr>
      <w:tr w:rsidR="00B01865" w:rsidRPr="00B01865" w:rsidTr="00645E74">
        <w:trPr>
          <w:trHeight w:val="255"/>
        </w:trPr>
        <w:tc>
          <w:tcPr>
            <w:tcW w:w="3580"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spacing w:after="0"/>
              <w:ind w:firstLine="0"/>
              <w:contextualSpacing/>
              <w:jc w:val="left"/>
              <w:rPr>
                <w:rFonts w:ascii="Arial" w:hAnsi="Arial" w:cs="Arial"/>
                <w:color w:val="000000"/>
                <w:sz w:val="18"/>
                <w:szCs w:val="18"/>
                <w:lang w:val="es-ES" w:eastAsia="es-ES"/>
              </w:rPr>
            </w:pPr>
          </w:p>
        </w:tc>
        <w:tc>
          <w:tcPr>
            <w:tcW w:w="1751"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contextualSpacing/>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Gasto 2016</w:t>
            </w:r>
          </w:p>
        </w:tc>
        <w:tc>
          <w:tcPr>
            <w:tcW w:w="1751"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contextualSpacing/>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Gasto 2017</w:t>
            </w:r>
          </w:p>
        </w:tc>
        <w:tc>
          <w:tcPr>
            <w:tcW w:w="1752"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contextualSpacing/>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 xml:space="preserve">% variación </w:t>
            </w:r>
          </w:p>
          <w:p w:rsidR="00B01865" w:rsidRPr="00B01865" w:rsidRDefault="00B01865" w:rsidP="00B01865">
            <w:pPr>
              <w:spacing w:after="0"/>
              <w:ind w:firstLine="0"/>
              <w:contextualSpacing/>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2017/2016</w:t>
            </w:r>
          </w:p>
        </w:tc>
      </w:tr>
      <w:tr w:rsidR="00B01865" w:rsidRPr="00B01865" w:rsidTr="00645E74">
        <w:trPr>
          <w:cantSplit/>
          <w:trHeight w:val="198"/>
        </w:trPr>
        <w:tc>
          <w:tcPr>
            <w:tcW w:w="3580" w:type="dxa"/>
            <w:tcBorders>
              <w:top w:val="single" w:sz="4"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Terrenos y bienes naturales</w:t>
            </w:r>
          </w:p>
        </w:tc>
        <w:tc>
          <w:tcPr>
            <w:tcW w:w="1751" w:type="dxa"/>
            <w:tcBorders>
              <w:top w:val="single" w:sz="4"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713</w:t>
            </w:r>
          </w:p>
        </w:tc>
        <w:tc>
          <w:tcPr>
            <w:tcW w:w="1751" w:type="dxa"/>
            <w:tcBorders>
              <w:top w:val="single" w:sz="4"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348</w:t>
            </w:r>
          </w:p>
        </w:tc>
        <w:tc>
          <w:tcPr>
            <w:tcW w:w="1752" w:type="dxa"/>
            <w:tcBorders>
              <w:top w:val="single" w:sz="4"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-51</w:t>
            </w:r>
          </w:p>
        </w:tc>
      </w:tr>
      <w:tr w:rsidR="00B01865"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Obras públicas</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34.033</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47.434</w:t>
            </w:r>
          </w:p>
        </w:tc>
        <w:tc>
          <w:tcPr>
            <w:tcW w:w="1752"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39</w:t>
            </w:r>
          </w:p>
        </w:tc>
      </w:tr>
      <w:tr w:rsidR="00B01865"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Edificios y otras construcciones</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15.408</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25.370</w:t>
            </w:r>
          </w:p>
        </w:tc>
        <w:tc>
          <w:tcPr>
            <w:tcW w:w="1752"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65</w:t>
            </w:r>
          </w:p>
        </w:tc>
      </w:tr>
      <w:tr w:rsidR="00B01865"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Maquinaria, instalaciones y utillaje</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1.071</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1.671</w:t>
            </w:r>
          </w:p>
        </w:tc>
        <w:tc>
          <w:tcPr>
            <w:tcW w:w="1752"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56</w:t>
            </w:r>
          </w:p>
        </w:tc>
      </w:tr>
      <w:tr w:rsidR="00B01865"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Material de transporte</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1.728</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2.786</w:t>
            </w:r>
          </w:p>
        </w:tc>
        <w:tc>
          <w:tcPr>
            <w:tcW w:w="1752"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61</w:t>
            </w:r>
          </w:p>
        </w:tc>
      </w:tr>
      <w:tr w:rsidR="00B01865"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Mobiliario y enseres</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7.546</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14.621</w:t>
            </w:r>
          </w:p>
        </w:tc>
        <w:tc>
          <w:tcPr>
            <w:tcW w:w="1752"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94</w:t>
            </w:r>
          </w:p>
        </w:tc>
      </w:tr>
      <w:tr w:rsidR="00B01865"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Equipos para proceso de información</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3.301</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5.873</w:t>
            </w:r>
          </w:p>
        </w:tc>
        <w:tc>
          <w:tcPr>
            <w:tcW w:w="1752"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78</w:t>
            </w:r>
          </w:p>
        </w:tc>
      </w:tr>
      <w:tr w:rsidR="00B01865" w:rsidRPr="00B01865" w:rsidTr="00645E74">
        <w:trPr>
          <w:cantSplit/>
          <w:trHeight w:val="198"/>
        </w:trPr>
        <w:tc>
          <w:tcPr>
            <w:tcW w:w="3580"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Otro inmovilizado material</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3.045</w:t>
            </w:r>
          </w:p>
        </w:tc>
        <w:tc>
          <w:tcPr>
            <w:tcW w:w="1751"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1.892</w:t>
            </w:r>
          </w:p>
        </w:tc>
        <w:tc>
          <w:tcPr>
            <w:tcW w:w="1752" w:type="dxa"/>
            <w:tcBorders>
              <w:top w:val="single" w:sz="2" w:space="0" w:color="auto"/>
              <w:bottom w:val="single" w:sz="2"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-38</w:t>
            </w:r>
          </w:p>
        </w:tc>
      </w:tr>
      <w:tr w:rsidR="00B01865" w:rsidRPr="00B01865" w:rsidTr="00645E74">
        <w:trPr>
          <w:cantSplit/>
          <w:trHeight w:val="198"/>
        </w:trPr>
        <w:tc>
          <w:tcPr>
            <w:tcW w:w="3580" w:type="dxa"/>
            <w:tcBorders>
              <w:top w:val="single" w:sz="2" w:space="0" w:color="auto"/>
              <w:bottom w:val="single" w:sz="4" w:space="0" w:color="auto"/>
            </w:tcBorders>
            <w:shd w:val="clear" w:color="000000" w:fill="FFFFFF"/>
            <w:noWrap/>
            <w:vAlign w:val="center"/>
            <w:hideMark/>
          </w:tcPr>
          <w:p w:rsidR="00B01865" w:rsidRPr="00B01865" w:rsidRDefault="00B01865" w:rsidP="00B01865">
            <w:pPr>
              <w:spacing w:after="0"/>
              <w:ind w:firstLine="0"/>
              <w:contextualSpacing/>
              <w:jc w:val="left"/>
              <w:rPr>
                <w:rFonts w:ascii="Arial Narrow" w:hAnsi="Arial Narrow"/>
                <w:color w:val="000000"/>
                <w:lang w:val="es-ES" w:eastAsia="es-ES"/>
              </w:rPr>
            </w:pPr>
            <w:r w:rsidRPr="00B01865">
              <w:rPr>
                <w:rFonts w:ascii="Arial Narrow" w:hAnsi="Arial Narrow"/>
                <w:color w:val="000000"/>
                <w:lang w:val="es-ES" w:eastAsia="es-ES"/>
              </w:rPr>
              <w:t>Inmovilizado inmaterial</w:t>
            </w:r>
          </w:p>
        </w:tc>
        <w:tc>
          <w:tcPr>
            <w:tcW w:w="1751" w:type="dxa"/>
            <w:tcBorders>
              <w:top w:val="single" w:sz="2" w:space="0" w:color="auto"/>
              <w:bottom w:val="single" w:sz="4"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18.010</w:t>
            </w:r>
          </w:p>
        </w:tc>
        <w:tc>
          <w:tcPr>
            <w:tcW w:w="1751" w:type="dxa"/>
            <w:tcBorders>
              <w:top w:val="single" w:sz="2" w:space="0" w:color="auto"/>
              <w:bottom w:val="single" w:sz="4"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19.154</w:t>
            </w:r>
          </w:p>
        </w:tc>
        <w:tc>
          <w:tcPr>
            <w:tcW w:w="1752" w:type="dxa"/>
            <w:tcBorders>
              <w:top w:val="single" w:sz="2" w:space="0" w:color="auto"/>
              <w:bottom w:val="single" w:sz="4" w:space="0" w:color="auto"/>
            </w:tcBorders>
            <w:shd w:val="clear" w:color="000000" w:fill="FFFFFF"/>
            <w:noWrap/>
            <w:vAlign w:val="center"/>
            <w:hideMark/>
          </w:tcPr>
          <w:p w:rsidR="00B01865" w:rsidRPr="00B01865" w:rsidRDefault="00B01865" w:rsidP="00B01865">
            <w:pPr>
              <w:spacing w:after="0"/>
              <w:ind w:firstLine="0"/>
              <w:contextualSpacing/>
              <w:jc w:val="right"/>
              <w:rPr>
                <w:rFonts w:ascii="Arial Narrow" w:hAnsi="Arial Narrow"/>
                <w:color w:val="000000"/>
                <w:lang w:val="es-ES" w:eastAsia="es-ES"/>
              </w:rPr>
            </w:pPr>
            <w:r w:rsidRPr="00B01865">
              <w:rPr>
                <w:rFonts w:ascii="Arial Narrow" w:hAnsi="Arial Narrow"/>
                <w:color w:val="000000"/>
                <w:lang w:val="es-ES" w:eastAsia="es-ES"/>
              </w:rPr>
              <w:t>6</w:t>
            </w:r>
          </w:p>
        </w:tc>
      </w:tr>
      <w:tr w:rsidR="00B01865" w:rsidRPr="00B01865" w:rsidTr="00645E74">
        <w:trPr>
          <w:trHeight w:val="255"/>
        </w:trPr>
        <w:tc>
          <w:tcPr>
            <w:tcW w:w="358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contextualSpacing/>
              <w:jc w:val="left"/>
              <w:rPr>
                <w:rFonts w:ascii="Arial" w:hAnsi="Arial" w:cs="Arial"/>
                <w:color w:val="000000"/>
                <w:sz w:val="18"/>
                <w:szCs w:val="18"/>
                <w:lang w:val="es-ES" w:eastAsia="es-ES"/>
              </w:rPr>
            </w:pPr>
            <w:r w:rsidRPr="00B01865">
              <w:rPr>
                <w:rFonts w:ascii="Arial" w:hAnsi="Arial" w:cs="Arial"/>
                <w:color w:val="000000"/>
                <w:sz w:val="18"/>
                <w:szCs w:val="18"/>
                <w:lang w:val="es-ES" w:eastAsia="es-ES"/>
              </w:rPr>
              <w:t>Total</w:t>
            </w:r>
          </w:p>
        </w:tc>
        <w:tc>
          <w:tcPr>
            <w:tcW w:w="1751"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contextualSpacing/>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84.855</w:t>
            </w:r>
          </w:p>
        </w:tc>
        <w:tc>
          <w:tcPr>
            <w:tcW w:w="1751"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contextualSpacing/>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119.149</w:t>
            </w:r>
          </w:p>
        </w:tc>
        <w:tc>
          <w:tcPr>
            <w:tcW w:w="1752"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contextualSpacing/>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40</w:t>
            </w:r>
          </w:p>
        </w:tc>
      </w:tr>
    </w:tbl>
    <w:p w:rsidR="00B01865" w:rsidRPr="00B01865" w:rsidRDefault="00B01865" w:rsidP="00645E74">
      <w:pPr>
        <w:pStyle w:val="texto"/>
        <w:spacing w:before="240"/>
        <w:rPr>
          <w:lang w:val="es-ES"/>
        </w:rPr>
      </w:pPr>
      <w:r w:rsidRPr="00B01865">
        <w:rPr>
          <w:lang w:val="es-ES"/>
        </w:rPr>
        <w:t>Las principales inversiones corresponden a los siguientes conceptos: un 36 por ciento a carreteras y caminos, un 20 por ciento a edificios, un diez por cie</w:t>
      </w:r>
      <w:r w:rsidRPr="00B01865">
        <w:rPr>
          <w:lang w:val="es-ES"/>
        </w:rPr>
        <w:t>n</w:t>
      </w:r>
      <w:r w:rsidRPr="00B01865">
        <w:rPr>
          <w:lang w:val="es-ES"/>
        </w:rPr>
        <w:t>to a aplicaciones informáticas y un siete por ciento a equipos médicos.</w:t>
      </w:r>
    </w:p>
    <w:p w:rsidR="00B01865" w:rsidRPr="00B01865" w:rsidRDefault="00B01865" w:rsidP="00645E74">
      <w:pPr>
        <w:pStyle w:val="texto"/>
        <w:rPr>
          <w:lang w:val="es-ES"/>
        </w:rPr>
      </w:pPr>
      <w:r w:rsidRPr="00B01865">
        <w:rPr>
          <w:lang w:val="es-ES"/>
        </w:rPr>
        <w:lastRenderedPageBreak/>
        <w:t>El 40 por ciento de las inversiones corresponde al Departamento de Desarr</w:t>
      </w:r>
      <w:r w:rsidRPr="00B01865">
        <w:rPr>
          <w:lang w:val="es-ES"/>
        </w:rPr>
        <w:t>o</w:t>
      </w:r>
      <w:r w:rsidRPr="00B01865">
        <w:rPr>
          <w:lang w:val="es-ES"/>
        </w:rPr>
        <w:t>llo Económico y el 26 por ciento al Departamento de Salud.</w:t>
      </w:r>
    </w:p>
    <w:p w:rsidR="00B01865" w:rsidRPr="00B01865" w:rsidRDefault="00B01865" w:rsidP="00645E74">
      <w:pPr>
        <w:pStyle w:val="texto"/>
        <w:spacing w:after="240"/>
        <w:rPr>
          <w:lang w:val="es-ES"/>
        </w:rPr>
      </w:pPr>
      <w:r w:rsidRPr="00B01865">
        <w:rPr>
          <w:lang w:val="es-ES"/>
        </w:rPr>
        <w:t xml:space="preserve">Las inversiones en 2017 fueron un 40 por ciento superiores a las ejecutadas en 2016. Este gasto ha descendido un </w:t>
      </w:r>
      <w:r w:rsidR="00694EA0">
        <w:rPr>
          <w:lang w:val="es-ES"/>
        </w:rPr>
        <w:t>56</w:t>
      </w:r>
      <w:r w:rsidRPr="00B01865">
        <w:rPr>
          <w:lang w:val="es-ES"/>
        </w:rPr>
        <w:t xml:space="preserve"> por ciento respecto a 2010 pasando de 273,59 millones a 119,15 millones, si bien en 2017, es la primera vez en el p</w:t>
      </w:r>
      <w:r w:rsidRPr="00B01865">
        <w:rPr>
          <w:lang w:val="es-ES"/>
        </w:rPr>
        <w:t>e</w:t>
      </w:r>
      <w:r w:rsidRPr="00B01865">
        <w:rPr>
          <w:lang w:val="es-ES"/>
        </w:rPr>
        <w:t xml:space="preserve">riodo analizado que aumenta el gasto respecto al ejercicio </w:t>
      </w:r>
      <w:r w:rsidR="00694EA0">
        <w:rPr>
          <w:lang w:val="es-ES"/>
        </w:rPr>
        <w:t>anterior</w:t>
      </w:r>
      <w:r w:rsidRPr="00B01865">
        <w:rPr>
          <w:lang w:val="es-ES"/>
        </w:rPr>
        <w:t>, tal y como se ve a continuación:</w:t>
      </w:r>
    </w:p>
    <w:tbl>
      <w:tblPr>
        <w:tblpPr w:leftFromText="141" w:rightFromText="141" w:vertAnchor="text" w:horzAnchor="margin" w:tblpXSpec="center" w:tblpY="131"/>
        <w:tblW w:w="8773" w:type="dxa"/>
        <w:jc w:val="center"/>
        <w:tblLayout w:type="fixed"/>
        <w:tblLook w:val="01E0" w:firstRow="1" w:lastRow="1" w:firstColumn="1" w:lastColumn="1" w:noHBand="0" w:noVBand="0"/>
      </w:tblPr>
      <w:tblGrid>
        <w:gridCol w:w="2804"/>
        <w:gridCol w:w="750"/>
        <w:gridCol w:w="750"/>
        <w:gridCol w:w="750"/>
        <w:gridCol w:w="750"/>
        <w:gridCol w:w="717"/>
        <w:gridCol w:w="717"/>
        <w:gridCol w:w="717"/>
        <w:gridCol w:w="818"/>
      </w:tblGrid>
      <w:tr w:rsidR="00B01865" w:rsidRPr="00B01865" w:rsidTr="00645E74">
        <w:trPr>
          <w:trHeight w:val="255"/>
          <w:jc w:val="center"/>
        </w:trPr>
        <w:tc>
          <w:tcPr>
            <w:tcW w:w="2804"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left"/>
              <w:rPr>
                <w:rFonts w:ascii="Arial" w:hAnsi="Arial" w:cs="Arial"/>
                <w:spacing w:val="6"/>
                <w:sz w:val="18"/>
                <w:szCs w:val="18"/>
              </w:rPr>
            </w:pPr>
            <w:r w:rsidRPr="00B01865">
              <w:rPr>
                <w:rFonts w:ascii="Arial" w:hAnsi="Arial" w:cs="Arial"/>
                <w:spacing w:val="6"/>
                <w:sz w:val="18"/>
                <w:szCs w:val="18"/>
              </w:rPr>
              <w:t>Inversiones</w:t>
            </w:r>
          </w:p>
        </w:tc>
        <w:tc>
          <w:tcPr>
            <w:tcW w:w="75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center"/>
              <w:rPr>
                <w:rFonts w:ascii="Arial" w:hAnsi="Arial" w:cs="Arial"/>
                <w:spacing w:val="6"/>
                <w:sz w:val="18"/>
                <w:szCs w:val="18"/>
              </w:rPr>
            </w:pPr>
            <w:r w:rsidRPr="00B01865">
              <w:rPr>
                <w:rFonts w:ascii="Arial" w:hAnsi="Arial" w:cs="Arial"/>
                <w:spacing w:val="6"/>
                <w:sz w:val="18"/>
                <w:szCs w:val="18"/>
              </w:rPr>
              <w:t>2010</w:t>
            </w:r>
          </w:p>
        </w:tc>
        <w:tc>
          <w:tcPr>
            <w:tcW w:w="75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center"/>
              <w:rPr>
                <w:rFonts w:ascii="Arial" w:hAnsi="Arial" w:cs="Arial"/>
                <w:spacing w:val="6"/>
                <w:sz w:val="18"/>
                <w:szCs w:val="18"/>
              </w:rPr>
            </w:pPr>
            <w:r w:rsidRPr="00B01865">
              <w:rPr>
                <w:rFonts w:ascii="Arial" w:hAnsi="Arial" w:cs="Arial"/>
                <w:spacing w:val="6"/>
                <w:sz w:val="18"/>
                <w:szCs w:val="18"/>
              </w:rPr>
              <w:t>2011</w:t>
            </w:r>
          </w:p>
        </w:tc>
        <w:tc>
          <w:tcPr>
            <w:tcW w:w="75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center"/>
              <w:rPr>
                <w:rFonts w:ascii="Arial" w:hAnsi="Arial" w:cs="Arial"/>
                <w:spacing w:val="6"/>
                <w:sz w:val="18"/>
                <w:szCs w:val="18"/>
              </w:rPr>
            </w:pPr>
            <w:r w:rsidRPr="00B01865">
              <w:rPr>
                <w:rFonts w:ascii="Arial" w:hAnsi="Arial" w:cs="Arial"/>
                <w:spacing w:val="6"/>
                <w:sz w:val="18"/>
                <w:szCs w:val="18"/>
              </w:rPr>
              <w:t>2012</w:t>
            </w:r>
          </w:p>
        </w:tc>
        <w:tc>
          <w:tcPr>
            <w:tcW w:w="75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center"/>
              <w:rPr>
                <w:rFonts w:ascii="Arial" w:hAnsi="Arial" w:cs="Arial"/>
                <w:spacing w:val="6"/>
                <w:sz w:val="18"/>
                <w:szCs w:val="18"/>
              </w:rPr>
            </w:pPr>
            <w:r w:rsidRPr="00B01865">
              <w:rPr>
                <w:rFonts w:ascii="Arial" w:hAnsi="Arial" w:cs="Arial"/>
                <w:spacing w:val="6"/>
                <w:sz w:val="18"/>
                <w:szCs w:val="18"/>
              </w:rPr>
              <w:t>2013</w:t>
            </w:r>
          </w:p>
        </w:tc>
        <w:tc>
          <w:tcPr>
            <w:tcW w:w="717"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center"/>
              <w:rPr>
                <w:rFonts w:ascii="Arial" w:hAnsi="Arial" w:cs="Arial"/>
                <w:spacing w:val="6"/>
                <w:sz w:val="18"/>
                <w:szCs w:val="18"/>
              </w:rPr>
            </w:pPr>
            <w:r w:rsidRPr="00B01865">
              <w:rPr>
                <w:rFonts w:ascii="Arial" w:hAnsi="Arial" w:cs="Arial"/>
                <w:spacing w:val="6"/>
                <w:sz w:val="18"/>
                <w:szCs w:val="18"/>
              </w:rPr>
              <w:t>2014</w:t>
            </w:r>
          </w:p>
        </w:tc>
        <w:tc>
          <w:tcPr>
            <w:tcW w:w="717"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center"/>
              <w:rPr>
                <w:rFonts w:ascii="Arial" w:hAnsi="Arial" w:cs="Arial"/>
                <w:spacing w:val="6"/>
                <w:sz w:val="18"/>
                <w:szCs w:val="18"/>
              </w:rPr>
            </w:pPr>
            <w:r w:rsidRPr="00B01865">
              <w:rPr>
                <w:rFonts w:ascii="Arial" w:hAnsi="Arial" w:cs="Arial"/>
                <w:spacing w:val="6"/>
                <w:sz w:val="18"/>
                <w:szCs w:val="18"/>
              </w:rPr>
              <w:t>2015</w:t>
            </w:r>
          </w:p>
        </w:tc>
        <w:tc>
          <w:tcPr>
            <w:tcW w:w="717"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center"/>
              <w:rPr>
                <w:rFonts w:ascii="Arial" w:hAnsi="Arial" w:cs="Arial"/>
                <w:spacing w:val="6"/>
                <w:sz w:val="18"/>
                <w:szCs w:val="18"/>
              </w:rPr>
            </w:pPr>
            <w:r w:rsidRPr="00B01865">
              <w:rPr>
                <w:rFonts w:ascii="Arial" w:hAnsi="Arial" w:cs="Arial"/>
                <w:spacing w:val="6"/>
                <w:sz w:val="18"/>
                <w:szCs w:val="18"/>
              </w:rPr>
              <w:t>2016</w:t>
            </w:r>
          </w:p>
        </w:tc>
        <w:tc>
          <w:tcPr>
            <w:tcW w:w="818"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rPr>
            </w:pPr>
            <w:r w:rsidRPr="00B01865">
              <w:rPr>
                <w:rFonts w:ascii="Arial" w:hAnsi="Arial" w:cs="Arial"/>
                <w:spacing w:val="6"/>
                <w:sz w:val="18"/>
                <w:szCs w:val="18"/>
              </w:rPr>
              <w:t>2017</w:t>
            </w:r>
          </w:p>
        </w:tc>
      </w:tr>
      <w:tr w:rsidR="00B01865" w:rsidRPr="00B01865" w:rsidTr="00645E74">
        <w:trPr>
          <w:trHeight w:val="198"/>
          <w:jc w:val="center"/>
        </w:trPr>
        <w:tc>
          <w:tcPr>
            <w:tcW w:w="2804" w:type="dxa"/>
            <w:tcBorders>
              <w:top w:val="single" w:sz="4" w:space="0" w:color="auto"/>
              <w:bottom w:val="single" w:sz="2" w:space="0" w:color="auto"/>
            </w:tcBorders>
            <w:shd w:val="clear" w:color="auto" w:fill="auto"/>
            <w:vAlign w:val="center"/>
          </w:tcPr>
          <w:p w:rsidR="00B01865" w:rsidRPr="00B01865" w:rsidRDefault="00B01865" w:rsidP="00B01865">
            <w:pPr>
              <w:spacing w:after="0"/>
              <w:ind w:firstLine="0"/>
              <w:rPr>
                <w:rFonts w:ascii="Arial Narrow" w:hAnsi="Arial Narrow"/>
                <w:color w:val="000000"/>
              </w:rPr>
            </w:pPr>
            <w:r w:rsidRPr="00B01865">
              <w:rPr>
                <w:rFonts w:ascii="Arial Narrow" w:hAnsi="Arial Narrow"/>
                <w:color w:val="000000"/>
              </w:rPr>
              <w:t>Total cap. 6 (en millones)</w:t>
            </w:r>
          </w:p>
        </w:tc>
        <w:tc>
          <w:tcPr>
            <w:tcW w:w="750"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sz w:val="18"/>
                <w:szCs w:val="18"/>
              </w:rPr>
            </w:pPr>
            <w:r w:rsidRPr="00B01865">
              <w:rPr>
                <w:rFonts w:ascii="Arial Narrow" w:hAnsi="Arial Narrow"/>
                <w:color w:val="000000"/>
                <w:sz w:val="18"/>
                <w:szCs w:val="18"/>
              </w:rPr>
              <w:t>273,59</w:t>
            </w:r>
          </w:p>
        </w:tc>
        <w:tc>
          <w:tcPr>
            <w:tcW w:w="750"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sz w:val="18"/>
                <w:szCs w:val="18"/>
              </w:rPr>
            </w:pPr>
            <w:r w:rsidRPr="00B01865">
              <w:rPr>
                <w:rFonts w:ascii="Arial Narrow" w:hAnsi="Arial Narrow"/>
                <w:color w:val="000000"/>
                <w:sz w:val="18"/>
                <w:szCs w:val="18"/>
              </w:rPr>
              <w:t>193,93</w:t>
            </w:r>
          </w:p>
        </w:tc>
        <w:tc>
          <w:tcPr>
            <w:tcW w:w="750"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sz w:val="18"/>
                <w:szCs w:val="18"/>
              </w:rPr>
            </w:pPr>
            <w:r w:rsidRPr="00B01865">
              <w:rPr>
                <w:rFonts w:ascii="Arial Narrow" w:hAnsi="Arial Narrow"/>
                <w:color w:val="000000"/>
                <w:sz w:val="18"/>
                <w:szCs w:val="18"/>
              </w:rPr>
              <w:t>142,61</w:t>
            </w:r>
          </w:p>
        </w:tc>
        <w:tc>
          <w:tcPr>
            <w:tcW w:w="750"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sz w:val="18"/>
                <w:szCs w:val="18"/>
              </w:rPr>
            </w:pPr>
            <w:r w:rsidRPr="00B01865">
              <w:rPr>
                <w:rFonts w:ascii="Arial Narrow" w:hAnsi="Arial Narrow"/>
                <w:color w:val="000000"/>
                <w:sz w:val="18"/>
                <w:szCs w:val="18"/>
              </w:rPr>
              <w:t>125,05</w:t>
            </w:r>
          </w:p>
        </w:tc>
        <w:tc>
          <w:tcPr>
            <w:tcW w:w="717"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sz w:val="18"/>
                <w:szCs w:val="18"/>
              </w:rPr>
            </w:pPr>
            <w:r w:rsidRPr="00B01865">
              <w:rPr>
                <w:rFonts w:ascii="Arial Narrow" w:hAnsi="Arial Narrow"/>
                <w:color w:val="000000"/>
                <w:sz w:val="18"/>
                <w:szCs w:val="18"/>
              </w:rPr>
              <w:t>94,13</w:t>
            </w:r>
          </w:p>
        </w:tc>
        <w:tc>
          <w:tcPr>
            <w:tcW w:w="717"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sz w:val="18"/>
                <w:szCs w:val="18"/>
              </w:rPr>
            </w:pPr>
            <w:r w:rsidRPr="00B01865">
              <w:rPr>
                <w:rFonts w:ascii="Arial Narrow" w:hAnsi="Arial Narrow"/>
                <w:color w:val="000000"/>
                <w:sz w:val="18"/>
                <w:szCs w:val="18"/>
              </w:rPr>
              <w:t>91,86</w:t>
            </w:r>
          </w:p>
        </w:tc>
        <w:tc>
          <w:tcPr>
            <w:tcW w:w="717"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sz w:val="18"/>
                <w:szCs w:val="18"/>
              </w:rPr>
            </w:pPr>
            <w:r w:rsidRPr="00B01865">
              <w:rPr>
                <w:rFonts w:ascii="Arial Narrow" w:hAnsi="Arial Narrow"/>
                <w:color w:val="000000"/>
                <w:sz w:val="18"/>
                <w:szCs w:val="18"/>
              </w:rPr>
              <w:t>84,86</w:t>
            </w:r>
          </w:p>
        </w:tc>
        <w:tc>
          <w:tcPr>
            <w:tcW w:w="818"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sz w:val="18"/>
                <w:szCs w:val="18"/>
              </w:rPr>
            </w:pPr>
            <w:r w:rsidRPr="00B01865">
              <w:rPr>
                <w:rFonts w:ascii="Arial Narrow" w:hAnsi="Arial Narrow"/>
                <w:color w:val="000000"/>
                <w:sz w:val="18"/>
                <w:szCs w:val="18"/>
              </w:rPr>
              <w:t>119,15</w:t>
            </w:r>
          </w:p>
        </w:tc>
      </w:tr>
      <w:tr w:rsidR="00B01865" w:rsidRPr="00B01865" w:rsidTr="00645E74">
        <w:trPr>
          <w:trHeight w:val="198"/>
          <w:jc w:val="center"/>
        </w:trPr>
        <w:tc>
          <w:tcPr>
            <w:tcW w:w="2804" w:type="dxa"/>
            <w:tcBorders>
              <w:top w:val="single" w:sz="2" w:space="0" w:color="auto"/>
              <w:bottom w:val="single" w:sz="4" w:space="0" w:color="auto"/>
            </w:tcBorders>
            <w:shd w:val="clear" w:color="auto" w:fill="auto"/>
            <w:vAlign w:val="center"/>
          </w:tcPr>
          <w:p w:rsidR="00B01865" w:rsidRPr="00B01865" w:rsidRDefault="00B01865" w:rsidP="00B01865">
            <w:pPr>
              <w:spacing w:after="0"/>
              <w:ind w:firstLine="0"/>
              <w:rPr>
                <w:rFonts w:ascii="Arial Narrow" w:hAnsi="Arial Narrow"/>
                <w:i/>
                <w:color w:val="000000"/>
              </w:rPr>
            </w:pPr>
            <w:r w:rsidRPr="00B01865">
              <w:rPr>
                <w:rFonts w:ascii="Arial Narrow" w:hAnsi="Arial Narrow"/>
                <w:i/>
                <w:color w:val="000000"/>
              </w:rPr>
              <w:t>Índice</w:t>
            </w:r>
          </w:p>
        </w:tc>
        <w:tc>
          <w:tcPr>
            <w:tcW w:w="750"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i/>
                <w:color w:val="000000"/>
                <w:sz w:val="18"/>
                <w:szCs w:val="18"/>
              </w:rPr>
            </w:pPr>
            <w:r w:rsidRPr="00B01865">
              <w:rPr>
                <w:rFonts w:ascii="Arial Narrow" w:hAnsi="Arial Narrow"/>
                <w:i/>
                <w:color w:val="000000"/>
                <w:sz w:val="18"/>
                <w:szCs w:val="18"/>
              </w:rPr>
              <w:t>100</w:t>
            </w:r>
          </w:p>
        </w:tc>
        <w:tc>
          <w:tcPr>
            <w:tcW w:w="750"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i/>
                <w:color w:val="000000"/>
                <w:sz w:val="18"/>
                <w:szCs w:val="18"/>
              </w:rPr>
            </w:pPr>
            <w:r w:rsidRPr="00B01865">
              <w:rPr>
                <w:rFonts w:ascii="Arial Narrow" w:hAnsi="Arial Narrow"/>
                <w:i/>
                <w:color w:val="000000"/>
                <w:sz w:val="18"/>
                <w:szCs w:val="18"/>
              </w:rPr>
              <w:t>71</w:t>
            </w:r>
          </w:p>
        </w:tc>
        <w:tc>
          <w:tcPr>
            <w:tcW w:w="750"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i/>
                <w:color w:val="000000"/>
                <w:sz w:val="18"/>
                <w:szCs w:val="18"/>
              </w:rPr>
            </w:pPr>
            <w:r w:rsidRPr="00B01865">
              <w:rPr>
                <w:rFonts w:ascii="Arial Narrow" w:hAnsi="Arial Narrow"/>
                <w:i/>
                <w:color w:val="000000"/>
                <w:sz w:val="18"/>
                <w:szCs w:val="18"/>
              </w:rPr>
              <w:t>52</w:t>
            </w:r>
          </w:p>
        </w:tc>
        <w:tc>
          <w:tcPr>
            <w:tcW w:w="750"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i/>
                <w:color w:val="000000"/>
                <w:sz w:val="18"/>
                <w:szCs w:val="18"/>
              </w:rPr>
            </w:pPr>
            <w:r w:rsidRPr="00B01865">
              <w:rPr>
                <w:rFonts w:ascii="Arial Narrow" w:hAnsi="Arial Narrow"/>
                <w:i/>
                <w:color w:val="000000"/>
                <w:sz w:val="18"/>
                <w:szCs w:val="18"/>
              </w:rPr>
              <w:t>46</w:t>
            </w:r>
          </w:p>
        </w:tc>
        <w:tc>
          <w:tcPr>
            <w:tcW w:w="717"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i/>
                <w:color w:val="000000"/>
                <w:sz w:val="18"/>
                <w:szCs w:val="18"/>
              </w:rPr>
            </w:pPr>
            <w:r w:rsidRPr="00B01865">
              <w:rPr>
                <w:rFonts w:ascii="Arial Narrow" w:hAnsi="Arial Narrow"/>
                <w:i/>
                <w:color w:val="000000"/>
                <w:sz w:val="18"/>
                <w:szCs w:val="18"/>
              </w:rPr>
              <w:t>34</w:t>
            </w:r>
          </w:p>
        </w:tc>
        <w:tc>
          <w:tcPr>
            <w:tcW w:w="717"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i/>
                <w:color w:val="000000"/>
                <w:sz w:val="18"/>
                <w:szCs w:val="18"/>
              </w:rPr>
            </w:pPr>
            <w:r w:rsidRPr="00B01865">
              <w:rPr>
                <w:rFonts w:ascii="Arial Narrow" w:hAnsi="Arial Narrow"/>
                <w:i/>
                <w:color w:val="000000"/>
                <w:sz w:val="18"/>
                <w:szCs w:val="18"/>
              </w:rPr>
              <w:t>34</w:t>
            </w:r>
          </w:p>
        </w:tc>
        <w:tc>
          <w:tcPr>
            <w:tcW w:w="717"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i/>
                <w:color w:val="000000"/>
                <w:sz w:val="18"/>
                <w:szCs w:val="18"/>
              </w:rPr>
            </w:pPr>
            <w:r w:rsidRPr="00B01865">
              <w:rPr>
                <w:rFonts w:ascii="Arial Narrow" w:hAnsi="Arial Narrow"/>
                <w:i/>
                <w:color w:val="000000"/>
                <w:sz w:val="18"/>
                <w:szCs w:val="18"/>
              </w:rPr>
              <w:t>31</w:t>
            </w:r>
          </w:p>
        </w:tc>
        <w:tc>
          <w:tcPr>
            <w:tcW w:w="818"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i/>
                <w:color w:val="000000"/>
                <w:sz w:val="18"/>
                <w:szCs w:val="18"/>
              </w:rPr>
            </w:pPr>
            <w:r w:rsidRPr="00B01865">
              <w:rPr>
                <w:rFonts w:ascii="Arial Narrow" w:hAnsi="Arial Narrow"/>
                <w:i/>
                <w:color w:val="000000"/>
                <w:sz w:val="18"/>
                <w:szCs w:val="18"/>
              </w:rPr>
              <w:t>44</w:t>
            </w:r>
          </w:p>
        </w:tc>
      </w:tr>
    </w:tbl>
    <w:p w:rsidR="00B01865" w:rsidRPr="00B01865" w:rsidRDefault="00B01865" w:rsidP="001A6728">
      <w:pPr>
        <w:pStyle w:val="texto"/>
        <w:spacing w:before="240"/>
        <w:rPr>
          <w:lang w:val="es-ES"/>
        </w:rPr>
      </w:pPr>
      <w:r w:rsidRPr="00B01865">
        <w:rPr>
          <w:lang w:val="es-ES"/>
        </w:rPr>
        <w:t xml:space="preserve">Las inversiones en infraestructuras de uso o servicio público, de las cuales </w:t>
      </w:r>
      <w:r w:rsidR="00694EA0">
        <w:rPr>
          <w:lang w:val="es-ES"/>
        </w:rPr>
        <w:t>42,31</w:t>
      </w:r>
      <w:r w:rsidRPr="00B01865">
        <w:rPr>
          <w:lang w:val="es-ES"/>
        </w:rPr>
        <w:t xml:space="preserve"> millones de euros en 2017 corresponden fundamentalmente a obras en carreteras, no se recogen en el inmovilizado material del balance, sino que se imputan a la cuenta del resultado económico en concepto de pérdidas del inm</w:t>
      </w:r>
      <w:r w:rsidRPr="00B01865">
        <w:rPr>
          <w:lang w:val="es-ES"/>
        </w:rPr>
        <w:t>o</w:t>
      </w:r>
      <w:r w:rsidRPr="00B01865">
        <w:rPr>
          <w:lang w:val="es-ES"/>
        </w:rPr>
        <w:t xml:space="preserve">vilizado. </w:t>
      </w:r>
    </w:p>
    <w:p w:rsidR="00B01865" w:rsidRPr="00B01865" w:rsidRDefault="00B01865" w:rsidP="001A6728">
      <w:pPr>
        <w:pStyle w:val="texto"/>
        <w:rPr>
          <w:lang w:val="es-ES"/>
        </w:rPr>
      </w:pPr>
      <w:r w:rsidRPr="00B01865">
        <w:rPr>
          <w:lang w:val="es-ES"/>
        </w:rPr>
        <w:t>Las inversiones en inmovilizaciones intangibles tampoco se recogen en el activo del balance como tal, sino que se imputan a la cuenta de resultado ec</w:t>
      </w:r>
      <w:r w:rsidRPr="00B01865">
        <w:rPr>
          <w:lang w:val="es-ES"/>
        </w:rPr>
        <w:t>o</w:t>
      </w:r>
      <w:r w:rsidRPr="00B01865">
        <w:rPr>
          <w:lang w:val="es-ES"/>
        </w:rPr>
        <w:t>nómico como pérdidas de inmovilizado inmaterial, habiendo ascendido en 2017 a 19,15 millones de euros.</w:t>
      </w:r>
    </w:p>
    <w:p w:rsidR="00B01865" w:rsidRPr="00B01865" w:rsidRDefault="00B01865" w:rsidP="001A6728">
      <w:pPr>
        <w:pStyle w:val="texto"/>
        <w:rPr>
          <w:lang w:val="es-ES"/>
        </w:rPr>
      </w:pPr>
      <w:r w:rsidRPr="00B01865">
        <w:rPr>
          <w:lang w:val="es-ES"/>
        </w:rPr>
        <w:t>Sigue sin definirse ni aplicarse una política de amortizaciones para reflejar el deterioro de los bienes del inmovilizado.</w:t>
      </w:r>
    </w:p>
    <w:p w:rsidR="00B01865" w:rsidRPr="00B01865" w:rsidRDefault="00B01865" w:rsidP="001A6728">
      <w:pPr>
        <w:pStyle w:val="texto"/>
        <w:rPr>
          <w:lang w:val="es-ES"/>
        </w:rPr>
      </w:pPr>
      <w:r w:rsidRPr="00B01865">
        <w:rPr>
          <w:lang w:val="es-ES"/>
        </w:rPr>
        <w:t>No consta en la memoria de las Cuentas Generales información sobre el i</w:t>
      </w:r>
      <w:r w:rsidRPr="00B01865">
        <w:rPr>
          <w:lang w:val="es-ES"/>
        </w:rPr>
        <w:t>n</w:t>
      </w:r>
      <w:r w:rsidRPr="00B01865">
        <w:rPr>
          <w:lang w:val="es-ES"/>
        </w:rPr>
        <w:t>ventario de bienes y derechos, contrariamente a lo establecido en la Ley Foral de Hacienda Pública.</w:t>
      </w:r>
    </w:p>
    <w:p w:rsidR="00FC225C" w:rsidRDefault="00B01865" w:rsidP="001A6728">
      <w:pPr>
        <w:pStyle w:val="texto"/>
        <w:spacing w:after="240"/>
        <w:rPr>
          <w:lang w:val="es-ES"/>
        </w:rPr>
      </w:pPr>
      <w:r w:rsidRPr="00B01865">
        <w:rPr>
          <w:lang w:val="es-ES"/>
        </w:rPr>
        <w:t xml:space="preserve">Hemos revisado </w:t>
      </w:r>
      <w:r w:rsidR="00FC225C">
        <w:rPr>
          <w:lang w:val="es-ES"/>
        </w:rPr>
        <w:t>una muestra de</w:t>
      </w:r>
      <w:r w:rsidR="001020A6">
        <w:rPr>
          <w:lang w:val="es-ES"/>
        </w:rPr>
        <w:t xml:space="preserve"> </w:t>
      </w:r>
      <w:r w:rsidRPr="00B01865">
        <w:rPr>
          <w:lang w:val="es-ES"/>
        </w:rPr>
        <w:t xml:space="preserve">expedientes de adjudicación de inversiones tanto del Gobierno de Navarra como de </w:t>
      </w:r>
      <w:r w:rsidR="00694EA0">
        <w:rPr>
          <w:lang w:val="es-ES"/>
        </w:rPr>
        <w:t>NASERTIC</w:t>
      </w:r>
      <w:r w:rsidRPr="00B01865">
        <w:rPr>
          <w:lang w:val="es-ES"/>
        </w:rPr>
        <w:t>, N</w:t>
      </w:r>
      <w:r w:rsidR="00694EA0">
        <w:rPr>
          <w:lang w:val="es-ES"/>
        </w:rPr>
        <w:t>ILSA</w:t>
      </w:r>
      <w:r w:rsidRPr="00B01865">
        <w:rPr>
          <w:lang w:val="es-ES"/>
        </w:rPr>
        <w:t>, N</w:t>
      </w:r>
      <w:r w:rsidR="00694EA0">
        <w:rPr>
          <w:lang w:val="es-ES"/>
        </w:rPr>
        <w:t>ASUVINSA</w:t>
      </w:r>
      <w:r w:rsidRPr="00B01865">
        <w:rPr>
          <w:lang w:val="es-ES"/>
        </w:rPr>
        <w:t xml:space="preserve"> y la concesionaria de la autovía A-12, así como los gastos que han supuesto en </w:t>
      </w:r>
      <w:r w:rsidR="00FC225C">
        <w:rPr>
          <w:lang w:val="es-ES"/>
        </w:rPr>
        <w:t>2017. El detalle de estos expedientes consta en la página siguiente.</w:t>
      </w:r>
    </w:p>
    <w:p w:rsidR="00FC225C" w:rsidRDefault="00FC225C">
      <w:pPr>
        <w:spacing w:after="0"/>
        <w:ind w:firstLine="0"/>
        <w:jc w:val="left"/>
        <w:rPr>
          <w:spacing w:val="6"/>
          <w:sz w:val="26"/>
          <w:szCs w:val="24"/>
          <w:lang w:val="es-ES"/>
        </w:rPr>
      </w:pPr>
      <w:r>
        <w:rPr>
          <w:lang w:val="es-ES"/>
        </w:rPr>
        <w:br w:type="page"/>
      </w:r>
    </w:p>
    <w:tbl>
      <w:tblPr>
        <w:tblW w:w="8841"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462"/>
        <w:gridCol w:w="1415"/>
        <w:gridCol w:w="1315"/>
        <w:gridCol w:w="1098"/>
        <w:gridCol w:w="1276"/>
        <w:gridCol w:w="1275"/>
      </w:tblGrid>
      <w:tr w:rsidR="00B01865" w:rsidRPr="00B01865" w:rsidTr="001A6728">
        <w:trPr>
          <w:trHeight w:val="255"/>
          <w:jc w:val="center"/>
        </w:trPr>
        <w:tc>
          <w:tcPr>
            <w:tcW w:w="2462" w:type="dxa"/>
            <w:tcBorders>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6"/>
                <w:szCs w:val="16"/>
              </w:rPr>
            </w:pPr>
            <w:r w:rsidRPr="00B01865">
              <w:rPr>
                <w:rFonts w:ascii="Arial" w:hAnsi="Arial"/>
                <w:spacing w:val="6"/>
                <w:sz w:val="16"/>
                <w:szCs w:val="16"/>
              </w:rPr>
              <w:lastRenderedPageBreak/>
              <w:t>Objeto</w:t>
            </w:r>
          </w:p>
        </w:tc>
        <w:tc>
          <w:tcPr>
            <w:tcW w:w="1415" w:type="dxa"/>
            <w:tcBorders>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124" w:right="-132" w:firstLine="0"/>
              <w:jc w:val="left"/>
              <w:rPr>
                <w:rFonts w:ascii="Arial" w:hAnsi="Arial"/>
                <w:spacing w:val="6"/>
                <w:sz w:val="16"/>
                <w:szCs w:val="16"/>
              </w:rPr>
            </w:pPr>
            <w:r w:rsidRPr="00B01865">
              <w:rPr>
                <w:rFonts w:ascii="Arial" w:hAnsi="Arial"/>
                <w:spacing w:val="6"/>
                <w:sz w:val="16"/>
                <w:szCs w:val="16"/>
              </w:rPr>
              <w:t>Procedimiento</w:t>
            </w:r>
          </w:p>
        </w:tc>
        <w:tc>
          <w:tcPr>
            <w:tcW w:w="1315" w:type="dxa"/>
            <w:tcBorders>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B01865">
              <w:rPr>
                <w:rFonts w:ascii="Arial" w:hAnsi="Arial"/>
                <w:spacing w:val="6"/>
                <w:sz w:val="16"/>
                <w:szCs w:val="16"/>
              </w:rPr>
              <w:t xml:space="preserve">Criterio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B01865">
              <w:rPr>
                <w:rFonts w:ascii="Arial" w:hAnsi="Arial"/>
                <w:spacing w:val="6"/>
                <w:sz w:val="16"/>
                <w:szCs w:val="16"/>
              </w:rPr>
              <w:t>adjudicación</w:t>
            </w:r>
          </w:p>
        </w:tc>
        <w:tc>
          <w:tcPr>
            <w:tcW w:w="1098" w:type="dxa"/>
            <w:tcBorders>
              <w:bottom w:val="single" w:sz="4" w:space="0" w:color="auto"/>
            </w:tcBorders>
            <w:shd w:val="clear" w:color="auto" w:fill="8DB3E2" w:themeFill="text2" w:themeFillTint="66"/>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B01865">
              <w:rPr>
                <w:rFonts w:ascii="Arial" w:hAnsi="Arial"/>
                <w:spacing w:val="6"/>
                <w:sz w:val="16"/>
                <w:szCs w:val="16"/>
              </w:rPr>
              <w:t xml:space="preserve">Nº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B01865">
              <w:rPr>
                <w:rFonts w:ascii="Arial" w:hAnsi="Arial"/>
                <w:spacing w:val="6"/>
                <w:sz w:val="16"/>
                <w:szCs w:val="16"/>
              </w:rPr>
              <w:t>licitadores</w:t>
            </w:r>
          </w:p>
        </w:tc>
        <w:tc>
          <w:tcPr>
            <w:tcW w:w="1276" w:type="dxa"/>
            <w:tcBorders>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B01865">
              <w:rPr>
                <w:rFonts w:ascii="Arial" w:hAnsi="Arial"/>
                <w:spacing w:val="6"/>
                <w:sz w:val="16"/>
                <w:szCs w:val="16"/>
              </w:rPr>
              <w:t xml:space="preserve">Importe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B01865">
              <w:rPr>
                <w:rFonts w:ascii="Arial" w:hAnsi="Arial"/>
                <w:spacing w:val="6"/>
                <w:sz w:val="16"/>
                <w:szCs w:val="16"/>
              </w:rPr>
              <w:t xml:space="preserve">adjudicación </w:t>
            </w:r>
          </w:p>
        </w:tc>
        <w:tc>
          <w:tcPr>
            <w:tcW w:w="1275" w:type="dxa"/>
            <w:tcBorders>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B01865">
              <w:rPr>
                <w:rFonts w:ascii="Arial" w:hAnsi="Arial"/>
                <w:spacing w:val="6"/>
                <w:sz w:val="16"/>
                <w:szCs w:val="16"/>
              </w:rPr>
              <w:t>% baja</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B01865">
              <w:rPr>
                <w:rFonts w:ascii="Arial" w:hAnsi="Arial"/>
                <w:spacing w:val="6"/>
                <w:sz w:val="16"/>
                <w:szCs w:val="16"/>
              </w:rPr>
              <w:t xml:space="preserve"> adjudicación </w:t>
            </w:r>
          </w:p>
        </w:tc>
      </w:tr>
      <w:tr w:rsidR="00B01865" w:rsidRPr="001A6728" w:rsidTr="001A6728">
        <w:trPr>
          <w:trHeight w:val="198"/>
          <w:jc w:val="center"/>
        </w:trPr>
        <w:tc>
          <w:tcPr>
            <w:tcW w:w="2462" w:type="dxa"/>
            <w:tcBorders>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1A6728">
              <w:rPr>
                <w:rFonts w:ascii="Arial Narrow" w:hAnsi="Arial Narrow"/>
                <w:spacing w:val="6"/>
              </w:rPr>
              <w:t>Refuerzo firme Tramo G</w:t>
            </w:r>
            <w:r w:rsidRPr="001A6728">
              <w:rPr>
                <w:rFonts w:ascii="Arial Narrow" w:hAnsi="Arial Narrow"/>
                <w:spacing w:val="6"/>
              </w:rPr>
              <w:t>e</w:t>
            </w:r>
            <w:r w:rsidRPr="001A6728">
              <w:rPr>
                <w:rFonts w:ascii="Arial Narrow" w:hAnsi="Arial Narrow"/>
                <w:spacing w:val="6"/>
              </w:rPr>
              <w:t>neral 5 Autovía A12</w:t>
            </w:r>
          </w:p>
        </w:tc>
        <w:tc>
          <w:tcPr>
            <w:tcW w:w="1415" w:type="dxa"/>
            <w:tcBorders>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left="132" w:firstLine="0"/>
              <w:jc w:val="right"/>
              <w:rPr>
                <w:rFonts w:ascii="Arial Narrow" w:hAnsi="Arial Narrow"/>
                <w:spacing w:val="6"/>
              </w:rPr>
            </w:pPr>
            <w:r w:rsidRPr="001A6728">
              <w:rPr>
                <w:rFonts w:ascii="Arial Narrow" w:hAnsi="Arial Narrow"/>
                <w:spacing w:val="6"/>
              </w:rPr>
              <w:t>Restringido</w:t>
            </w:r>
          </w:p>
        </w:tc>
        <w:tc>
          <w:tcPr>
            <w:tcW w:w="1315" w:type="dxa"/>
            <w:tcBorders>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Oferta más ventajosa</w:t>
            </w:r>
          </w:p>
        </w:tc>
        <w:tc>
          <w:tcPr>
            <w:tcW w:w="1098" w:type="dxa"/>
            <w:tcBorders>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7</w:t>
            </w:r>
          </w:p>
        </w:tc>
        <w:tc>
          <w:tcPr>
            <w:tcW w:w="1276" w:type="dxa"/>
            <w:tcBorders>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2.335.284</w:t>
            </w:r>
          </w:p>
        </w:tc>
        <w:tc>
          <w:tcPr>
            <w:tcW w:w="1275" w:type="dxa"/>
            <w:tcBorders>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14</w:t>
            </w:r>
          </w:p>
        </w:tc>
      </w:tr>
      <w:tr w:rsidR="00B01865" w:rsidRPr="001A6728" w:rsidTr="001A6728">
        <w:trPr>
          <w:trHeight w:val="198"/>
          <w:jc w:val="center"/>
        </w:trPr>
        <w:tc>
          <w:tcPr>
            <w:tcW w:w="2462"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1A6728">
              <w:rPr>
                <w:rFonts w:ascii="Arial Narrow" w:hAnsi="Arial Narrow"/>
                <w:spacing w:val="6"/>
              </w:rPr>
              <w:t xml:space="preserve">Adecuación túnel </w:t>
            </w:r>
            <w:proofErr w:type="spellStart"/>
            <w:r w:rsidRPr="001A6728">
              <w:rPr>
                <w:rFonts w:ascii="Arial Narrow" w:hAnsi="Arial Narrow"/>
                <w:spacing w:val="6"/>
              </w:rPr>
              <w:t>Sunbilla</w:t>
            </w:r>
            <w:proofErr w:type="spellEnd"/>
            <w:r w:rsidRPr="001A6728">
              <w:rPr>
                <w:rFonts w:ascii="Arial Narrow" w:hAnsi="Arial Narrow"/>
                <w:spacing w:val="6"/>
              </w:rPr>
              <w:t xml:space="preserve"> a Directiva Europea 2004/54/CE</w:t>
            </w:r>
          </w:p>
        </w:tc>
        <w:tc>
          <w:tcPr>
            <w:tcW w:w="14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left="132" w:firstLine="0"/>
              <w:jc w:val="right"/>
              <w:rPr>
                <w:rFonts w:ascii="Arial Narrow" w:hAnsi="Arial Narrow"/>
                <w:spacing w:val="6"/>
              </w:rPr>
            </w:pPr>
            <w:r w:rsidRPr="001A6728">
              <w:rPr>
                <w:rFonts w:ascii="Arial Narrow" w:hAnsi="Arial Narrow"/>
                <w:spacing w:val="6"/>
              </w:rPr>
              <w:t>Abierto</w:t>
            </w:r>
          </w:p>
        </w:tc>
        <w:tc>
          <w:tcPr>
            <w:tcW w:w="13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Oferta más ventajosa</w:t>
            </w:r>
          </w:p>
        </w:tc>
        <w:tc>
          <w:tcPr>
            <w:tcW w:w="1098"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3</w:t>
            </w:r>
          </w:p>
        </w:tc>
        <w:tc>
          <w:tcPr>
            <w:tcW w:w="1276"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797.185</w:t>
            </w:r>
          </w:p>
        </w:tc>
        <w:tc>
          <w:tcPr>
            <w:tcW w:w="127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19</w:t>
            </w:r>
          </w:p>
        </w:tc>
      </w:tr>
      <w:tr w:rsidR="00B01865" w:rsidRPr="001A6728" w:rsidTr="001A6728">
        <w:trPr>
          <w:trHeight w:val="198"/>
          <w:jc w:val="center"/>
        </w:trPr>
        <w:tc>
          <w:tcPr>
            <w:tcW w:w="2462"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1A6728">
              <w:rPr>
                <w:rFonts w:ascii="Arial Narrow" w:hAnsi="Arial Narrow"/>
                <w:spacing w:val="6"/>
              </w:rPr>
              <w:t>Pintado y repintado marcas viales Red Carreteras Nav</w:t>
            </w:r>
            <w:r w:rsidRPr="001A6728">
              <w:rPr>
                <w:rFonts w:ascii="Arial Narrow" w:hAnsi="Arial Narrow"/>
                <w:spacing w:val="6"/>
              </w:rPr>
              <w:t>a</w:t>
            </w:r>
            <w:r w:rsidRPr="001A6728">
              <w:rPr>
                <w:rFonts w:ascii="Arial Narrow" w:hAnsi="Arial Narrow"/>
                <w:spacing w:val="6"/>
              </w:rPr>
              <w:t xml:space="preserve">rra grupo Oeste </w:t>
            </w:r>
          </w:p>
        </w:tc>
        <w:tc>
          <w:tcPr>
            <w:tcW w:w="14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left="132" w:firstLine="0"/>
              <w:jc w:val="right"/>
              <w:rPr>
                <w:rFonts w:ascii="Arial Narrow" w:hAnsi="Arial Narrow"/>
                <w:spacing w:val="6"/>
              </w:rPr>
            </w:pPr>
            <w:r w:rsidRPr="001A6728">
              <w:rPr>
                <w:rFonts w:ascii="Arial Narrow" w:hAnsi="Arial Narrow"/>
                <w:spacing w:val="6"/>
              </w:rPr>
              <w:t>Abierto</w:t>
            </w:r>
          </w:p>
        </w:tc>
        <w:tc>
          <w:tcPr>
            <w:tcW w:w="13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Oferta más ventajosa</w:t>
            </w:r>
          </w:p>
        </w:tc>
        <w:tc>
          <w:tcPr>
            <w:tcW w:w="1098"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9</w:t>
            </w:r>
          </w:p>
        </w:tc>
        <w:tc>
          <w:tcPr>
            <w:tcW w:w="1276"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495.868</w:t>
            </w:r>
          </w:p>
        </w:tc>
        <w:tc>
          <w:tcPr>
            <w:tcW w:w="127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20</w:t>
            </w:r>
          </w:p>
        </w:tc>
      </w:tr>
      <w:tr w:rsidR="00B01865" w:rsidRPr="001A6728" w:rsidTr="001A6728">
        <w:trPr>
          <w:trHeight w:val="198"/>
          <w:jc w:val="center"/>
        </w:trPr>
        <w:tc>
          <w:tcPr>
            <w:tcW w:w="2462"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1A6728">
              <w:rPr>
                <w:rFonts w:ascii="Arial Narrow" w:hAnsi="Arial Narrow"/>
                <w:spacing w:val="6"/>
              </w:rPr>
              <w:t>Sectorización y protección estructural al fuego Palacio Navarra</w:t>
            </w:r>
          </w:p>
        </w:tc>
        <w:tc>
          <w:tcPr>
            <w:tcW w:w="14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left="132" w:firstLine="0"/>
              <w:jc w:val="right"/>
              <w:rPr>
                <w:rFonts w:ascii="Arial Narrow" w:hAnsi="Arial Narrow"/>
                <w:spacing w:val="6"/>
              </w:rPr>
            </w:pPr>
            <w:r w:rsidRPr="001A6728">
              <w:rPr>
                <w:rFonts w:ascii="Arial Narrow" w:hAnsi="Arial Narrow"/>
                <w:spacing w:val="6"/>
              </w:rPr>
              <w:t>Abierto inf</w:t>
            </w:r>
            <w:r w:rsidRPr="001A6728">
              <w:rPr>
                <w:rFonts w:ascii="Arial Narrow" w:hAnsi="Arial Narrow"/>
                <w:spacing w:val="6"/>
              </w:rPr>
              <w:t>e</w:t>
            </w:r>
            <w:r w:rsidRPr="001A6728">
              <w:rPr>
                <w:rFonts w:ascii="Arial Narrow" w:hAnsi="Arial Narrow"/>
                <w:spacing w:val="6"/>
              </w:rPr>
              <w:t>rior al umbral comunitario</w:t>
            </w:r>
          </w:p>
        </w:tc>
        <w:tc>
          <w:tcPr>
            <w:tcW w:w="13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Oferta más ventajosa</w:t>
            </w:r>
          </w:p>
        </w:tc>
        <w:tc>
          <w:tcPr>
            <w:tcW w:w="1098"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1</w:t>
            </w:r>
          </w:p>
        </w:tc>
        <w:tc>
          <w:tcPr>
            <w:tcW w:w="1276"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255.500</w:t>
            </w:r>
          </w:p>
        </w:tc>
        <w:tc>
          <w:tcPr>
            <w:tcW w:w="127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0,5</w:t>
            </w:r>
          </w:p>
        </w:tc>
      </w:tr>
      <w:tr w:rsidR="00B01865" w:rsidRPr="001A6728" w:rsidTr="001A6728">
        <w:trPr>
          <w:trHeight w:val="198"/>
          <w:jc w:val="center"/>
        </w:trPr>
        <w:tc>
          <w:tcPr>
            <w:tcW w:w="2462"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1A6728">
              <w:rPr>
                <w:rFonts w:ascii="Arial Narrow" w:hAnsi="Arial Narrow"/>
                <w:spacing w:val="6"/>
              </w:rPr>
              <w:t>Escalera interior Palacio Navarra</w:t>
            </w:r>
          </w:p>
        </w:tc>
        <w:tc>
          <w:tcPr>
            <w:tcW w:w="14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left="132" w:firstLine="0"/>
              <w:jc w:val="right"/>
              <w:rPr>
                <w:rFonts w:ascii="Arial Narrow" w:hAnsi="Arial Narrow"/>
                <w:spacing w:val="6"/>
              </w:rPr>
            </w:pPr>
            <w:r w:rsidRPr="001A6728">
              <w:rPr>
                <w:rFonts w:ascii="Arial Narrow" w:hAnsi="Arial Narrow"/>
                <w:spacing w:val="6"/>
              </w:rPr>
              <w:t>Abierto inf</w:t>
            </w:r>
            <w:r w:rsidRPr="001A6728">
              <w:rPr>
                <w:rFonts w:ascii="Arial Narrow" w:hAnsi="Arial Narrow"/>
                <w:spacing w:val="6"/>
              </w:rPr>
              <w:t>e</w:t>
            </w:r>
            <w:r w:rsidRPr="001A6728">
              <w:rPr>
                <w:rFonts w:ascii="Arial Narrow" w:hAnsi="Arial Narrow"/>
                <w:spacing w:val="6"/>
              </w:rPr>
              <w:t>rior al umbral comunitario</w:t>
            </w:r>
          </w:p>
        </w:tc>
        <w:tc>
          <w:tcPr>
            <w:tcW w:w="13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Oferta más ventajosa</w:t>
            </w:r>
          </w:p>
        </w:tc>
        <w:tc>
          <w:tcPr>
            <w:tcW w:w="1098"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1</w:t>
            </w:r>
          </w:p>
        </w:tc>
        <w:tc>
          <w:tcPr>
            <w:tcW w:w="1276"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193.421</w:t>
            </w:r>
          </w:p>
        </w:tc>
        <w:tc>
          <w:tcPr>
            <w:tcW w:w="127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1</w:t>
            </w:r>
          </w:p>
        </w:tc>
      </w:tr>
      <w:tr w:rsidR="00B01865" w:rsidRPr="001A6728" w:rsidTr="001A6728">
        <w:trPr>
          <w:trHeight w:val="198"/>
          <w:jc w:val="center"/>
        </w:trPr>
        <w:tc>
          <w:tcPr>
            <w:tcW w:w="2462"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1A6728">
              <w:rPr>
                <w:rFonts w:ascii="Arial Narrow" w:hAnsi="Arial Narrow"/>
                <w:spacing w:val="6"/>
              </w:rPr>
              <w:t xml:space="preserve">Obras interconexión con fibra óptica </w:t>
            </w:r>
            <w:proofErr w:type="spellStart"/>
            <w:r w:rsidRPr="001A6728">
              <w:rPr>
                <w:rFonts w:ascii="Arial Narrow" w:hAnsi="Arial Narrow"/>
                <w:spacing w:val="6"/>
              </w:rPr>
              <w:t>Belate</w:t>
            </w:r>
            <w:proofErr w:type="spellEnd"/>
            <w:r w:rsidRPr="001A6728">
              <w:rPr>
                <w:rFonts w:ascii="Arial Narrow" w:hAnsi="Arial Narrow"/>
                <w:spacing w:val="6"/>
              </w:rPr>
              <w:t>-Elizondo-</w:t>
            </w:r>
            <w:proofErr w:type="spellStart"/>
            <w:r w:rsidRPr="001A6728">
              <w:rPr>
                <w:rFonts w:ascii="Arial Narrow" w:hAnsi="Arial Narrow"/>
                <w:spacing w:val="6"/>
              </w:rPr>
              <w:t>Bera</w:t>
            </w:r>
            <w:proofErr w:type="spellEnd"/>
          </w:p>
        </w:tc>
        <w:tc>
          <w:tcPr>
            <w:tcW w:w="14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left="132" w:firstLine="0"/>
              <w:jc w:val="right"/>
              <w:rPr>
                <w:rFonts w:ascii="Arial Narrow" w:hAnsi="Arial Narrow"/>
                <w:spacing w:val="6"/>
              </w:rPr>
            </w:pPr>
            <w:r w:rsidRPr="001A6728">
              <w:rPr>
                <w:rFonts w:ascii="Arial Narrow" w:hAnsi="Arial Narrow"/>
                <w:spacing w:val="6"/>
              </w:rPr>
              <w:t>Abierto</w:t>
            </w:r>
          </w:p>
        </w:tc>
        <w:tc>
          <w:tcPr>
            <w:tcW w:w="13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Oferta más ventajosa</w:t>
            </w:r>
          </w:p>
        </w:tc>
        <w:tc>
          <w:tcPr>
            <w:tcW w:w="1098"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5</w:t>
            </w:r>
          </w:p>
        </w:tc>
        <w:tc>
          <w:tcPr>
            <w:tcW w:w="1276"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473.946</w:t>
            </w:r>
          </w:p>
        </w:tc>
        <w:tc>
          <w:tcPr>
            <w:tcW w:w="127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28</w:t>
            </w:r>
          </w:p>
        </w:tc>
      </w:tr>
      <w:tr w:rsidR="00B01865" w:rsidRPr="001A6728" w:rsidTr="001A6728">
        <w:trPr>
          <w:trHeight w:val="198"/>
          <w:jc w:val="center"/>
        </w:trPr>
        <w:tc>
          <w:tcPr>
            <w:tcW w:w="2462"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1A6728">
              <w:rPr>
                <w:rFonts w:ascii="Arial Narrow" w:hAnsi="Arial Narrow"/>
                <w:spacing w:val="6"/>
              </w:rPr>
              <w:t>Adecuación infraestructuras instalaciones INASA (</w:t>
            </w:r>
            <w:proofErr w:type="spellStart"/>
            <w:r w:rsidRPr="001A6728">
              <w:rPr>
                <w:rFonts w:ascii="Arial Narrow" w:hAnsi="Arial Narrow"/>
                <w:spacing w:val="6"/>
              </w:rPr>
              <w:t>Iru</w:t>
            </w:r>
            <w:r w:rsidRPr="001A6728">
              <w:rPr>
                <w:rFonts w:ascii="Arial Narrow" w:hAnsi="Arial Narrow"/>
                <w:spacing w:val="6"/>
              </w:rPr>
              <w:t>r</w:t>
            </w:r>
            <w:r w:rsidRPr="001A6728">
              <w:rPr>
                <w:rFonts w:ascii="Arial Narrow" w:hAnsi="Arial Narrow"/>
                <w:spacing w:val="6"/>
              </w:rPr>
              <w:t>tzun</w:t>
            </w:r>
            <w:proofErr w:type="spellEnd"/>
            <w:r w:rsidRPr="001A6728">
              <w:rPr>
                <w:rFonts w:ascii="Arial Narrow" w:hAnsi="Arial Narrow"/>
                <w:spacing w:val="6"/>
              </w:rPr>
              <w:t>)-Fase I</w:t>
            </w:r>
          </w:p>
        </w:tc>
        <w:tc>
          <w:tcPr>
            <w:tcW w:w="14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left="132" w:firstLine="0"/>
              <w:jc w:val="right"/>
              <w:rPr>
                <w:rFonts w:ascii="Arial Narrow" w:hAnsi="Arial Narrow"/>
                <w:spacing w:val="6"/>
              </w:rPr>
            </w:pPr>
            <w:r w:rsidRPr="001A6728">
              <w:rPr>
                <w:rFonts w:ascii="Arial Narrow" w:hAnsi="Arial Narrow"/>
                <w:spacing w:val="6"/>
              </w:rPr>
              <w:t>Abierto</w:t>
            </w:r>
          </w:p>
        </w:tc>
        <w:tc>
          <w:tcPr>
            <w:tcW w:w="13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Oferta más ventajosa</w:t>
            </w:r>
          </w:p>
        </w:tc>
        <w:tc>
          <w:tcPr>
            <w:tcW w:w="1098"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6</w:t>
            </w:r>
          </w:p>
        </w:tc>
        <w:tc>
          <w:tcPr>
            <w:tcW w:w="1276"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427.172</w:t>
            </w:r>
            <w:r w:rsidR="00A5669C">
              <w:rPr>
                <w:rFonts w:ascii="Arial Narrow" w:hAnsi="Arial Narrow"/>
                <w:spacing w:val="6"/>
              </w:rPr>
              <w:t>*</w:t>
            </w:r>
          </w:p>
        </w:tc>
        <w:tc>
          <w:tcPr>
            <w:tcW w:w="127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9</w:t>
            </w:r>
          </w:p>
        </w:tc>
      </w:tr>
      <w:tr w:rsidR="00B01865" w:rsidRPr="001A6728" w:rsidTr="00B702C6">
        <w:trPr>
          <w:trHeight w:val="198"/>
          <w:jc w:val="center"/>
        </w:trPr>
        <w:tc>
          <w:tcPr>
            <w:tcW w:w="2462"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1A6728">
              <w:rPr>
                <w:rFonts w:ascii="Arial Narrow" w:hAnsi="Arial Narrow"/>
                <w:spacing w:val="6"/>
              </w:rPr>
              <w:t>Tratamiento aguas residu</w:t>
            </w:r>
            <w:r w:rsidRPr="001A6728">
              <w:rPr>
                <w:rFonts w:ascii="Arial Narrow" w:hAnsi="Arial Narrow"/>
                <w:spacing w:val="6"/>
              </w:rPr>
              <w:t>a</w:t>
            </w:r>
            <w:r w:rsidRPr="001A6728">
              <w:rPr>
                <w:rFonts w:ascii="Arial Narrow" w:hAnsi="Arial Narrow"/>
                <w:spacing w:val="6"/>
              </w:rPr>
              <w:t xml:space="preserve">les curso bajo río </w:t>
            </w:r>
            <w:proofErr w:type="spellStart"/>
            <w:r w:rsidRPr="001A6728">
              <w:rPr>
                <w:rFonts w:ascii="Arial Narrow" w:hAnsi="Arial Narrow"/>
                <w:spacing w:val="6"/>
              </w:rPr>
              <w:t>Urederra</w:t>
            </w:r>
            <w:proofErr w:type="spellEnd"/>
          </w:p>
        </w:tc>
        <w:tc>
          <w:tcPr>
            <w:tcW w:w="14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left="132" w:firstLine="0"/>
              <w:jc w:val="right"/>
              <w:rPr>
                <w:rFonts w:ascii="Arial Narrow" w:hAnsi="Arial Narrow"/>
                <w:spacing w:val="6"/>
              </w:rPr>
            </w:pPr>
            <w:r w:rsidRPr="001A6728">
              <w:rPr>
                <w:rFonts w:ascii="Arial Narrow" w:hAnsi="Arial Narrow"/>
                <w:spacing w:val="6"/>
              </w:rPr>
              <w:t>Abierto</w:t>
            </w:r>
          </w:p>
        </w:tc>
        <w:tc>
          <w:tcPr>
            <w:tcW w:w="13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Oferta más ventajosa</w:t>
            </w:r>
          </w:p>
        </w:tc>
        <w:tc>
          <w:tcPr>
            <w:tcW w:w="1098"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8</w:t>
            </w:r>
          </w:p>
        </w:tc>
        <w:tc>
          <w:tcPr>
            <w:tcW w:w="1276"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553.044</w:t>
            </w:r>
          </w:p>
        </w:tc>
        <w:tc>
          <w:tcPr>
            <w:tcW w:w="127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23</w:t>
            </w:r>
          </w:p>
        </w:tc>
      </w:tr>
      <w:tr w:rsidR="00B01865" w:rsidRPr="001A6728" w:rsidTr="00B702C6">
        <w:trPr>
          <w:trHeight w:val="198"/>
          <w:jc w:val="center"/>
        </w:trPr>
        <w:tc>
          <w:tcPr>
            <w:tcW w:w="2462"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1A6728">
              <w:rPr>
                <w:rFonts w:ascii="Arial Narrow" w:hAnsi="Arial Narrow"/>
                <w:spacing w:val="6"/>
              </w:rPr>
              <w:t xml:space="preserve">Inversiones parque natural </w:t>
            </w:r>
            <w:proofErr w:type="spellStart"/>
            <w:r w:rsidRPr="001A6728">
              <w:rPr>
                <w:rFonts w:ascii="Arial Narrow" w:hAnsi="Arial Narrow"/>
                <w:spacing w:val="6"/>
              </w:rPr>
              <w:t>Urbasa</w:t>
            </w:r>
            <w:proofErr w:type="spellEnd"/>
            <w:r w:rsidRPr="001A6728">
              <w:rPr>
                <w:rFonts w:ascii="Arial Narrow" w:hAnsi="Arial Narrow"/>
                <w:spacing w:val="6"/>
              </w:rPr>
              <w:t xml:space="preserve"> y </w:t>
            </w:r>
            <w:proofErr w:type="spellStart"/>
            <w:r w:rsidRPr="001A6728">
              <w:rPr>
                <w:rFonts w:ascii="Arial Narrow" w:hAnsi="Arial Narrow"/>
                <w:spacing w:val="6"/>
              </w:rPr>
              <w:t>Andía</w:t>
            </w:r>
            <w:proofErr w:type="spellEnd"/>
          </w:p>
        </w:tc>
        <w:tc>
          <w:tcPr>
            <w:tcW w:w="14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left="132" w:firstLine="0"/>
              <w:jc w:val="right"/>
              <w:rPr>
                <w:rFonts w:ascii="Arial Narrow" w:hAnsi="Arial Narrow"/>
                <w:spacing w:val="6"/>
              </w:rPr>
            </w:pPr>
            <w:r w:rsidRPr="001A6728">
              <w:rPr>
                <w:rFonts w:ascii="Arial Narrow" w:hAnsi="Arial Narrow"/>
                <w:spacing w:val="6"/>
              </w:rPr>
              <w:t>Abierto</w:t>
            </w:r>
          </w:p>
        </w:tc>
        <w:tc>
          <w:tcPr>
            <w:tcW w:w="131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Oferta más ventajosa</w:t>
            </w:r>
          </w:p>
        </w:tc>
        <w:tc>
          <w:tcPr>
            <w:tcW w:w="1098"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4</w:t>
            </w:r>
          </w:p>
        </w:tc>
        <w:tc>
          <w:tcPr>
            <w:tcW w:w="1276"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82.817</w:t>
            </w:r>
          </w:p>
        </w:tc>
        <w:tc>
          <w:tcPr>
            <w:tcW w:w="1275" w:type="dxa"/>
            <w:tcBorders>
              <w:top w:val="single" w:sz="2" w:space="0" w:color="auto"/>
              <w:bottom w:val="single" w:sz="2"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18</w:t>
            </w:r>
          </w:p>
        </w:tc>
      </w:tr>
      <w:tr w:rsidR="00B01865" w:rsidRPr="001A6728" w:rsidTr="00B702C6">
        <w:trPr>
          <w:trHeight w:val="198"/>
          <w:jc w:val="center"/>
        </w:trPr>
        <w:tc>
          <w:tcPr>
            <w:tcW w:w="2462" w:type="dxa"/>
            <w:tcBorders>
              <w:top w:val="single" w:sz="2" w:space="0" w:color="auto"/>
              <w:bottom w:val="single" w:sz="4"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1A6728">
              <w:rPr>
                <w:rFonts w:ascii="Arial Narrow" w:hAnsi="Arial Narrow"/>
                <w:spacing w:val="6"/>
              </w:rPr>
              <w:t>Reforma y adecuación de oficinas y eliminación barr</w:t>
            </w:r>
            <w:r w:rsidRPr="001A6728">
              <w:rPr>
                <w:rFonts w:ascii="Arial Narrow" w:hAnsi="Arial Narrow"/>
                <w:spacing w:val="6"/>
              </w:rPr>
              <w:t>e</w:t>
            </w:r>
            <w:r w:rsidRPr="001A6728">
              <w:rPr>
                <w:rFonts w:ascii="Arial Narrow" w:hAnsi="Arial Narrow"/>
                <w:spacing w:val="6"/>
              </w:rPr>
              <w:t>ras arquitectónicas locales C/Tudela (Pamplona)</w:t>
            </w:r>
          </w:p>
        </w:tc>
        <w:tc>
          <w:tcPr>
            <w:tcW w:w="1415" w:type="dxa"/>
            <w:tcBorders>
              <w:top w:val="single" w:sz="2" w:space="0" w:color="auto"/>
              <w:bottom w:val="single" w:sz="4"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left="132" w:firstLine="0"/>
              <w:jc w:val="right"/>
              <w:rPr>
                <w:rFonts w:ascii="Arial Narrow" w:hAnsi="Arial Narrow"/>
                <w:spacing w:val="6"/>
              </w:rPr>
            </w:pPr>
            <w:r w:rsidRPr="001A6728">
              <w:rPr>
                <w:rFonts w:ascii="Arial Narrow" w:hAnsi="Arial Narrow"/>
                <w:spacing w:val="6"/>
              </w:rPr>
              <w:t>Abierto inf</w:t>
            </w:r>
            <w:r w:rsidRPr="001A6728">
              <w:rPr>
                <w:rFonts w:ascii="Arial Narrow" w:hAnsi="Arial Narrow"/>
                <w:spacing w:val="6"/>
              </w:rPr>
              <w:t>e</w:t>
            </w:r>
            <w:r w:rsidRPr="001A6728">
              <w:rPr>
                <w:rFonts w:ascii="Arial Narrow" w:hAnsi="Arial Narrow"/>
                <w:spacing w:val="6"/>
              </w:rPr>
              <w:t>rior al umbral comunitario</w:t>
            </w:r>
          </w:p>
        </w:tc>
        <w:tc>
          <w:tcPr>
            <w:tcW w:w="1315" w:type="dxa"/>
            <w:tcBorders>
              <w:top w:val="single" w:sz="2" w:space="0" w:color="auto"/>
              <w:bottom w:val="single" w:sz="4"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Oferta más ventajosa</w:t>
            </w:r>
          </w:p>
        </w:tc>
        <w:tc>
          <w:tcPr>
            <w:tcW w:w="1098" w:type="dxa"/>
            <w:tcBorders>
              <w:top w:val="single" w:sz="2" w:space="0" w:color="auto"/>
              <w:bottom w:val="single" w:sz="4"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4</w:t>
            </w:r>
          </w:p>
        </w:tc>
        <w:tc>
          <w:tcPr>
            <w:tcW w:w="1276" w:type="dxa"/>
            <w:tcBorders>
              <w:top w:val="single" w:sz="2" w:space="0" w:color="auto"/>
              <w:bottom w:val="single" w:sz="4"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1.313.098</w:t>
            </w:r>
          </w:p>
        </w:tc>
        <w:tc>
          <w:tcPr>
            <w:tcW w:w="1275" w:type="dxa"/>
            <w:tcBorders>
              <w:top w:val="single" w:sz="2" w:space="0" w:color="auto"/>
              <w:bottom w:val="single" w:sz="4" w:space="0" w:color="auto"/>
            </w:tcBorders>
            <w:vAlign w:val="center"/>
          </w:tcPr>
          <w:p w:rsidR="00B01865" w:rsidRPr="001A6728"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1A6728">
              <w:rPr>
                <w:rFonts w:ascii="Arial Narrow" w:hAnsi="Arial Narrow"/>
                <w:spacing w:val="6"/>
              </w:rPr>
              <w:t>13</w:t>
            </w:r>
          </w:p>
        </w:tc>
      </w:tr>
      <w:tr w:rsidR="00A5669C" w:rsidRPr="00A5669C" w:rsidTr="00B702C6">
        <w:trPr>
          <w:trHeight w:val="198"/>
          <w:jc w:val="center"/>
        </w:trPr>
        <w:tc>
          <w:tcPr>
            <w:tcW w:w="8841" w:type="dxa"/>
            <w:gridSpan w:val="6"/>
            <w:tcBorders>
              <w:top w:val="single" w:sz="4" w:space="0" w:color="auto"/>
              <w:bottom w:val="nil"/>
            </w:tcBorders>
            <w:vAlign w:val="center"/>
          </w:tcPr>
          <w:p w:rsidR="00A5669C" w:rsidRPr="00A5669C" w:rsidRDefault="00A5669C" w:rsidP="00B702C6">
            <w:pPr>
              <w:keepLines/>
              <w:tabs>
                <w:tab w:val="right" w:pos="2835"/>
                <w:tab w:val="right" w:pos="3969"/>
                <w:tab w:val="right" w:pos="5103"/>
                <w:tab w:val="right" w:pos="6237"/>
                <w:tab w:val="right" w:pos="7371"/>
              </w:tabs>
              <w:spacing w:before="60" w:after="0"/>
              <w:ind w:firstLine="0"/>
              <w:jc w:val="left"/>
              <w:rPr>
                <w:rFonts w:ascii="Arial Narrow" w:hAnsi="Arial Narrow"/>
                <w:spacing w:val="6"/>
                <w:sz w:val="16"/>
                <w:szCs w:val="16"/>
              </w:rPr>
            </w:pPr>
            <w:r w:rsidRPr="00A5669C">
              <w:rPr>
                <w:rFonts w:ascii="Arial Narrow" w:hAnsi="Arial Narrow"/>
                <w:spacing w:val="6"/>
                <w:sz w:val="16"/>
                <w:szCs w:val="16"/>
              </w:rPr>
              <w:t>*</w:t>
            </w:r>
            <w:r w:rsidR="00B702C6">
              <w:rPr>
                <w:rFonts w:ascii="Arial Narrow" w:hAnsi="Arial Narrow"/>
                <w:spacing w:val="6"/>
                <w:sz w:val="16"/>
                <w:szCs w:val="16"/>
              </w:rPr>
              <w:t xml:space="preserve"> </w:t>
            </w:r>
            <w:r w:rsidRPr="00A5669C">
              <w:rPr>
                <w:rFonts w:ascii="Arial Narrow" w:hAnsi="Arial Narrow"/>
                <w:spacing w:val="6"/>
                <w:sz w:val="16"/>
                <w:szCs w:val="16"/>
              </w:rPr>
              <w:t>Posteriormente hay una ampliación de contrato de 25.455 euros</w:t>
            </w:r>
          </w:p>
        </w:tc>
      </w:tr>
    </w:tbl>
    <w:p w:rsidR="00B01865" w:rsidRPr="00B01865" w:rsidRDefault="00B01865" w:rsidP="001A6728">
      <w:pPr>
        <w:pStyle w:val="texto"/>
        <w:spacing w:before="240"/>
        <w:rPr>
          <w:lang w:val="es-ES"/>
        </w:rPr>
      </w:pPr>
      <w:r w:rsidRPr="00B01865">
        <w:rPr>
          <w:lang w:val="es-ES"/>
        </w:rPr>
        <w:t>En general, los gastos están aprobados, fiscalizados, justificados y correct</w:t>
      </w:r>
      <w:r w:rsidRPr="00B01865">
        <w:rPr>
          <w:lang w:val="es-ES"/>
        </w:rPr>
        <w:t>a</w:t>
      </w:r>
      <w:r w:rsidRPr="00B01865">
        <w:rPr>
          <w:lang w:val="es-ES"/>
        </w:rPr>
        <w:t>mente contabilizados; sin embargo, se han detectado deficiencias en la tramit</w:t>
      </w:r>
      <w:r w:rsidRPr="00B01865">
        <w:rPr>
          <w:lang w:val="es-ES"/>
        </w:rPr>
        <w:t>a</w:t>
      </w:r>
      <w:r w:rsidRPr="00B01865">
        <w:rPr>
          <w:lang w:val="es-ES"/>
        </w:rPr>
        <w:t>ción de los expedientes revisados de las cuales señalamos a continuación las más significativas:</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Las adjudicaciones de los contratos que realiza la Dirección General de Obras Públicas utilizan, en general, una fórmula de valoración de la oferta ec</w:t>
      </w:r>
      <w:r w:rsidRPr="00B01865">
        <w:rPr>
          <w:rFonts w:cs="Arial"/>
          <w:spacing w:val="6"/>
          <w:sz w:val="26"/>
          <w:szCs w:val="24"/>
        </w:rPr>
        <w:t>o</w:t>
      </w:r>
      <w:r w:rsidRPr="00B01865">
        <w:rPr>
          <w:rFonts w:cs="Arial"/>
          <w:spacing w:val="6"/>
          <w:sz w:val="26"/>
          <w:szCs w:val="24"/>
        </w:rPr>
        <w:t>nómica que se basa en la baja media; hemos constatado que la aplicación de e</w:t>
      </w:r>
      <w:r w:rsidRPr="00B01865">
        <w:rPr>
          <w:rFonts w:cs="Arial"/>
          <w:spacing w:val="6"/>
          <w:sz w:val="26"/>
          <w:szCs w:val="24"/>
        </w:rPr>
        <w:t>s</w:t>
      </w:r>
      <w:r w:rsidRPr="00B01865">
        <w:rPr>
          <w:rFonts w:cs="Arial"/>
          <w:spacing w:val="6"/>
          <w:sz w:val="26"/>
          <w:szCs w:val="24"/>
        </w:rPr>
        <w:t xml:space="preserve">ta fórmula a los expedientes de adecuación del túnel </w:t>
      </w:r>
      <w:proofErr w:type="spellStart"/>
      <w:r w:rsidRPr="00B01865">
        <w:rPr>
          <w:rFonts w:cs="Arial"/>
          <w:spacing w:val="6"/>
          <w:sz w:val="26"/>
          <w:szCs w:val="24"/>
        </w:rPr>
        <w:t>Sunbilla</w:t>
      </w:r>
      <w:proofErr w:type="spellEnd"/>
      <w:r w:rsidRPr="00B01865">
        <w:rPr>
          <w:rFonts w:cs="Arial"/>
          <w:spacing w:val="6"/>
          <w:sz w:val="26"/>
          <w:szCs w:val="24"/>
        </w:rPr>
        <w:t xml:space="preserve"> y del pintado de marcas viales supone que la puntuación de las ofertas no guarda proporción con la variación entre las bajas ofertadas.</w:t>
      </w:r>
    </w:p>
    <w:p w:rsidR="00B01865" w:rsidRPr="00B01865" w:rsidRDefault="00B01865" w:rsidP="00F37BB1">
      <w:pPr>
        <w:pStyle w:val="texto"/>
      </w:pPr>
      <w:r w:rsidRPr="00B01865">
        <w:t xml:space="preserve">La utilización de esta fórmula, en otro contrato adjudicado, fue </w:t>
      </w:r>
      <w:r w:rsidR="00FC225C">
        <w:t>cuestionada</w:t>
      </w:r>
      <w:r w:rsidRPr="00B01865">
        <w:t xml:space="preserve"> por el interventor que participó en la mesa de contratación</w:t>
      </w:r>
      <w:r w:rsidR="00FC225C">
        <w:t xml:space="preserve">, </w:t>
      </w:r>
      <w:r w:rsidR="00460CC4">
        <w:t>que acabó form</w:t>
      </w:r>
      <w:r w:rsidR="00460CC4">
        <w:t>u</w:t>
      </w:r>
      <w:r w:rsidR="00460CC4">
        <w:t xml:space="preserve">lando un informe de reparo no suspensivo tras solicitar informes jurídicos a la Secretaría General Técnica sobre esta cuestión. </w:t>
      </w:r>
      <w:r w:rsidRPr="00B01865">
        <w:t xml:space="preserve"> </w:t>
      </w:r>
    </w:p>
    <w:p w:rsidR="00B01865" w:rsidRPr="00B01865" w:rsidRDefault="00B01865" w:rsidP="00C71F04">
      <w:pPr>
        <w:pStyle w:val="texto"/>
        <w:rPr>
          <w:i/>
          <w:sz w:val="22"/>
          <w:szCs w:val="22"/>
          <w:lang w:val="es-ES"/>
        </w:rPr>
      </w:pPr>
      <w:r w:rsidRPr="00B01865">
        <w:t>Al respecto, esta Cámara</w:t>
      </w:r>
      <w:r w:rsidR="00EA16DB">
        <w:t xml:space="preserve"> ya en su informe sobre las Cuentas Generales de la ACFN de 2003 recomendaba no utilizar el criterio de la baja media de las ofe</w:t>
      </w:r>
      <w:r w:rsidR="00EA16DB">
        <w:t>r</w:t>
      </w:r>
      <w:r w:rsidR="00EA16DB">
        <w:t>tas para la valoración y asignación de puntuaciones a las proposiciones econ</w:t>
      </w:r>
      <w:r w:rsidR="00EA16DB">
        <w:t>ó</w:t>
      </w:r>
      <w:r w:rsidR="00EA16DB">
        <w:lastRenderedPageBreak/>
        <w:t>micas presentadas por los licitadores ya que no siempre favorece que las adj</w:t>
      </w:r>
      <w:r w:rsidR="00EA16DB">
        <w:t>u</w:t>
      </w:r>
      <w:r w:rsidR="00EA16DB">
        <w:t>dicaciones de  las obras públicas se ajusten a criterios de eficiencia y economía y desvirtúa la noción legal de oferta económica más ventajosa</w:t>
      </w:r>
      <w:r w:rsidR="00D509F0">
        <w:t>; esta recomend</w:t>
      </w:r>
      <w:r w:rsidR="00D509F0">
        <w:t>a</w:t>
      </w:r>
      <w:r w:rsidR="00D509F0">
        <w:t>ción se ha reiterado en posteriores informes de esta Cámara</w:t>
      </w:r>
      <w:r w:rsidR="00274179">
        <w:t xml:space="preserve"> y la seguimos ma</w:t>
      </w:r>
      <w:r w:rsidR="00274179">
        <w:t>n</w:t>
      </w:r>
      <w:r w:rsidR="00274179">
        <w:t>teniendo</w:t>
      </w:r>
      <w:r w:rsidR="00C71F04">
        <w:t>.</w:t>
      </w:r>
    </w:p>
    <w:p w:rsidR="00B01865" w:rsidRPr="00F37BB1"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En relación con el expediente del pintado de marcas viales adjudicado para el periodo 2018-2021, existe otro hecho relevante indicado por el interventor y la secretaria participantes en la mesa de contratación, que también lo hacen e</w:t>
      </w:r>
      <w:r w:rsidRPr="00B01865">
        <w:rPr>
          <w:rFonts w:cs="Arial"/>
          <w:spacing w:val="6"/>
          <w:sz w:val="26"/>
          <w:szCs w:val="24"/>
        </w:rPr>
        <w:t>x</w:t>
      </w:r>
      <w:r w:rsidRPr="00B01865">
        <w:rPr>
          <w:rFonts w:cs="Arial"/>
          <w:spacing w:val="6"/>
          <w:sz w:val="26"/>
          <w:szCs w:val="24"/>
        </w:rPr>
        <w:t>tensible a anteriores contratos, incluido el de nuestro análisis</w:t>
      </w:r>
      <w:r w:rsidR="00274179">
        <w:rPr>
          <w:rFonts w:cs="Arial"/>
          <w:spacing w:val="6"/>
          <w:sz w:val="26"/>
          <w:szCs w:val="24"/>
        </w:rPr>
        <w:t>, y a otros cuatro contratos adjudicados en 2018</w:t>
      </w:r>
      <w:r w:rsidRPr="00B01865">
        <w:rPr>
          <w:rFonts w:cs="Arial"/>
          <w:spacing w:val="6"/>
          <w:sz w:val="26"/>
          <w:szCs w:val="24"/>
        </w:rPr>
        <w:t>. En concreto, y según consta en las actas, las personas citadas entienden que algunas de las empresas licitadoras presentan ofertas no competitivas y señalan lo siguiente:</w:t>
      </w:r>
    </w:p>
    <w:p w:rsidR="00B01865" w:rsidRPr="00B01865" w:rsidRDefault="00B01865" w:rsidP="00F37BB1">
      <w:pPr>
        <w:tabs>
          <w:tab w:val="left" w:pos="480"/>
          <w:tab w:val="num" w:pos="600"/>
          <w:tab w:val="num" w:pos="720"/>
          <w:tab w:val="num" w:pos="1320"/>
          <w:tab w:val="num" w:pos="4045"/>
        </w:tabs>
        <w:ind w:firstLine="289"/>
        <w:rPr>
          <w:i/>
          <w:spacing w:val="6"/>
          <w:sz w:val="22"/>
          <w:szCs w:val="22"/>
        </w:rPr>
      </w:pPr>
      <w:r w:rsidRPr="00B01865">
        <w:rPr>
          <w:i/>
          <w:spacing w:val="6"/>
          <w:sz w:val="22"/>
          <w:szCs w:val="22"/>
        </w:rPr>
        <w:t>“...l</w:t>
      </w:r>
      <w:r w:rsidRPr="00F37BB1">
        <w:rPr>
          <w:i/>
          <w:spacing w:val="6"/>
          <w:sz w:val="22"/>
          <w:szCs w:val="22"/>
        </w:rPr>
        <w:t>o que pudiera significar un propósito de frustrar la efectiva competencia entre los l</w:t>
      </w:r>
      <w:r w:rsidRPr="00F37BB1">
        <w:rPr>
          <w:i/>
          <w:spacing w:val="6"/>
          <w:sz w:val="22"/>
          <w:szCs w:val="22"/>
        </w:rPr>
        <w:t>i</w:t>
      </w:r>
      <w:r w:rsidRPr="00F37BB1">
        <w:rPr>
          <w:i/>
          <w:spacing w:val="6"/>
          <w:sz w:val="22"/>
          <w:szCs w:val="22"/>
        </w:rPr>
        <w:t>citadores que han participado en el presente procedimiento de contratación o, cuando m</w:t>
      </w:r>
      <w:r w:rsidRPr="00F37BB1">
        <w:rPr>
          <w:i/>
          <w:spacing w:val="6"/>
          <w:sz w:val="22"/>
          <w:szCs w:val="22"/>
        </w:rPr>
        <w:t>e</w:t>
      </w:r>
      <w:r w:rsidRPr="00F37BB1">
        <w:rPr>
          <w:i/>
          <w:spacing w:val="6"/>
          <w:sz w:val="22"/>
          <w:szCs w:val="22"/>
        </w:rPr>
        <w:t xml:space="preserve">nos, evitar concurrir en condiciones normales de libre competencia” </w:t>
      </w:r>
    </w:p>
    <w:p w:rsidR="00B01865" w:rsidRPr="00F37BB1" w:rsidRDefault="00B01865" w:rsidP="00F37BB1">
      <w:pPr>
        <w:tabs>
          <w:tab w:val="left" w:pos="480"/>
          <w:tab w:val="num" w:pos="600"/>
          <w:tab w:val="num" w:pos="720"/>
          <w:tab w:val="num" w:pos="1320"/>
          <w:tab w:val="num" w:pos="4045"/>
        </w:tabs>
        <w:ind w:firstLine="289"/>
        <w:rPr>
          <w:i/>
          <w:spacing w:val="6"/>
          <w:sz w:val="22"/>
          <w:szCs w:val="22"/>
        </w:rPr>
      </w:pPr>
      <w:r w:rsidRPr="00F37BB1">
        <w:rPr>
          <w:i/>
          <w:spacing w:val="6"/>
          <w:sz w:val="22"/>
          <w:szCs w:val="22"/>
        </w:rPr>
        <w:t>“…dicha circunstancia se aprecia, además de en el presente caso, en al menos dos oc</w:t>
      </w:r>
      <w:r w:rsidRPr="00F37BB1">
        <w:rPr>
          <w:i/>
          <w:spacing w:val="6"/>
          <w:sz w:val="22"/>
          <w:szCs w:val="22"/>
        </w:rPr>
        <w:t>a</w:t>
      </w:r>
      <w:r w:rsidRPr="00F37BB1">
        <w:rPr>
          <w:i/>
          <w:spacing w:val="6"/>
          <w:sz w:val="22"/>
          <w:szCs w:val="22"/>
        </w:rPr>
        <w:t>siones anteriores, en las licitaciones referidas a las obras de conservación del “Pintado y repintado de marcas viales de la Red de Carreteras de la CF de Navarra, Grupo Oeste (co</w:t>
      </w:r>
      <w:r w:rsidRPr="00F37BB1">
        <w:rPr>
          <w:i/>
          <w:spacing w:val="6"/>
          <w:sz w:val="22"/>
          <w:szCs w:val="22"/>
        </w:rPr>
        <w:t>n</w:t>
      </w:r>
      <w:r w:rsidRPr="00F37BB1">
        <w:rPr>
          <w:i/>
          <w:spacing w:val="6"/>
          <w:sz w:val="22"/>
          <w:szCs w:val="22"/>
        </w:rPr>
        <w:t>trato para los años 2013-2016 y contrato para el año 2017)…”.</w:t>
      </w:r>
    </w:p>
    <w:p w:rsidR="00B01865" w:rsidRPr="00F37BB1" w:rsidRDefault="00B01865" w:rsidP="00F37BB1">
      <w:pPr>
        <w:pStyle w:val="texto"/>
      </w:pPr>
      <w:r w:rsidRPr="00F37BB1">
        <w:t>En marzo de 2018, la mesa de contratación elevó al órgano de contratación las siguientes propuestas: formular solicitud de dictamen a la Junta de Contr</w:t>
      </w:r>
      <w:r w:rsidRPr="00F37BB1">
        <w:t>a</w:t>
      </w:r>
      <w:r w:rsidRPr="00F37BB1">
        <w:t>tación sobre si entraría dentro de sus funciones apreciar la posible existencia de indicios de conductas colusorias; formular solicitud de informe a la autoridad navarra en defensa de la competencia, sobre si del análisis de las ofertas pr</w:t>
      </w:r>
      <w:r w:rsidRPr="00F37BB1">
        <w:t>e</w:t>
      </w:r>
      <w:r w:rsidRPr="00F37BB1">
        <w:t>sentadas existen indicios fundados o evidencias de conductas colusorias; y, mantener en suspenso el procedimiento de licitación para el periodo 2018-2021.</w:t>
      </w:r>
    </w:p>
    <w:p w:rsidR="00B01865" w:rsidRDefault="00B01865" w:rsidP="00F37BB1">
      <w:pPr>
        <w:pStyle w:val="texto"/>
      </w:pPr>
      <w:r w:rsidRPr="00F37BB1">
        <w:t>Como hecho posterior relevante destacamos que no consta que se haya hecho solicitud de dictamen a la Junta de Contratación, ni que se haya hecho solicitud de informe a la autoridad navarra en defensa de la competencia, mientras que la adjudicación ya se produjo en abril de 2018.</w:t>
      </w:r>
    </w:p>
    <w:p w:rsidR="00274179" w:rsidRPr="00B01865" w:rsidRDefault="00274179" w:rsidP="00274179">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El pliego que regía los contratos de pintado de marcas viales preveía un gasto máximo que se debía agotar, en función de los trabajos que se fueran re</w:t>
      </w:r>
      <w:r w:rsidRPr="00B01865">
        <w:rPr>
          <w:rFonts w:cs="Arial"/>
          <w:spacing w:val="6"/>
          <w:sz w:val="26"/>
          <w:szCs w:val="24"/>
        </w:rPr>
        <w:t>a</w:t>
      </w:r>
      <w:r w:rsidRPr="00B01865">
        <w:rPr>
          <w:rFonts w:cs="Arial"/>
          <w:spacing w:val="6"/>
          <w:sz w:val="26"/>
          <w:szCs w:val="24"/>
        </w:rPr>
        <w:t>lizando, en un plazo de diez meses; el abono de estas prestaciones se preveía que se hiciera en diez certificaciones mensuales. A pesar de que el importe a</w:t>
      </w:r>
      <w:r w:rsidRPr="00B01865">
        <w:rPr>
          <w:rFonts w:cs="Arial"/>
          <w:spacing w:val="6"/>
          <w:sz w:val="26"/>
          <w:szCs w:val="24"/>
        </w:rPr>
        <w:t>d</w:t>
      </w:r>
      <w:r w:rsidRPr="00B01865">
        <w:rPr>
          <w:rFonts w:cs="Arial"/>
          <w:spacing w:val="6"/>
          <w:sz w:val="26"/>
          <w:szCs w:val="24"/>
        </w:rPr>
        <w:t>judicado se agotó en las primeras cinco certificaciones, se emitieron las cinco restantes con importe cero con su correspondiente coste procedimental.</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 xml:space="preserve">Las firmas de las actas de las mesas de contratación de los expedientes de adecuación del túnel de </w:t>
      </w:r>
      <w:proofErr w:type="spellStart"/>
      <w:r w:rsidRPr="00B01865">
        <w:rPr>
          <w:rFonts w:cs="Arial"/>
          <w:spacing w:val="6"/>
          <w:sz w:val="26"/>
          <w:szCs w:val="24"/>
        </w:rPr>
        <w:t>Sunbilla</w:t>
      </w:r>
      <w:proofErr w:type="spellEnd"/>
      <w:r w:rsidRPr="00B01865">
        <w:rPr>
          <w:rFonts w:cs="Arial"/>
          <w:spacing w:val="6"/>
          <w:sz w:val="26"/>
          <w:szCs w:val="24"/>
        </w:rPr>
        <w:t xml:space="preserve"> y del pintado de marcas viales son ilegibles sin que conste la identificación de la persona firmante a pie de firma.</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lastRenderedPageBreak/>
        <w:t>La reforma y adecuación de oficinas y eliminación de barreras arquitect</w:t>
      </w:r>
      <w:r w:rsidRPr="00B01865">
        <w:rPr>
          <w:rFonts w:cs="Arial"/>
          <w:spacing w:val="6"/>
          <w:sz w:val="26"/>
          <w:szCs w:val="24"/>
        </w:rPr>
        <w:t>ó</w:t>
      </w:r>
      <w:r w:rsidRPr="00B01865">
        <w:rPr>
          <w:rFonts w:cs="Arial"/>
          <w:spacing w:val="6"/>
          <w:sz w:val="26"/>
          <w:szCs w:val="24"/>
        </w:rPr>
        <w:t>nicas en Pamplona es la continuación de unas inversiones iniciadas a finales de 2011; estas obras se paralizaron en julio de 2012 por abandono del adjudicat</w:t>
      </w:r>
      <w:r w:rsidRPr="00B01865">
        <w:rPr>
          <w:rFonts w:cs="Arial"/>
          <w:spacing w:val="6"/>
          <w:sz w:val="26"/>
          <w:szCs w:val="24"/>
        </w:rPr>
        <w:t>a</w:t>
      </w:r>
      <w:r w:rsidRPr="00B01865">
        <w:rPr>
          <w:rFonts w:cs="Arial"/>
          <w:spacing w:val="6"/>
          <w:sz w:val="26"/>
          <w:szCs w:val="24"/>
        </w:rPr>
        <w:t xml:space="preserve">rio, al ser declarado en concurso de acreedores. </w:t>
      </w:r>
    </w:p>
    <w:p w:rsidR="00B01865" w:rsidRPr="00F37BB1" w:rsidRDefault="00B01865" w:rsidP="00F37BB1">
      <w:pPr>
        <w:pStyle w:val="texto"/>
      </w:pPr>
      <w:r w:rsidRPr="00F37BB1">
        <w:t xml:space="preserve">El destino de estos locales eran los Servicios Centrales del SNS-O y del SNE; por este motivo, estos servicios se trasladaron a locales arrendados en el caso del SNS-O (en mayo de 2014) y a otros propiedad de la ACFN en el caso del SNE (en diciembre de 2014). </w:t>
      </w:r>
    </w:p>
    <w:p w:rsidR="00F37BB1" w:rsidRDefault="00B01865" w:rsidP="00274179">
      <w:pPr>
        <w:pStyle w:val="texto"/>
      </w:pPr>
      <w:r w:rsidRPr="00F37BB1">
        <w:t>El expediente de reforma de estos locales no se volvió a reiniciar hasta f</w:t>
      </w:r>
      <w:r w:rsidRPr="00F37BB1">
        <w:t>e</w:t>
      </w:r>
      <w:r w:rsidR="00A050F1">
        <w:t>brero de 2016, principalmente por falta de disponibilidad presupuestaria,</w:t>
      </w:r>
      <w:r w:rsidRPr="00F37BB1">
        <w:t xml:space="preserve"> y f</w:t>
      </w:r>
      <w:r w:rsidRPr="00F37BB1">
        <w:t>i</w:t>
      </w:r>
      <w:r w:rsidRPr="00F37BB1">
        <w:t>nalmente se adjudicó en marzo de 2017. A la fecha de redacción de este info</w:t>
      </w:r>
      <w:r w:rsidRPr="00F37BB1">
        <w:t>r</w:t>
      </w:r>
      <w:r w:rsidRPr="00F37BB1">
        <w:t>me, la obra está finalizada</w:t>
      </w:r>
      <w:r w:rsidR="00474CCD">
        <w:t>, y</w:t>
      </w:r>
      <w:r w:rsidRPr="00F37BB1">
        <w:t xml:space="preserve"> el traslado a estos loca</w:t>
      </w:r>
      <w:r w:rsidR="00A050F1">
        <w:t>les,</w:t>
      </w:r>
      <w:r w:rsidRPr="00F37BB1">
        <w:t xml:space="preserve"> previsto para agosto de 2018</w:t>
      </w:r>
      <w:r w:rsidR="00A050F1">
        <w:t>,</w:t>
      </w:r>
      <w:r w:rsidRPr="00F37BB1">
        <w:t xml:space="preserve"> aún no se ha llevado a ca</w:t>
      </w:r>
      <w:r w:rsidR="00A050F1">
        <w:t>bo según nos indican por razones organizativas, (y no se va a producir hasta junio de 2019),</w:t>
      </w:r>
      <w:r w:rsidRPr="00F37BB1">
        <w:t xml:space="preserve"> a pesar de que el contrato de arre</w:t>
      </w:r>
      <w:r w:rsidRPr="00F37BB1">
        <w:t>n</w:t>
      </w:r>
      <w:r w:rsidRPr="00F37BB1">
        <w:t xml:space="preserve">damiento permitía el </w:t>
      </w:r>
      <w:proofErr w:type="spellStart"/>
      <w:r w:rsidRPr="00F37BB1">
        <w:t>desestimiento</w:t>
      </w:r>
      <w:proofErr w:type="spellEnd"/>
      <w:r w:rsidRPr="00F37BB1">
        <w:t xml:space="preserve"> por parte de la ACFN, sin penalización a</w:t>
      </w:r>
      <w:r w:rsidRPr="00F37BB1">
        <w:t>l</w:t>
      </w:r>
      <w:r w:rsidRPr="00F37BB1">
        <w:t>guna transcurridos tres años.</w:t>
      </w:r>
    </w:p>
    <w:p w:rsidR="00B01865" w:rsidRPr="00F37BB1" w:rsidRDefault="00B01865" w:rsidP="00F37BB1">
      <w:pPr>
        <w:pStyle w:val="texto"/>
        <w:spacing w:after="240"/>
      </w:pPr>
      <w:r w:rsidRPr="00F37BB1">
        <w:t>El gasto total que ha supuesto la reforma de estos locales desde su inicio ha</w:t>
      </w:r>
      <w:r w:rsidRPr="00F37BB1">
        <w:t>s</w:t>
      </w:r>
      <w:r w:rsidRPr="00F37BB1">
        <w:t xml:space="preserve">ta la actualidad </w:t>
      </w:r>
      <w:r w:rsidR="00474CCD">
        <w:t xml:space="preserve">asciende a 3,27 millones de euros siendo su detalle anual </w:t>
      </w:r>
      <w:r w:rsidRPr="00F37BB1">
        <w:t>el s</w:t>
      </w:r>
      <w:r w:rsidRPr="00F37BB1">
        <w:t>i</w:t>
      </w:r>
      <w:r w:rsidRPr="00F37BB1">
        <w:t>guiente:</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8"/>
        <w:gridCol w:w="5721"/>
      </w:tblGrid>
      <w:tr w:rsidR="00B01865" w:rsidRPr="00B01865" w:rsidTr="00F37BB1">
        <w:trPr>
          <w:trHeight w:val="255"/>
        </w:trPr>
        <w:tc>
          <w:tcPr>
            <w:tcW w:w="3068"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tabs>
                <w:tab w:val="left" w:pos="480"/>
              </w:tabs>
              <w:spacing w:after="0"/>
              <w:ind w:firstLine="0"/>
              <w:jc w:val="left"/>
              <w:rPr>
                <w:rFonts w:ascii="Arial" w:hAnsi="Arial" w:cs="Arial"/>
                <w:spacing w:val="6"/>
                <w:sz w:val="18"/>
                <w:szCs w:val="18"/>
              </w:rPr>
            </w:pPr>
            <w:r w:rsidRPr="00B01865">
              <w:rPr>
                <w:rFonts w:ascii="Arial" w:hAnsi="Arial" w:cs="Arial"/>
                <w:spacing w:val="6"/>
                <w:sz w:val="18"/>
                <w:szCs w:val="18"/>
              </w:rPr>
              <w:t>Año</w:t>
            </w:r>
          </w:p>
        </w:tc>
        <w:tc>
          <w:tcPr>
            <w:tcW w:w="5721"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tabs>
                <w:tab w:val="left" w:pos="480"/>
              </w:tabs>
              <w:spacing w:after="0"/>
              <w:ind w:firstLine="0"/>
              <w:jc w:val="right"/>
              <w:rPr>
                <w:rFonts w:ascii="Arial" w:hAnsi="Arial" w:cs="Arial"/>
                <w:spacing w:val="6"/>
                <w:sz w:val="18"/>
                <w:szCs w:val="18"/>
              </w:rPr>
            </w:pPr>
            <w:r w:rsidRPr="00B01865">
              <w:rPr>
                <w:rFonts w:ascii="Arial" w:hAnsi="Arial" w:cs="Arial"/>
                <w:spacing w:val="6"/>
                <w:sz w:val="18"/>
                <w:szCs w:val="18"/>
              </w:rPr>
              <w:t>Gasto</w:t>
            </w:r>
          </w:p>
        </w:tc>
      </w:tr>
      <w:tr w:rsidR="00B01865" w:rsidRPr="00B01865" w:rsidTr="00F37BB1">
        <w:trPr>
          <w:trHeight w:val="198"/>
        </w:trPr>
        <w:tc>
          <w:tcPr>
            <w:tcW w:w="3068" w:type="dxa"/>
            <w:tcBorders>
              <w:top w:val="single" w:sz="4" w:space="0" w:color="auto"/>
              <w:bottom w:val="single" w:sz="2" w:space="0" w:color="auto"/>
            </w:tcBorders>
            <w:vAlign w:val="center"/>
          </w:tcPr>
          <w:p w:rsidR="00B01865" w:rsidRPr="00B01865" w:rsidRDefault="00B01865" w:rsidP="00B01865">
            <w:pPr>
              <w:tabs>
                <w:tab w:val="left" w:pos="480"/>
              </w:tabs>
              <w:spacing w:after="0"/>
              <w:ind w:firstLine="0"/>
              <w:jc w:val="left"/>
              <w:rPr>
                <w:rFonts w:ascii="Arial Narrow" w:hAnsi="Arial Narrow" w:cs="Arial"/>
                <w:spacing w:val="6"/>
              </w:rPr>
            </w:pPr>
            <w:r w:rsidRPr="00B01865">
              <w:rPr>
                <w:rFonts w:ascii="Arial Narrow" w:hAnsi="Arial Narrow" w:cs="Arial"/>
                <w:spacing w:val="6"/>
              </w:rPr>
              <w:t>2010</w:t>
            </w:r>
          </w:p>
        </w:tc>
        <w:tc>
          <w:tcPr>
            <w:tcW w:w="5721" w:type="dxa"/>
            <w:tcBorders>
              <w:top w:val="single" w:sz="4" w:space="0" w:color="auto"/>
              <w:bottom w:val="single" w:sz="2" w:space="0" w:color="auto"/>
            </w:tcBorders>
            <w:vAlign w:val="center"/>
          </w:tcPr>
          <w:p w:rsidR="00B01865" w:rsidRPr="00B01865" w:rsidRDefault="00B01865" w:rsidP="00B01865">
            <w:pPr>
              <w:tabs>
                <w:tab w:val="left" w:pos="480"/>
              </w:tabs>
              <w:spacing w:after="0"/>
              <w:ind w:firstLine="0"/>
              <w:jc w:val="right"/>
              <w:rPr>
                <w:rFonts w:ascii="Arial Narrow" w:hAnsi="Arial Narrow" w:cs="Arial"/>
                <w:spacing w:val="6"/>
              </w:rPr>
            </w:pPr>
            <w:r w:rsidRPr="00B01865">
              <w:rPr>
                <w:rFonts w:ascii="Arial Narrow" w:hAnsi="Arial Narrow" w:cs="Arial"/>
                <w:spacing w:val="6"/>
              </w:rPr>
              <w:t>268.190</w:t>
            </w:r>
          </w:p>
        </w:tc>
      </w:tr>
      <w:tr w:rsidR="00B01865" w:rsidRPr="00B01865" w:rsidTr="00F37BB1">
        <w:trPr>
          <w:trHeight w:val="198"/>
        </w:trPr>
        <w:tc>
          <w:tcPr>
            <w:tcW w:w="3068" w:type="dxa"/>
            <w:tcBorders>
              <w:top w:val="single" w:sz="2" w:space="0" w:color="auto"/>
              <w:bottom w:val="single" w:sz="2" w:space="0" w:color="auto"/>
            </w:tcBorders>
            <w:vAlign w:val="center"/>
          </w:tcPr>
          <w:p w:rsidR="00B01865" w:rsidRPr="00B01865" w:rsidRDefault="00B01865" w:rsidP="00B01865">
            <w:pPr>
              <w:tabs>
                <w:tab w:val="left" w:pos="480"/>
              </w:tabs>
              <w:spacing w:after="0"/>
              <w:ind w:firstLine="0"/>
              <w:jc w:val="left"/>
              <w:rPr>
                <w:rFonts w:ascii="Arial Narrow" w:hAnsi="Arial Narrow" w:cs="Arial"/>
                <w:spacing w:val="6"/>
              </w:rPr>
            </w:pPr>
            <w:r w:rsidRPr="00B01865">
              <w:rPr>
                <w:rFonts w:ascii="Arial Narrow" w:hAnsi="Arial Narrow" w:cs="Arial"/>
                <w:spacing w:val="6"/>
              </w:rPr>
              <w:t>2011</w:t>
            </w:r>
          </w:p>
        </w:tc>
        <w:tc>
          <w:tcPr>
            <w:tcW w:w="5721" w:type="dxa"/>
            <w:tcBorders>
              <w:top w:val="single" w:sz="2" w:space="0" w:color="auto"/>
              <w:bottom w:val="single" w:sz="2" w:space="0" w:color="auto"/>
            </w:tcBorders>
            <w:vAlign w:val="center"/>
          </w:tcPr>
          <w:p w:rsidR="00B01865" w:rsidRPr="00B01865" w:rsidRDefault="00B01865" w:rsidP="00B01865">
            <w:pPr>
              <w:tabs>
                <w:tab w:val="left" w:pos="480"/>
              </w:tabs>
              <w:spacing w:after="0"/>
              <w:ind w:firstLine="0"/>
              <w:jc w:val="right"/>
              <w:rPr>
                <w:rFonts w:ascii="Arial Narrow" w:hAnsi="Arial Narrow" w:cs="Arial"/>
                <w:spacing w:val="6"/>
              </w:rPr>
            </w:pPr>
            <w:r w:rsidRPr="00B01865">
              <w:rPr>
                <w:rFonts w:ascii="Arial Narrow" w:hAnsi="Arial Narrow" w:cs="Arial"/>
                <w:spacing w:val="6"/>
              </w:rPr>
              <w:t>156.855</w:t>
            </w:r>
          </w:p>
        </w:tc>
      </w:tr>
      <w:tr w:rsidR="00B01865" w:rsidRPr="00B01865" w:rsidTr="00F37BB1">
        <w:trPr>
          <w:trHeight w:val="198"/>
        </w:trPr>
        <w:tc>
          <w:tcPr>
            <w:tcW w:w="3068" w:type="dxa"/>
            <w:tcBorders>
              <w:top w:val="single" w:sz="2" w:space="0" w:color="auto"/>
              <w:bottom w:val="single" w:sz="2" w:space="0" w:color="auto"/>
            </w:tcBorders>
            <w:vAlign w:val="center"/>
          </w:tcPr>
          <w:p w:rsidR="00B01865" w:rsidRPr="00B01865" w:rsidRDefault="00B01865" w:rsidP="00B01865">
            <w:pPr>
              <w:tabs>
                <w:tab w:val="left" w:pos="480"/>
              </w:tabs>
              <w:spacing w:after="0"/>
              <w:ind w:firstLine="0"/>
              <w:jc w:val="left"/>
              <w:rPr>
                <w:rFonts w:ascii="Arial Narrow" w:hAnsi="Arial Narrow" w:cs="Arial"/>
                <w:spacing w:val="6"/>
              </w:rPr>
            </w:pPr>
            <w:r w:rsidRPr="00B01865">
              <w:rPr>
                <w:rFonts w:ascii="Arial Narrow" w:hAnsi="Arial Narrow" w:cs="Arial"/>
                <w:spacing w:val="6"/>
              </w:rPr>
              <w:t>2012</w:t>
            </w:r>
          </w:p>
        </w:tc>
        <w:tc>
          <w:tcPr>
            <w:tcW w:w="5721" w:type="dxa"/>
            <w:tcBorders>
              <w:top w:val="single" w:sz="2" w:space="0" w:color="auto"/>
              <w:bottom w:val="single" w:sz="2" w:space="0" w:color="auto"/>
            </w:tcBorders>
            <w:vAlign w:val="center"/>
          </w:tcPr>
          <w:p w:rsidR="00B01865" w:rsidRPr="00B01865" w:rsidRDefault="00B01865" w:rsidP="00B01865">
            <w:pPr>
              <w:tabs>
                <w:tab w:val="left" w:pos="480"/>
              </w:tabs>
              <w:spacing w:after="0"/>
              <w:ind w:firstLine="0"/>
              <w:jc w:val="right"/>
              <w:rPr>
                <w:rFonts w:ascii="Arial Narrow" w:hAnsi="Arial Narrow" w:cs="Arial"/>
                <w:spacing w:val="6"/>
              </w:rPr>
            </w:pPr>
            <w:r w:rsidRPr="00B01865">
              <w:rPr>
                <w:rFonts w:ascii="Arial Narrow" w:hAnsi="Arial Narrow" w:cs="Arial"/>
                <w:spacing w:val="6"/>
              </w:rPr>
              <w:t>1.026.466</w:t>
            </w:r>
          </w:p>
        </w:tc>
      </w:tr>
      <w:tr w:rsidR="00B01865" w:rsidRPr="00B01865" w:rsidTr="00F37BB1">
        <w:trPr>
          <w:trHeight w:val="198"/>
        </w:trPr>
        <w:tc>
          <w:tcPr>
            <w:tcW w:w="3068" w:type="dxa"/>
            <w:tcBorders>
              <w:top w:val="single" w:sz="2" w:space="0" w:color="auto"/>
              <w:bottom w:val="single" w:sz="2" w:space="0" w:color="auto"/>
            </w:tcBorders>
            <w:vAlign w:val="center"/>
          </w:tcPr>
          <w:p w:rsidR="00B01865" w:rsidRPr="00B01865" w:rsidRDefault="00B01865" w:rsidP="00B01865">
            <w:pPr>
              <w:tabs>
                <w:tab w:val="left" w:pos="480"/>
              </w:tabs>
              <w:spacing w:after="0"/>
              <w:ind w:firstLine="0"/>
              <w:jc w:val="left"/>
              <w:rPr>
                <w:rFonts w:ascii="Arial Narrow" w:hAnsi="Arial Narrow" w:cs="Arial"/>
                <w:spacing w:val="6"/>
              </w:rPr>
            </w:pPr>
            <w:r w:rsidRPr="00B01865">
              <w:rPr>
                <w:rFonts w:ascii="Arial Narrow" w:hAnsi="Arial Narrow" w:cs="Arial"/>
                <w:spacing w:val="6"/>
              </w:rPr>
              <w:t>2016</w:t>
            </w:r>
          </w:p>
        </w:tc>
        <w:tc>
          <w:tcPr>
            <w:tcW w:w="5721" w:type="dxa"/>
            <w:tcBorders>
              <w:top w:val="single" w:sz="2" w:space="0" w:color="auto"/>
              <w:bottom w:val="single" w:sz="2" w:space="0" w:color="auto"/>
            </w:tcBorders>
            <w:vAlign w:val="center"/>
          </w:tcPr>
          <w:p w:rsidR="00B01865" w:rsidRPr="00B01865" w:rsidRDefault="00B01865" w:rsidP="00B01865">
            <w:pPr>
              <w:tabs>
                <w:tab w:val="left" w:pos="480"/>
              </w:tabs>
              <w:spacing w:after="0"/>
              <w:ind w:firstLine="0"/>
              <w:jc w:val="right"/>
              <w:rPr>
                <w:rFonts w:ascii="Arial Narrow" w:hAnsi="Arial Narrow" w:cs="Arial"/>
                <w:spacing w:val="6"/>
              </w:rPr>
            </w:pPr>
            <w:r w:rsidRPr="00B01865">
              <w:rPr>
                <w:rFonts w:ascii="Arial Narrow" w:hAnsi="Arial Narrow" w:cs="Arial"/>
                <w:spacing w:val="6"/>
              </w:rPr>
              <w:t>11.226</w:t>
            </w:r>
          </w:p>
        </w:tc>
      </w:tr>
      <w:tr w:rsidR="00B01865" w:rsidRPr="00B01865" w:rsidTr="00F37BB1">
        <w:trPr>
          <w:trHeight w:val="198"/>
        </w:trPr>
        <w:tc>
          <w:tcPr>
            <w:tcW w:w="3068" w:type="dxa"/>
            <w:tcBorders>
              <w:top w:val="single" w:sz="2" w:space="0" w:color="auto"/>
              <w:bottom w:val="single" w:sz="2" w:space="0" w:color="auto"/>
            </w:tcBorders>
            <w:vAlign w:val="center"/>
          </w:tcPr>
          <w:p w:rsidR="00B01865" w:rsidRPr="00B01865" w:rsidRDefault="00B01865" w:rsidP="00B01865">
            <w:pPr>
              <w:tabs>
                <w:tab w:val="left" w:pos="480"/>
              </w:tabs>
              <w:spacing w:after="0"/>
              <w:ind w:firstLine="0"/>
              <w:jc w:val="left"/>
              <w:rPr>
                <w:rFonts w:ascii="Arial Narrow" w:hAnsi="Arial Narrow" w:cs="Arial"/>
                <w:spacing w:val="6"/>
              </w:rPr>
            </w:pPr>
            <w:r w:rsidRPr="00B01865">
              <w:rPr>
                <w:rFonts w:ascii="Arial Narrow" w:hAnsi="Arial Narrow" w:cs="Arial"/>
                <w:spacing w:val="6"/>
              </w:rPr>
              <w:t>2017</w:t>
            </w:r>
          </w:p>
        </w:tc>
        <w:tc>
          <w:tcPr>
            <w:tcW w:w="5721" w:type="dxa"/>
            <w:tcBorders>
              <w:top w:val="single" w:sz="2" w:space="0" w:color="auto"/>
              <w:bottom w:val="single" w:sz="2" w:space="0" w:color="auto"/>
            </w:tcBorders>
            <w:vAlign w:val="center"/>
          </w:tcPr>
          <w:p w:rsidR="00B01865" w:rsidRPr="00B01865" w:rsidRDefault="00B01865" w:rsidP="00B01865">
            <w:pPr>
              <w:tabs>
                <w:tab w:val="left" w:pos="480"/>
              </w:tabs>
              <w:spacing w:after="0"/>
              <w:ind w:firstLine="0"/>
              <w:jc w:val="right"/>
              <w:rPr>
                <w:rFonts w:ascii="Arial Narrow" w:hAnsi="Arial Narrow" w:cs="Arial"/>
                <w:spacing w:val="6"/>
              </w:rPr>
            </w:pPr>
            <w:r w:rsidRPr="00B01865">
              <w:rPr>
                <w:rFonts w:ascii="Arial Narrow" w:hAnsi="Arial Narrow" w:cs="Arial"/>
                <w:spacing w:val="6"/>
              </w:rPr>
              <w:t>949.987</w:t>
            </w:r>
          </w:p>
        </w:tc>
      </w:tr>
      <w:tr w:rsidR="00B01865" w:rsidRPr="00B01865" w:rsidTr="00904024">
        <w:trPr>
          <w:trHeight w:val="198"/>
        </w:trPr>
        <w:tc>
          <w:tcPr>
            <w:tcW w:w="3068" w:type="dxa"/>
            <w:tcBorders>
              <w:top w:val="single" w:sz="2" w:space="0" w:color="auto"/>
              <w:bottom w:val="single" w:sz="2" w:space="0" w:color="auto"/>
            </w:tcBorders>
            <w:vAlign w:val="center"/>
          </w:tcPr>
          <w:p w:rsidR="00B01865" w:rsidRPr="00B01865" w:rsidRDefault="00B01865" w:rsidP="00B01865">
            <w:pPr>
              <w:tabs>
                <w:tab w:val="left" w:pos="480"/>
              </w:tabs>
              <w:spacing w:after="0"/>
              <w:ind w:firstLine="0"/>
              <w:jc w:val="left"/>
              <w:rPr>
                <w:rFonts w:ascii="Arial Narrow" w:hAnsi="Arial Narrow" w:cs="Arial"/>
                <w:spacing w:val="6"/>
              </w:rPr>
            </w:pPr>
            <w:r w:rsidRPr="00B01865">
              <w:rPr>
                <w:rFonts w:ascii="Arial Narrow" w:hAnsi="Arial Narrow" w:cs="Arial"/>
                <w:spacing w:val="6"/>
              </w:rPr>
              <w:t>2018</w:t>
            </w:r>
          </w:p>
        </w:tc>
        <w:tc>
          <w:tcPr>
            <w:tcW w:w="5721" w:type="dxa"/>
            <w:tcBorders>
              <w:top w:val="single" w:sz="2" w:space="0" w:color="auto"/>
              <w:bottom w:val="single" w:sz="2" w:space="0" w:color="auto"/>
            </w:tcBorders>
            <w:vAlign w:val="center"/>
          </w:tcPr>
          <w:p w:rsidR="00B01865" w:rsidRPr="00B01865" w:rsidRDefault="00474CCD" w:rsidP="00B01865">
            <w:pPr>
              <w:tabs>
                <w:tab w:val="left" w:pos="480"/>
              </w:tabs>
              <w:spacing w:after="0"/>
              <w:ind w:firstLine="0"/>
              <w:jc w:val="right"/>
              <w:rPr>
                <w:rFonts w:ascii="Arial Narrow" w:hAnsi="Arial Narrow" w:cs="Arial"/>
                <w:spacing w:val="6"/>
              </w:rPr>
            </w:pPr>
            <w:r>
              <w:rPr>
                <w:rFonts w:ascii="Arial Narrow" w:hAnsi="Arial Narrow" w:cs="Arial"/>
                <w:spacing w:val="6"/>
              </w:rPr>
              <w:t>855.871</w:t>
            </w:r>
          </w:p>
        </w:tc>
      </w:tr>
      <w:tr w:rsidR="00B01865" w:rsidRPr="00B01865" w:rsidTr="00F37BB1">
        <w:trPr>
          <w:trHeight w:val="255"/>
        </w:trPr>
        <w:tc>
          <w:tcPr>
            <w:tcW w:w="3068"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tabs>
                <w:tab w:val="left" w:pos="480"/>
              </w:tabs>
              <w:spacing w:after="0"/>
              <w:ind w:firstLine="0"/>
              <w:jc w:val="left"/>
              <w:rPr>
                <w:rFonts w:ascii="Arial" w:hAnsi="Arial" w:cs="Arial"/>
                <w:spacing w:val="6"/>
                <w:sz w:val="18"/>
                <w:szCs w:val="18"/>
              </w:rPr>
            </w:pPr>
            <w:r w:rsidRPr="00B01865">
              <w:rPr>
                <w:rFonts w:ascii="Arial" w:hAnsi="Arial" w:cs="Arial"/>
                <w:spacing w:val="6"/>
                <w:sz w:val="18"/>
                <w:szCs w:val="18"/>
              </w:rPr>
              <w:t>Total</w:t>
            </w:r>
          </w:p>
        </w:tc>
        <w:tc>
          <w:tcPr>
            <w:tcW w:w="5721" w:type="dxa"/>
            <w:tcBorders>
              <w:top w:val="single" w:sz="2" w:space="0" w:color="auto"/>
              <w:bottom w:val="single" w:sz="4" w:space="0" w:color="auto"/>
            </w:tcBorders>
            <w:shd w:val="clear" w:color="auto" w:fill="8DB3E2" w:themeFill="text2" w:themeFillTint="66"/>
            <w:vAlign w:val="center"/>
          </w:tcPr>
          <w:p w:rsidR="00B01865" w:rsidRPr="00B01865" w:rsidRDefault="00B01865" w:rsidP="00474CCD">
            <w:pPr>
              <w:tabs>
                <w:tab w:val="left" w:pos="480"/>
              </w:tabs>
              <w:spacing w:after="0"/>
              <w:ind w:firstLine="0"/>
              <w:jc w:val="right"/>
              <w:rPr>
                <w:rFonts w:ascii="Arial" w:hAnsi="Arial" w:cs="Arial"/>
                <w:spacing w:val="6"/>
                <w:sz w:val="18"/>
                <w:szCs w:val="18"/>
              </w:rPr>
            </w:pPr>
            <w:r w:rsidRPr="00B01865">
              <w:rPr>
                <w:rFonts w:ascii="Arial" w:hAnsi="Arial" w:cs="Arial"/>
                <w:spacing w:val="6"/>
                <w:sz w:val="18"/>
                <w:szCs w:val="18"/>
              </w:rPr>
              <w:t>3.</w:t>
            </w:r>
            <w:r w:rsidR="00474CCD">
              <w:rPr>
                <w:rFonts w:ascii="Arial" w:hAnsi="Arial" w:cs="Arial"/>
                <w:spacing w:val="6"/>
                <w:sz w:val="18"/>
                <w:szCs w:val="18"/>
              </w:rPr>
              <w:t>268.595</w:t>
            </w:r>
          </w:p>
        </w:tc>
      </w:tr>
    </w:tbl>
    <w:p w:rsidR="00B01865" w:rsidRPr="00B01865" w:rsidRDefault="00B01865" w:rsidP="00F37BB1">
      <w:pPr>
        <w:pStyle w:val="texto"/>
        <w:spacing w:before="240"/>
      </w:pPr>
      <w:r w:rsidRPr="00B01865">
        <w:t>Añadido al gasto anterior, existe el correspondiente al arrendamiento de los locales ocupados por el SNS-O (325.445 euros anuales desde abril de 2014 ha</w:t>
      </w:r>
      <w:r w:rsidRPr="00B01865">
        <w:t>s</w:t>
      </w:r>
      <w:r w:rsidRPr="00B01865">
        <w:t xml:space="preserve">ta la actualidad) y los </w:t>
      </w:r>
      <w:r w:rsidR="00C71F04">
        <w:t xml:space="preserve">gastos </w:t>
      </w:r>
      <w:r w:rsidRPr="00B01865">
        <w:t xml:space="preserve">de comunidad de estos espacios (50.000 euros anuales aproximadamente en el periodo indicado).  </w:t>
      </w:r>
    </w:p>
    <w:p w:rsidR="00B01865" w:rsidRPr="00B01865" w:rsidRDefault="00B01865" w:rsidP="00F37BB1">
      <w:pPr>
        <w:pStyle w:val="texto"/>
      </w:pPr>
      <w:r w:rsidRPr="00B01865">
        <w:t>En cuanto al expediente de adjudicación, no constan todas las actas de la m</w:t>
      </w:r>
      <w:r w:rsidRPr="00B01865">
        <w:t>e</w:t>
      </w:r>
      <w:r w:rsidRPr="00B01865">
        <w:t xml:space="preserve">sa de contratación, y </w:t>
      </w:r>
      <w:r w:rsidR="00A050F1">
        <w:t xml:space="preserve">algunas de </w:t>
      </w:r>
      <w:r w:rsidRPr="00B01865">
        <w:t>las que están, no se han firmado debidamente; además, se observa falta de cumplimiento en los plazos establecidos en la no</w:t>
      </w:r>
      <w:r w:rsidRPr="00B01865">
        <w:t>r</w:t>
      </w:r>
      <w:r w:rsidRPr="00B01865">
        <w:t xml:space="preserve">mativa para </w:t>
      </w:r>
      <w:r w:rsidR="00A050F1">
        <w:t>algunas de las fases del procedimiento entre las que destacamos el abono de seis de las siete certificaciones.</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Las obras de refuerzo del firme del tramo general 5 de la autovía A-12 fu</w:t>
      </w:r>
      <w:r w:rsidRPr="00B01865">
        <w:rPr>
          <w:rFonts w:cs="Arial"/>
          <w:spacing w:val="6"/>
          <w:sz w:val="26"/>
          <w:szCs w:val="24"/>
        </w:rPr>
        <w:t>e</w:t>
      </w:r>
      <w:r w:rsidRPr="00B01865">
        <w:rPr>
          <w:rFonts w:cs="Arial"/>
          <w:spacing w:val="6"/>
          <w:sz w:val="26"/>
          <w:szCs w:val="24"/>
        </w:rPr>
        <w:t>ron adjudicadas por la concesionaria de esta infraestructura. Estas empresas deben preparar y adjudicar los contratos según la Ley Foral de Contratos Públ</w:t>
      </w:r>
      <w:r w:rsidRPr="00B01865">
        <w:rPr>
          <w:rFonts w:cs="Arial"/>
          <w:spacing w:val="6"/>
          <w:sz w:val="26"/>
          <w:szCs w:val="24"/>
        </w:rPr>
        <w:t>i</w:t>
      </w:r>
      <w:r w:rsidRPr="00B01865">
        <w:rPr>
          <w:rFonts w:cs="Arial"/>
          <w:spacing w:val="6"/>
          <w:sz w:val="26"/>
          <w:szCs w:val="24"/>
        </w:rPr>
        <w:t>cos. Hemos verificado que las contrataciones relacionadas con la concesión que realiza esta empresa, se realizan al margen de la normativa.</w:t>
      </w:r>
    </w:p>
    <w:p w:rsidR="00B01865" w:rsidRPr="00F37BB1" w:rsidRDefault="00B01865" w:rsidP="00F37BB1">
      <w:pPr>
        <w:pStyle w:val="texto"/>
      </w:pPr>
      <w:r w:rsidRPr="00F37BB1">
        <w:lastRenderedPageBreak/>
        <w:tab/>
        <w:t>Esto supone que existen deficiencias significativas (no se siguió el proced</w:t>
      </w:r>
      <w:r w:rsidRPr="00F37BB1">
        <w:t>i</w:t>
      </w:r>
      <w:r w:rsidRPr="00F37BB1">
        <w:t>miento de adjudicación que correspondía, los pliegos no establecen los requis</w:t>
      </w:r>
      <w:r w:rsidRPr="00F37BB1">
        <w:t>i</w:t>
      </w:r>
      <w:r w:rsidRPr="00F37BB1">
        <w:t>tos mínimos de solvencia, ni los criterios de adjudicación, la totalidad de la d</w:t>
      </w:r>
      <w:r w:rsidRPr="00F37BB1">
        <w:t>o</w:t>
      </w:r>
      <w:r w:rsidRPr="00F37BB1">
        <w:t xml:space="preserve">cumentación presentada por los licitadores se presenta en un único sobre, etc.) que no nos han permitido verificar si la contratación se realizó de acuerdo a los principios rectores básicos de la contratación (publicidad, no discriminación, trato igualitario y máxima eficiencia en el uso de los recursos). </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 xml:space="preserve">El contrato de las inversiones en el parque natural de </w:t>
      </w:r>
      <w:proofErr w:type="spellStart"/>
      <w:r w:rsidRPr="00B01865">
        <w:rPr>
          <w:rFonts w:cs="Arial"/>
          <w:spacing w:val="6"/>
          <w:sz w:val="26"/>
          <w:szCs w:val="24"/>
        </w:rPr>
        <w:t>Urbasa</w:t>
      </w:r>
      <w:proofErr w:type="spellEnd"/>
      <w:r w:rsidRPr="00B01865">
        <w:rPr>
          <w:rFonts w:cs="Arial"/>
          <w:spacing w:val="6"/>
          <w:sz w:val="26"/>
          <w:szCs w:val="24"/>
        </w:rPr>
        <w:t xml:space="preserve"> y </w:t>
      </w:r>
      <w:proofErr w:type="spellStart"/>
      <w:r w:rsidRPr="00B01865">
        <w:rPr>
          <w:rFonts w:cs="Arial"/>
          <w:spacing w:val="6"/>
          <w:sz w:val="26"/>
          <w:szCs w:val="24"/>
        </w:rPr>
        <w:t>And</w:t>
      </w:r>
      <w:r w:rsidR="00904024">
        <w:rPr>
          <w:rFonts w:cs="Arial"/>
          <w:spacing w:val="6"/>
          <w:sz w:val="26"/>
          <w:szCs w:val="24"/>
        </w:rPr>
        <w:t>i</w:t>
      </w:r>
      <w:r w:rsidRPr="00B01865">
        <w:rPr>
          <w:rFonts w:cs="Arial"/>
          <w:spacing w:val="6"/>
          <w:sz w:val="26"/>
          <w:szCs w:val="24"/>
        </w:rPr>
        <w:t>a</w:t>
      </w:r>
      <w:proofErr w:type="spellEnd"/>
      <w:r w:rsidRPr="00B01865">
        <w:rPr>
          <w:rFonts w:cs="Arial"/>
          <w:spacing w:val="6"/>
          <w:sz w:val="26"/>
          <w:szCs w:val="24"/>
        </w:rPr>
        <w:t xml:space="preserve"> se formalizó, y las obras incluso comenzaron, antes de que finalizara el plazo de suspensión de la adjudicación previsto en la normativa, si bien no se interpuso ninguna reclamación al respecto. </w:t>
      </w:r>
    </w:p>
    <w:p w:rsidR="00B01865" w:rsidRPr="00B01865" w:rsidRDefault="00B01865" w:rsidP="00AE6149">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Los pliegos de cláusulas económico-administrativas que rigen la adecu</w:t>
      </w:r>
      <w:r w:rsidRPr="00B01865">
        <w:rPr>
          <w:rFonts w:cs="Arial"/>
          <w:spacing w:val="6"/>
          <w:sz w:val="26"/>
          <w:szCs w:val="24"/>
        </w:rPr>
        <w:t>a</w:t>
      </w:r>
      <w:r w:rsidRPr="00B01865">
        <w:rPr>
          <w:rFonts w:cs="Arial"/>
          <w:spacing w:val="6"/>
          <w:sz w:val="26"/>
          <w:szCs w:val="24"/>
        </w:rPr>
        <w:t xml:space="preserve">ción de infraestructuras de las instalaciones de INASA en </w:t>
      </w:r>
      <w:proofErr w:type="spellStart"/>
      <w:r w:rsidRPr="00B01865">
        <w:rPr>
          <w:rFonts w:cs="Arial"/>
          <w:spacing w:val="6"/>
          <w:sz w:val="26"/>
          <w:szCs w:val="24"/>
        </w:rPr>
        <w:t>Irur</w:t>
      </w:r>
      <w:r w:rsidR="00904024">
        <w:rPr>
          <w:rFonts w:cs="Arial"/>
          <w:spacing w:val="6"/>
          <w:sz w:val="26"/>
          <w:szCs w:val="24"/>
        </w:rPr>
        <w:t>t</w:t>
      </w:r>
      <w:r w:rsidRPr="00B01865">
        <w:rPr>
          <w:rFonts w:cs="Arial"/>
          <w:spacing w:val="6"/>
          <w:sz w:val="26"/>
          <w:szCs w:val="24"/>
        </w:rPr>
        <w:t>zun</w:t>
      </w:r>
      <w:proofErr w:type="spellEnd"/>
      <w:r w:rsidRPr="00B01865">
        <w:rPr>
          <w:rFonts w:cs="Arial"/>
          <w:spacing w:val="6"/>
          <w:sz w:val="26"/>
          <w:szCs w:val="24"/>
        </w:rPr>
        <w:t xml:space="preserve">, adjudicadas por </w:t>
      </w:r>
      <w:r w:rsidR="00274179">
        <w:rPr>
          <w:rFonts w:cs="Arial"/>
          <w:spacing w:val="6"/>
          <w:sz w:val="26"/>
          <w:szCs w:val="24"/>
        </w:rPr>
        <w:t>NASUVINSA</w:t>
      </w:r>
      <w:r w:rsidRPr="00B01865">
        <w:rPr>
          <w:rFonts w:cs="Arial"/>
          <w:spacing w:val="6"/>
          <w:sz w:val="26"/>
          <w:szCs w:val="24"/>
        </w:rPr>
        <w:t>, presentan las siguientes deficiencias: no existe un apartado específico de solvencia económica y financiera, ni técnica o profesional; dentro de los criterios de adjudicación se valoran criterios de solvencia; el modelo de proposición económica contiene un error en el tipo de IVA que se debe aplicar; el plazo de garantía previsto es inferior al que se debe establecer según la no</w:t>
      </w:r>
      <w:r w:rsidRPr="00B01865">
        <w:rPr>
          <w:rFonts w:cs="Arial"/>
          <w:spacing w:val="6"/>
          <w:sz w:val="26"/>
          <w:szCs w:val="24"/>
        </w:rPr>
        <w:t>r</w:t>
      </w:r>
      <w:r w:rsidRPr="00B01865">
        <w:rPr>
          <w:rFonts w:cs="Arial"/>
          <w:spacing w:val="6"/>
          <w:sz w:val="26"/>
          <w:szCs w:val="24"/>
        </w:rPr>
        <w:t>mativa, y la fórmula de valoración de la oferta económica está basada en bajas medias.</w:t>
      </w:r>
    </w:p>
    <w:p w:rsidR="00B01865" w:rsidRPr="00B01865" w:rsidRDefault="00B01865" w:rsidP="00AE6149">
      <w:pPr>
        <w:pStyle w:val="texto"/>
      </w:pPr>
      <w:r w:rsidRPr="00B01865">
        <w:t>En el proceso de licitación también se han detectado varias deficiencias c</w:t>
      </w:r>
      <w:r w:rsidRPr="00B01865">
        <w:t>o</w:t>
      </w:r>
      <w:r w:rsidRPr="00B01865">
        <w:t xml:space="preserve">mo por ejemplo: </w:t>
      </w:r>
      <w:r w:rsidR="00274179">
        <w:t>incumplimiento de</w:t>
      </w:r>
      <w:r w:rsidRPr="00B01865">
        <w:t xml:space="preserve"> los plazos entre el anuncio de licitación y la presentación de ofertas; </w:t>
      </w:r>
      <w:r w:rsidR="00274179">
        <w:t>no consta</w:t>
      </w:r>
      <w:r w:rsidRPr="00B01865">
        <w:t xml:space="preserve"> la fecha de presentación de uno de los lic</w:t>
      </w:r>
      <w:r w:rsidRPr="00B01865">
        <w:t>i</w:t>
      </w:r>
      <w:r w:rsidRPr="00B01865">
        <w:t xml:space="preserve">tadores; no </w:t>
      </w:r>
      <w:r w:rsidR="00274179">
        <w:t>se publicó la fecha de apertura de las ofertas en el Portal de Contr</w:t>
      </w:r>
      <w:r w:rsidR="00274179">
        <w:t>a</w:t>
      </w:r>
      <w:r w:rsidR="00274179">
        <w:t xml:space="preserve">tación, ni </w:t>
      </w:r>
      <w:r w:rsidRPr="00B01865">
        <w:t>se de</w:t>
      </w:r>
      <w:r w:rsidR="00274179">
        <w:t>jó</w:t>
      </w:r>
      <w:r w:rsidRPr="00B01865">
        <w:t xml:space="preserve"> constancia documental de la apertura de la documentación ni de las ofertas económicas; la valoración técnica debía ser revisada por el sup</w:t>
      </w:r>
      <w:r w:rsidRPr="00B01865">
        <w:t>e</w:t>
      </w:r>
      <w:r w:rsidRPr="00B01865">
        <w:t xml:space="preserve">rior jerárquico del personal técnico que la realizó y no fue así, etc. </w:t>
      </w:r>
    </w:p>
    <w:p w:rsidR="00B01865" w:rsidRPr="00B01865" w:rsidRDefault="00B01865" w:rsidP="00AE6149">
      <w:pPr>
        <w:pStyle w:val="texto"/>
      </w:pPr>
      <w:r w:rsidRPr="00B01865">
        <w:t>El contrato formalizado contiene errores al hacer referencia a cláusulas de los pliegos que no existen o mal numeradas, y, además, su ampliación no fue publicada en el portal de contratación.</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El régimen de pagos previsto en los pliegos de los contratos relacionados con la sectorización y protección estructural al fuego en el Palacio de Navarra y en la escalera interior de este edificio, sobrepasa el plazo de 30 días, una vez recibida la certificación, establecido en la normativa. En cinco de las ocho ce</w:t>
      </w:r>
      <w:r w:rsidRPr="00B01865">
        <w:rPr>
          <w:rFonts w:cs="Arial"/>
          <w:spacing w:val="6"/>
          <w:sz w:val="26"/>
          <w:szCs w:val="24"/>
        </w:rPr>
        <w:t>r</w:t>
      </w:r>
      <w:r w:rsidRPr="00B01865">
        <w:rPr>
          <w:rFonts w:cs="Arial"/>
          <w:spacing w:val="6"/>
          <w:sz w:val="26"/>
          <w:szCs w:val="24"/>
        </w:rPr>
        <w:t xml:space="preserve">tificaciones se ha superado este plazo. </w:t>
      </w:r>
    </w:p>
    <w:p w:rsidR="00B01865" w:rsidRPr="00B01865" w:rsidRDefault="00B01865" w:rsidP="00AE6149">
      <w:pPr>
        <w:pStyle w:val="texto"/>
      </w:pPr>
      <w:r w:rsidRPr="00B01865">
        <w:tab/>
        <w:t xml:space="preserve">Este plazo de 30 días también se ha superado en el abono de cinco de las seis certificaciones de las obras de reforma de los locales citadas previamente, y en dos de las siete referidas a la adecuación del túnel de </w:t>
      </w:r>
      <w:proofErr w:type="spellStart"/>
      <w:r w:rsidRPr="00B01865">
        <w:t>Sunbilla</w:t>
      </w:r>
      <w:proofErr w:type="spellEnd"/>
      <w:r w:rsidRPr="00B01865">
        <w:t>.</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lastRenderedPageBreak/>
        <w:t xml:space="preserve">Las obras de interconexión con fibra óptica entre </w:t>
      </w:r>
      <w:proofErr w:type="spellStart"/>
      <w:r w:rsidRPr="00B01865">
        <w:rPr>
          <w:rFonts w:cs="Arial"/>
          <w:spacing w:val="6"/>
          <w:sz w:val="26"/>
          <w:szCs w:val="24"/>
        </w:rPr>
        <w:t>Belate-Bera</w:t>
      </w:r>
      <w:proofErr w:type="spellEnd"/>
      <w:r w:rsidRPr="00B01865">
        <w:rPr>
          <w:rFonts w:cs="Arial"/>
          <w:spacing w:val="6"/>
          <w:sz w:val="26"/>
          <w:szCs w:val="24"/>
        </w:rPr>
        <w:t xml:space="preserve"> y </w:t>
      </w:r>
      <w:proofErr w:type="spellStart"/>
      <w:r w:rsidRPr="00B01865">
        <w:rPr>
          <w:rFonts w:cs="Arial"/>
          <w:spacing w:val="6"/>
          <w:sz w:val="26"/>
          <w:szCs w:val="24"/>
        </w:rPr>
        <w:t>Azkazk</w:t>
      </w:r>
      <w:r w:rsidRPr="00B01865">
        <w:rPr>
          <w:rFonts w:cs="Arial"/>
          <w:spacing w:val="6"/>
          <w:sz w:val="26"/>
          <w:szCs w:val="24"/>
        </w:rPr>
        <w:t>o</w:t>
      </w:r>
      <w:r w:rsidRPr="00B01865">
        <w:rPr>
          <w:rFonts w:cs="Arial"/>
          <w:spacing w:val="6"/>
          <w:sz w:val="26"/>
          <w:szCs w:val="24"/>
        </w:rPr>
        <w:t>rro</w:t>
      </w:r>
      <w:proofErr w:type="spellEnd"/>
      <w:r w:rsidRPr="00B01865">
        <w:rPr>
          <w:rFonts w:cs="Arial"/>
          <w:spacing w:val="6"/>
          <w:sz w:val="26"/>
          <w:szCs w:val="24"/>
        </w:rPr>
        <w:t xml:space="preserve">-Elizondo se adjudicaron por la empresa pública </w:t>
      </w:r>
      <w:r w:rsidR="00274179">
        <w:rPr>
          <w:rFonts w:cs="Arial"/>
          <w:spacing w:val="6"/>
          <w:sz w:val="26"/>
          <w:szCs w:val="24"/>
        </w:rPr>
        <w:t>NASERTIC</w:t>
      </w:r>
      <w:r w:rsidRPr="00B01865">
        <w:rPr>
          <w:rFonts w:cs="Arial"/>
          <w:spacing w:val="6"/>
          <w:sz w:val="26"/>
          <w:szCs w:val="24"/>
        </w:rPr>
        <w:t xml:space="preserve"> para hacer frente a un encargo de la ACFN. </w:t>
      </w:r>
    </w:p>
    <w:p w:rsidR="00B01865" w:rsidRPr="00B01865" w:rsidRDefault="00B01865" w:rsidP="00AE6149">
      <w:pPr>
        <w:pStyle w:val="texto"/>
      </w:pPr>
      <w:r w:rsidRPr="00B01865">
        <w:tab/>
        <w:t>La fórmula utilizada para valorar la oferta económica aplica un criterio de l</w:t>
      </w:r>
      <w:r w:rsidRPr="00B01865">
        <w:t>i</w:t>
      </w:r>
      <w:r w:rsidRPr="00B01865">
        <w:t>nealidad por tramos según su proximidad a la baja media, opción que, como ya se ha citado, entendemos que no es adecuada. Además, hemos detectado que el diseño de la fórmula en la aplicación informática Excel para otorgar la puntu</w:t>
      </w:r>
      <w:r w:rsidRPr="00B01865">
        <w:t>a</w:t>
      </w:r>
      <w:r w:rsidRPr="00B01865">
        <w:t>ción a la ofer</w:t>
      </w:r>
      <w:r w:rsidR="00904024">
        <w:t>ta económica de los licitadores</w:t>
      </w:r>
      <w:r w:rsidRPr="00B01865">
        <w:t xml:space="preserve"> contenía errores. Esto supuso que las puntuaciones asignadas fueron inexactas, si bien el resultado no hubiera cambiado de haberse aplicado correctamente. Desconocemos el efecto que este error ha podido tener en otras licitaciones en las que se haya utilizado esta fó</w:t>
      </w:r>
      <w:r w:rsidRPr="00B01865">
        <w:t>r</w:t>
      </w:r>
      <w:r w:rsidRPr="00B01865">
        <w:t>mula.</w:t>
      </w:r>
    </w:p>
    <w:p w:rsidR="001020A6" w:rsidRDefault="00B01865" w:rsidP="00BC745B">
      <w:pPr>
        <w:pStyle w:val="texto"/>
        <w:rPr>
          <w:lang w:val="es-ES"/>
        </w:rPr>
      </w:pPr>
      <w:r w:rsidRPr="00B01865">
        <w:tab/>
        <w:t xml:space="preserve">Por otro lado destacamos que </w:t>
      </w:r>
      <w:r w:rsidR="00274179">
        <w:t xml:space="preserve">la ACFN abonó </w:t>
      </w:r>
      <w:r w:rsidRPr="00B01865">
        <w:t xml:space="preserve">el encargo </w:t>
      </w:r>
      <w:r w:rsidR="00274179">
        <w:t>a</w:t>
      </w:r>
      <w:r w:rsidRPr="00B01865">
        <w:t xml:space="preserve"> </w:t>
      </w:r>
      <w:r w:rsidR="00274179">
        <w:t>NASERTIC</w:t>
      </w:r>
      <w:r w:rsidR="00972AB2">
        <w:t xml:space="preserve"> a f</w:t>
      </w:r>
      <w:r w:rsidR="00972AB2">
        <w:t>i</w:t>
      </w:r>
      <w:r w:rsidR="00972AB2">
        <w:t>nales de año,</w:t>
      </w:r>
      <w:r w:rsidR="00274179">
        <w:t xml:space="preserve"> y esta</w:t>
      </w:r>
      <w:r w:rsidR="00972AB2">
        <w:t xml:space="preserve"> empresa pública</w:t>
      </w:r>
      <w:r w:rsidR="00274179">
        <w:t xml:space="preserve"> a la contratada</w:t>
      </w:r>
      <w:r w:rsidR="00972AB2">
        <w:t>,</w:t>
      </w:r>
      <w:r w:rsidRPr="00B01865">
        <w:t xml:space="preserve"> antes de la finalización de esta obra. </w:t>
      </w:r>
      <w:bookmarkStart w:id="91" w:name="tm_385745019"/>
      <w:bookmarkEnd w:id="91"/>
    </w:p>
    <w:p w:rsidR="00B01865" w:rsidRPr="00B01865" w:rsidRDefault="00B01865" w:rsidP="00B01865">
      <w:pPr>
        <w:tabs>
          <w:tab w:val="center" w:pos="2835"/>
          <w:tab w:val="center" w:pos="3969"/>
          <w:tab w:val="center" w:pos="5103"/>
          <w:tab w:val="center" w:pos="6237"/>
          <w:tab w:val="center" w:pos="7371"/>
        </w:tabs>
        <w:ind w:firstLine="284"/>
        <w:rPr>
          <w:spacing w:val="6"/>
          <w:sz w:val="26"/>
          <w:szCs w:val="24"/>
          <w:lang w:val="es-ES"/>
        </w:rPr>
      </w:pPr>
      <w:r w:rsidRPr="00B01865">
        <w:rPr>
          <w:spacing w:val="6"/>
          <w:sz w:val="26"/>
          <w:szCs w:val="24"/>
          <w:lang w:val="es-ES"/>
        </w:rPr>
        <w:t xml:space="preserve">Recomendamos: </w:t>
      </w:r>
    </w:p>
    <w:p w:rsidR="00972AB2" w:rsidRPr="00B01865" w:rsidRDefault="00972AB2" w:rsidP="00972AB2">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B01865">
        <w:rPr>
          <w:rFonts w:cs="Arial"/>
          <w:i/>
          <w:spacing w:val="6"/>
          <w:sz w:val="26"/>
          <w:szCs w:val="24"/>
        </w:rPr>
        <w:t>Solicitar informe a la autoridad navarra para la defensa de la competencia en cuanto se tengan indicios de actuaciones que puedan estar vulnerando este principio.</w:t>
      </w:r>
    </w:p>
    <w:p w:rsidR="00B01865" w:rsidRDefault="00130293"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AE6149">
        <w:rPr>
          <w:rFonts w:cs="Arial"/>
          <w:i/>
          <w:spacing w:val="6"/>
          <w:sz w:val="26"/>
          <w:szCs w:val="24"/>
        </w:rPr>
        <w:t>Atribuir la puntuación al precio de las distintas ofertas admitidas de forma proporcional a la reducción del precio de licitación que supone cada una de ellas.</w:t>
      </w:r>
    </w:p>
    <w:p w:rsidR="001020A6" w:rsidRDefault="00972AB2" w:rsidP="001020A6">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rFonts w:cs="Arial"/>
          <w:i/>
          <w:spacing w:val="6"/>
          <w:sz w:val="26"/>
          <w:szCs w:val="24"/>
        </w:rPr>
        <w:t>Velar por el cumplimiento de la normativa de contratación por parte de las concesionarias de infraestructuras en aquellos apartados que les sean de aplicación.</w:t>
      </w:r>
      <w:r w:rsidR="001020A6" w:rsidRPr="001020A6">
        <w:rPr>
          <w:rFonts w:cs="Arial"/>
          <w:i/>
          <w:spacing w:val="6"/>
          <w:sz w:val="26"/>
          <w:szCs w:val="24"/>
        </w:rPr>
        <w:t xml:space="preserve"> </w:t>
      </w:r>
    </w:p>
    <w:p w:rsidR="001020A6" w:rsidRDefault="001020A6" w:rsidP="001020A6">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B01865">
        <w:rPr>
          <w:rFonts w:cs="Arial"/>
          <w:i/>
          <w:spacing w:val="6"/>
          <w:sz w:val="26"/>
          <w:szCs w:val="24"/>
        </w:rPr>
        <w:t>Aplicar la normativa de contratación en toda su extensión a los contratos celebrados por las empresas públicas en los apartados que así esté previsto.</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B01865">
        <w:rPr>
          <w:rFonts w:cs="Arial"/>
          <w:i/>
          <w:spacing w:val="6"/>
          <w:sz w:val="26"/>
          <w:szCs w:val="24"/>
        </w:rPr>
        <w:t>Identificar a las personas que vayan a firmar los documentos que confo</w:t>
      </w:r>
      <w:r w:rsidRPr="00B01865">
        <w:rPr>
          <w:rFonts w:cs="Arial"/>
          <w:i/>
          <w:spacing w:val="6"/>
          <w:sz w:val="26"/>
          <w:szCs w:val="24"/>
        </w:rPr>
        <w:t>r</w:t>
      </w:r>
      <w:r w:rsidRPr="00B01865">
        <w:rPr>
          <w:rFonts w:cs="Arial"/>
          <w:i/>
          <w:spacing w:val="6"/>
          <w:sz w:val="26"/>
          <w:szCs w:val="24"/>
        </w:rPr>
        <w:t xml:space="preserve">man los expedientes de adjudicación de los contratos. </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B01865">
        <w:rPr>
          <w:rFonts w:cs="Arial"/>
          <w:i/>
          <w:spacing w:val="6"/>
          <w:sz w:val="26"/>
          <w:szCs w:val="24"/>
        </w:rPr>
        <w:t>Abandonar la</w:t>
      </w:r>
      <w:r w:rsidR="00972AB2">
        <w:rPr>
          <w:rFonts w:cs="Arial"/>
          <w:i/>
          <w:spacing w:val="6"/>
          <w:sz w:val="26"/>
          <w:szCs w:val="24"/>
        </w:rPr>
        <w:t xml:space="preserve"> práctica de</w:t>
      </w:r>
      <w:r w:rsidRPr="00B01865">
        <w:rPr>
          <w:rFonts w:cs="Arial"/>
          <w:i/>
          <w:spacing w:val="6"/>
          <w:sz w:val="26"/>
          <w:szCs w:val="24"/>
        </w:rPr>
        <w:t xml:space="preserve"> formaliza</w:t>
      </w:r>
      <w:r w:rsidR="00972AB2">
        <w:rPr>
          <w:rFonts w:cs="Arial"/>
          <w:i/>
          <w:spacing w:val="6"/>
          <w:sz w:val="26"/>
          <w:szCs w:val="24"/>
        </w:rPr>
        <w:t>r</w:t>
      </w:r>
      <w:r w:rsidRPr="00B01865">
        <w:rPr>
          <w:rFonts w:cs="Arial"/>
          <w:i/>
          <w:spacing w:val="6"/>
          <w:sz w:val="26"/>
          <w:szCs w:val="24"/>
        </w:rPr>
        <w:t xml:space="preserve"> certificaciones que no supongan la recepción de un servicio por parte de la ACFN con gasto “cero” para evitar incurrir en gastos procedimentales.</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B01865">
        <w:rPr>
          <w:rFonts w:cs="Arial"/>
          <w:i/>
          <w:spacing w:val="6"/>
          <w:sz w:val="26"/>
          <w:szCs w:val="24"/>
        </w:rPr>
        <w:t xml:space="preserve">Trasladar el centro de trabajo de los Servicios Centrales del SNS-O a los locales reformados para evitar incurrir en mayores gastos de arrendamiento y comunidad a la mayor brevedad posible. </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B01865">
        <w:rPr>
          <w:rFonts w:cs="Arial"/>
          <w:i/>
          <w:spacing w:val="6"/>
          <w:sz w:val="26"/>
          <w:szCs w:val="24"/>
        </w:rPr>
        <w:t>Respetar el plazo de suspensión de la adjudicación previsto en la normat</w:t>
      </w:r>
      <w:r w:rsidRPr="00B01865">
        <w:rPr>
          <w:rFonts w:cs="Arial"/>
          <w:i/>
          <w:spacing w:val="6"/>
          <w:sz w:val="26"/>
          <w:szCs w:val="24"/>
        </w:rPr>
        <w:t>i</w:t>
      </w:r>
      <w:r w:rsidRPr="00B01865">
        <w:rPr>
          <w:rFonts w:cs="Arial"/>
          <w:i/>
          <w:spacing w:val="6"/>
          <w:sz w:val="26"/>
          <w:szCs w:val="24"/>
        </w:rPr>
        <w:t>va para formalizar los contratos e iniciar las prestaciones correspondientes.</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B01865">
        <w:rPr>
          <w:rFonts w:cs="Arial"/>
          <w:i/>
          <w:spacing w:val="6"/>
          <w:sz w:val="26"/>
          <w:szCs w:val="24"/>
        </w:rPr>
        <w:lastRenderedPageBreak/>
        <w:t>Respetar el plazo indicado por la normativa para abonar las prestaciones contratadas teniendo en cuenta la fecha de recepción de la correspondiente certificación.</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B01865">
        <w:rPr>
          <w:rFonts w:cs="Arial"/>
          <w:i/>
          <w:spacing w:val="6"/>
          <w:sz w:val="26"/>
          <w:szCs w:val="24"/>
        </w:rPr>
        <w:t>Registrar el gasto presupuestario correspondiente a las prestaciones efe</w:t>
      </w:r>
      <w:r w:rsidRPr="00B01865">
        <w:rPr>
          <w:rFonts w:cs="Arial"/>
          <w:i/>
          <w:spacing w:val="6"/>
          <w:sz w:val="26"/>
          <w:szCs w:val="24"/>
        </w:rPr>
        <w:t>c</w:t>
      </w:r>
      <w:r w:rsidRPr="00B01865">
        <w:rPr>
          <w:rFonts w:cs="Arial"/>
          <w:i/>
          <w:spacing w:val="6"/>
          <w:sz w:val="26"/>
          <w:szCs w:val="24"/>
        </w:rPr>
        <w:t xml:space="preserve">tivamente recibidas en el ejercicio. </w:t>
      </w:r>
    </w:p>
    <w:p w:rsidR="00CF1188" w:rsidRPr="00201AEC" w:rsidRDefault="00B01865" w:rsidP="00201AEC">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BC745B">
        <w:rPr>
          <w:rFonts w:cs="Arial"/>
          <w:i/>
          <w:spacing w:val="6"/>
          <w:sz w:val="26"/>
          <w:szCs w:val="24"/>
        </w:rPr>
        <w:t>Aplicar los criterios contables incluidos en el Plan General de Contabil</w:t>
      </w:r>
      <w:r w:rsidRPr="00BC745B">
        <w:rPr>
          <w:rFonts w:cs="Arial"/>
          <w:i/>
          <w:spacing w:val="6"/>
          <w:sz w:val="26"/>
          <w:szCs w:val="24"/>
        </w:rPr>
        <w:t>i</w:t>
      </w:r>
      <w:r w:rsidRPr="00BC745B">
        <w:rPr>
          <w:rFonts w:cs="Arial"/>
          <w:i/>
          <w:spacing w:val="6"/>
          <w:sz w:val="26"/>
          <w:szCs w:val="24"/>
        </w:rPr>
        <w:t>dad Pública en toda su extensión a las operaciones de inmovilizado (cesiones, adscripciones, inversiones en infraestructuras, etc.).</w:t>
      </w:r>
      <w:bookmarkStart w:id="92" w:name="_Toc494270390"/>
      <w:bookmarkStart w:id="93" w:name="_Toc525907446"/>
    </w:p>
    <w:p w:rsidR="00B01865" w:rsidRPr="00AE6149" w:rsidRDefault="00B01865" w:rsidP="00AE6149">
      <w:pPr>
        <w:pStyle w:val="atitulo2"/>
        <w:spacing w:before="240"/>
        <w:rPr>
          <w:bCs w:val="0"/>
          <w:iCs w:val="0"/>
        </w:rPr>
      </w:pPr>
      <w:bookmarkStart w:id="94" w:name="_Toc530034674"/>
      <w:r w:rsidRPr="00AE6149">
        <w:rPr>
          <w:bCs w:val="0"/>
          <w:iCs w:val="0"/>
        </w:rPr>
        <w:t>V.</w:t>
      </w:r>
      <w:r w:rsidR="001C37BF">
        <w:rPr>
          <w:bCs w:val="0"/>
          <w:iCs w:val="0"/>
        </w:rPr>
        <w:t>9</w:t>
      </w:r>
      <w:r w:rsidRPr="00AE6149">
        <w:rPr>
          <w:bCs w:val="0"/>
          <w:iCs w:val="0"/>
        </w:rPr>
        <w:t>. Impuestos, tasas, precios públicos y otros ingresos</w:t>
      </w:r>
      <w:bookmarkEnd w:id="92"/>
      <w:bookmarkEnd w:id="93"/>
      <w:bookmarkEnd w:id="94"/>
      <w:r w:rsidRPr="00AE6149">
        <w:rPr>
          <w:bCs w:val="0"/>
          <w:iCs w:val="0"/>
        </w:rPr>
        <w:t xml:space="preserve"> </w:t>
      </w:r>
    </w:p>
    <w:p w:rsidR="00B01865" w:rsidRPr="00B01865" w:rsidRDefault="00B01865" w:rsidP="00B01865">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Impuestos</w:t>
      </w:r>
    </w:p>
    <w:p w:rsidR="00AE6149" w:rsidRDefault="00B01865" w:rsidP="00972AB2">
      <w:pPr>
        <w:pStyle w:val="texto"/>
        <w:rPr>
          <w:lang w:val="es-ES"/>
        </w:rPr>
      </w:pPr>
      <w:r w:rsidRPr="00B01865">
        <w:rPr>
          <w:lang w:val="es-ES"/>
        </w:rPr>
        <w:t>Los derechos reconocidos netos por impuestos en el ejercicio 2017 ascendi</w:t>
      </w:r>
      <w:r w:rsidRPr="00B01865">
        <w:rPr>
          <w:lang w:val="es-ES"/>
        </w:rPr>
        <w:t>e</w:t>
      </w:r>
      <w:r w:rsidRPr="00B01865">
        <w:rPr>
          <w:lang w:val="es-ES"/>
        </w:rPr>
        <w:t xml:space="preserve">ron a 3.658,40 millones de euros, un 14 por ciento más que en 2016 (451,52 millones), y suponen el 81 por ciento del total de derechos. </w:t>
      </w:r>
    </w:p>
    <w:p w:rsidR="00B01865" w:rsidRPr="00B01865" w:rsidRDefault="00B01865" w:rsidP="00AE6149">
      <w:pPr>
        <w:pStyle w:val="texto"/>
        <w:rPr>
          <w:lang w:val="es-ES"/>
        </w:rPr>
      </w:pPr>
      <w:r w:rsidRPr="00B01865">
        <w:rPr>
          <w:lang w:val="es-ES"/>
        </w:rPr>
        <w:t>A continuación mostramos los derechos reconocidos en el 2017 y su comp</w:t>
      </w:r>
      <w:r w:rsidRPr="00B01865">
        <w:rPr>
          <w:lang w:val="es-ES"/>
        </w:rPr>
        <w:t>a</w:t>
      </w:r>
      <w:r w:rsidRPr="00B01865">
        <w:rPr>
          <w:lang w:val="es-ES"/>
        </w:rPr>
        <w:t>ración con los del ejercicio anterior para las distintas figuras impositivas:</w:t>
      </w:r>
    </w:p>
    <w:tbl>
      <w:tblPr>
        <w:tblW w:w="8836"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3371"/>
        <w:gridCol w:w="995"/>
        <w:gridCol w:w="1123"/>
        <w:gridCol w:w="995"/>
        <w:gridCol w:w="995"/>
        <w:gridCol w:w="842"/>
        <w:gridCol w:w="515"/>
      </w:tblGrid>
      <w:tr w:rsidR="00B01865" w:rsidRPr="00B01865" w:rsidTr="00AE6149">
        <w:trPr>
          <w:trHeight w:val="255"/>
          <w:jc w:val="center"/>
        </w:trPr>
        <w:tc>
          <w:tcPr>
            <w:tcW w:w="8836" w:type="dxa"/>
            <w:gridSpan w:val="7"/>
            <w:tcBorders>
              <w:top w:val="nil"/>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(en miles de euros)</w:t>
            </w:r>
          </w:p>
        </w:tc>
      </w:tr>
      <w:tr w:rsidR="00B01865" w:rsidRPr="00B01865" w:rsidTr="009226CD">
        <w:trPr>
          <w:trHeight w:val="198"/>
          <w:jc w:val="center"/>
        </w:trPr>
        <w:tc>
          <w:tcPr>
            <w:tcW w:w="3371" w:type="dxa"/>
            <w:vMerge w:val="restart"/>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sidRPr="00B01865">
              <w:rPr>
                <w:rFonts w:ascii="Arial" w:hAnsi="Arial" w:cs="Arial"/>
                <w:spacing w:val="6"/>
                <w:sz w:val="16"/>
                <w:szCs w:val="16"/>
              </w:rPr>
              <w:t>Impuestos</w:t>
            </w:r>
          </w:p>
        </w:tc>
        <w:tc>
          <w:tcPr>
            <w:tcW w:w="2118" w:type="dxa"/>
            <w:gridSpan w:val="2"/>
            <w:tcBorders>
              <w:bottom w:val="single" w:sz="2" w:space="0" w:color="auto"/>
            </w:tcBorders>
            <w:shd w:val="clear" w:color="auto" w:fill="8DB3E2" w:themeFill="text2" w:themeFillTint="66"/>
            <w:vAlign w:val="center"/>
          </w:tcPr>
          <w:p w:rsidR="00B01865" w:rsidRPr="00B01865" w:rsidRDefault="00B01865" w:rsidP="00AC7529">
            <w:pPr>
              <w:keepLines/>
              <w:tabs>
                <w:tab w:val="right" w:pos="2835"/>
                <w:tab w:val="right" w:pos="3969"/>
                <w:tab w:val="right" w:pos="5103"/>
                <w:tab w:val="right" w:pos="6237"/>
                <w:tab w:val="right" w:pos="7371"/>
              </w:tabs>
              <w:spacing w:after="0"/>
              <w:ind w:left="45" w:right="-85" w:firstLine="0"/>
              <w:jc w:val="center"/>
              <w:rPr>
                <w:rFonts w:ascii="Arial" w:hAnsi="Arial" w:cs="Arial"/>
                <w:spacing w:val="6"/>
                <w:sz w:val="16"/>
                <w:szCs w:val="16"/>
              </w:rPr>
            </w:pPr>
            <w:r w:rsidRPr="00B01865">
              <w:rPr>
                <w:rFonts w:ascii="Arial" w:hAnsi="Arial" w:cs="Arial"/>
                <w:spacing w:val="6"/>
                <w:sz w:val="16"/>
                <w:szCs w:val="16"/>
              </w:rPr>
              <w:t>Derechos</w:t>
            </w:r>
          </w:p>
          <w:p w:rsidR="00B01865" w:rsidRPr="00B01865" w:rsidRDefault="00B01865" w:rsidP="00AC7529">
            <w:pPr>
              <w:keepLines/>
              <w:tabs>
                <w:tab w:val="right" w:pos="2835"/>
                <w:tab w:val="right" w:pos="3969"/>
                <w:tab w:val="right" w:pos="5103"/>
                <w:tab w:val="right" w:pos="6237"/>
                <w:tab w:val="right" w:pos="7371"/>
              </w:tabs>
              <w:spacing w:after="0"/>
              <w:ind w:left="45" w:right="-85" w:firstLine="0"/>
              <w:jc w:val="center"/>
              <w:rPr>
                <w:rFonts w:ascii="Arial" w:hAnsi="Arial" w:cs="Arial"/>
                <w:spacing w:val="6"/>
                <w:sz w:val="16"/>
                <w:szCs w:val="16"/>
              </w:rPr>
            </w:pPr>
            <w:r w:rsidRPr="00B01865">
              <w:rPr>
                <w:rFonts w:ascii="Arial" w:hAnsi="Arial" w:cs="Arial"/>
                <w:spacing w:val="6"/>
                <w:sz w:val="16"/>
                <w:szCs w:val="16"/>
              </w:rPr>
              <w:t>Reconocidos Netos</w:t>
            </w:r>
          </w:p>
        </w:tc>
        <w:tc>
          <w:tcPr>
            <w:tcW w:w="1990" w:type="dxa"/>
            <w:gridSpan w:val="2"/>
            <w:tcBorders>
              <w:bottom w:val="single" w:sz="2" w:space="0" w:color="auto"/>
            </w:tcBorders>
            <w:shd w:val="clear" w:color="auto" w:fill="8DB3E2" w:themeFill="text2" w:themeFillTint="66"/>
            <w:vAlign w:val="center"/>
          </w:tcPr>
          <w:p w:rsidR="00B01865" w:rsidRPr="00B01865" w:rsidRDefault="00B01865" w:rsidP="00AC7529">
            <w:pPr>
              <w:keepLines/>
              <w:tabs>
                <w:tab w:val="right" w:pos="2835"/>
                <w:tab w:val="right" w:pos="3969"/>
                <w:tab w:val="right" w:pos="5103"/>
                <w:tab w:val="right" w:pos="6237"/>
                <w:tab w:val="right" w:pos="7371"/>
              </w:tabs>
              <w:spacing w:after="0"/>
              <w:ind w:left="250" w:firstLine="0"/>
              <w:jc w:val="center"/>
              <w:rPr>
                <w:rFonts w:ascii="Arial" w:hAnsi="Arial" w:cs="Arial"/>
                <w:spacing w:val="6"/>
                <w:sz w:val="16"/>
                <w:szCs w:val="16"/>
              </w:rPr>
            </w:pPr>
            <w:r w:rsidRPr="00B01865">
              <w:rPr>
                <w:rFonts w:ascii="Arial" w:hAnsi="Arial" w:cs="Arial"/>
                <w:spacing w:val="6"/>
                <w:sz w:val="16"/>
                <w:szCs w:val="16"/>
              </w:rPr>
              <w:t>Recaudación</w:t>
            </w:r>
          </w:p>
          <w:p w:rsidR="00B01865" w:rsidRPr="00B01865" w:rsidRDefault="00B01865" w:rsidP="00AC7529">
            <w:pPr>
              <w:keepLines/>
              <w:tabs>
                <w:tab w:val="right" w:pos="2835"/>
                <w:tab w:val="right" w:pos="3969"/>
                <w:tab w:val="right" w:pos="5103"/>
                <w:tab w:val="right" w:pos="6237"/>
                <w:tab w:val="right" w:pos="7371"/>
              </w:tabs>
              <w:spacing w:after="0"/>
              <w:ind w:left="250" w:firstLine="0"/>
              <w:jc w:val="center"/>
              <w:rPr>
                <w:rFonts w:ascii="Arial" w:hAnsi="Arial" w:cs="Arial"/>
                <w:spacing w:val="6"/>
                <w:sz w:val="16"/>
                <w:szCs w:val="16"/>
              </w:rPr>
            </w:pPr>
            <w:r w:rsidRPr="00B01865">
              <w:rPr>
                <w:rFonts w:ascii="Arial" w:hAnsi="Arial" w:cs="Arial"/>
                <w:spacing w:val="6"/>
                <w:sz w:val="16"/>
                <w:szCs w:val="16"/>
              </w:rPr>
              <w:t>Neta</w:t>
            </w:r>
          </w:p>
        </w:tc>
        <w:tc>
          <w:tcPr>
            <w:tcW w:w="1357" w:type="dxa"/>
            <w:gridSpan w:val="2"/>
            <w:tcBorders>
              <w:bottom w:val="single" w:sz="2" w:space="0" w:color="auto"/>
            </w:tcBorders>
            <w:shd w:val="clear" w:color="auto" w:fill="8DB3E2" w:themeFill="text2" w:themeFillTint="66"/>
            <w:vAlign w:val="center"/>
          </w:tcPr>
          <w:p w:rsidR="00B01865" w:rsidRPr="00B01865" w:rsidRDefault="00B01865" w:rsidP="00AC7529">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 variación 2017/2016</w:t>
            </w:r>
          </w:p>
        </w:tc>
      </w:tr>
      <w:tr w:rsidR="00B01865" w:rsidRPr="00B01865" w:rsidTr="009226CD">
        <w:trPr>
          <w:trHeight w:val="198"/>
          <w:jc w:val="center"/>
        </w:trPr>
        <w:tc>
          <w:tcPr>
            <w:tcW w:w="3371" w:type="dxa"/>
            <w:vMerge/>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p>
        </w:tc>
        <w:tc>
          <w:tcPr>
            <w:tcW w:w="995" w:type="dxa"/>
            <w:tcBorders>
              <w:top w:val="single" w:sz="2"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2016</w:t>
            </w:r>
          </w:p>
        </w:tc>
        <w:tc>
          <w:tcPr>
            <w:tcW w:w="1123" w:type="dxa"/>
            <w:tcBorders>
              <w:top w:val="single" w:sz="2"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2017</w:t>
            </w:r>
          </w:p>
        </w:tc>
        <w:tc>
          <w:tcPr>
            <w:tcW w:w="995" w:type="dxa"/>
            <w:tcBorders>
              <w:top w:val="single" w:sz="2"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2016</w:t>
            </w:r>
          </w:p>
        </w:tc>
        <w:tc>
          <w:tcPr>
            <w:tcW w:w="995" w:type="dxa"/>
            <w:tcBorders>
              <w:top w:val="single" w:sz="2"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2017</w:t>
            </w:r>
          </w:p>
        </w:tc>
        <w:tc>
          <w:tcPr>
            <w:tcW w:w="842" w:type="dxa"/>
            <w:tcBorders>
              <w:top w:val="single" w:sz="2"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DRN</w:t>
            </w:r>
          </w:p>
        </w:tc>
        <w:tc>
          <w:tcPr>
            <w:tcW w:w="515" w:type="dxa"/>
            <w:tcBorders>
              <w:top w:val="single" w:sz="2"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RN</w:t>
            </w:r>
          </w:p>
        </w:tc>
      </w:tr>
      <w:tr w:rsidR="00B01865" w:rsidRPr="009226CD" w:rsidTr="00AE6149">
        <w:trPr>
          <w:trHeight w:val="198"/>
          <w:jc w:val="center"/>
        </w:trPr>
        <w:tc>
          <w:tcPr>
            <w:tcW w:w="3371" w:type="dxa"/>
            <w:noWrap/>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sidRPr="009226CD">
              <w:rPr>
                <w:rFonts w:ascii="Arial Narrow" w:hAnsi="Arial Narrow" w:cs="Arial"/>
                <w:spacing w:val="6"/>
                <w:sz w:val="18"/>
                <w:szCs w:val="18"/>
              </w:rPr>
              <w:t>IRPF</w:t>
            </w:r>
          </w:p>
        </w:tc>
        <w:tc>
          <w:tcPr>
            <w:tcW w:w="995"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1.180.097</w:t>
            </w:r>
          </w:p>
        </w:tc>
        <w:tc>
          <w:tcPr>
            <w:tcW w:w="1123"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1.282.948</w:t>
            </w:r>
          </w:p>
        </w:tc>
        <w:tc>
          <w:tcPr>
            <w:tcW w:w="995"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1.168.323</w:t>
            </w:r>
          </w:p>
        </w:tc>
        <w:tc>
          <w:tcPr>
            <w:tcW w:w="995" w:type="dxa"/>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 xml:space="preserve">1.282.945 </w:t>
            </w:r>
          </w:p>
        </w:tc>
        <w:tc>
          <w:tcPr>
            <w:tcW w:w="842"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9</w:t>
            </w:r>
          </w:p>
        </w:tc>
        <w:tc>
          <w:tcPr>
            <w:tcW w:w="515" w:type="dxa"/>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10</w:t>
            </w:r>
          </w:p>
        </w:tc>
      </w:tr>
      <w:tr w:rsidR="00B01865" w:rsidRPr="009226CD" w:rsidTr="00AE6149">
        <w:trPr>
          <w:trHeight w:val="198"/>
          <w:jc w:val="center"/>
        </w:trPr>
        <w:tc>
          <w:tcPr>
            <w:tcW w:w="3371" w:type="dxa"/>
            <w:noWrap/>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sidRPr="009226CD">
              <w:rPr>
                <w:rFonts w:ascii="Arial Narrow" w:hAnsi="Arial Narrow" w:cs="Arial"/>
                <w:spacing w:val="6"/>
                <w:sz w:val="18"/>
                <w:szCs w:val="18"/>
              </w:rPr>
              <w:t>Sociedades</w:t>
            </w:r>
          </w:p>
        </w:tc>
        <w:tc>
          <w:tcPr>
            <w:tcW w:w="995"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205.097</w:t>
            </w:r>
          </w:p>
        </w:tc>
        <w:tc>
          <w:tcPr>
            <w:tcW w:w="1123"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303.945</w:t>
            </w:r>
          </w:p>
        </w:tc>
        <w:tc>
          <w:tcPr>
            <w:tcW w:w="995"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205.097</w:t>
            </w:r>
          </w:p>
        </w:tc>
        <w:tc>
          <w:tcPr>
            <w:tcW w:w="995" w:type="dxa"/>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 xml:space="preserve">256.130 </w:t>
            </w:r>
          </w:p>
        </w:tc>
        <w:tc>
          <w:tcPr>
            <w:tcW w:w="842"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48</w:t>
            </w:r>
          </w:p>
        </w:tc>
        <w:tc>
          <w:tcPr>
            <w:tcW w:w="515" w:type="dxa"/>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25</w:t>
            </w:r>
          </w:p>
        </w:tc>
      </w:tr>
      <w:tr w:rsidR="00B01865" w:rsidRPr="009226CD" w:rsidTr="00AE6149">
        <w:trPr>
          <w:trHeight w:val="198"/>
          <w:jc w:val="center"/>
        </w:trPr>
        <w:tc>
          <w:tcPr>
            <w:tcW w:w="3371" w:type="dxa"/>
            <w:noWrap/>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sidRPr="009226CD">
              <w:rPr>
                <w:rFonts w:ascii="Arial Narrow" w:hAnsi="Arial Narrow" w:cs="Arial"/>
                <w:spacing w:val="6"/>
                <w:sz w:val="18"/>
                <w:szCs w:val="18"/>
              </w:rPr>
              <w:t>Renta de no residentes</w:t>
            </w:r>
          </w:p>
        </w:tc>
        <w:tc>
          <w:tcPr>
            <w:tcW w:w="995"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6.444</w:t>
            </w:r>
          </w:p>
        </w:tc>
        <w:tc>
          <w:tcPr>
            <w:tcW w:w="1123"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5.761</w:t>
            </w:r>
          </w:p>
        </w:tc>
        <w:tc>
          <w:tcPr>
            <w:tcW w:w="995"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6.384</w:t>
            </w:r>
          </w:p>
        </w:tc>
        <w:tc>
          <w:tcPr>
            <w:tcW w:w="995" w:type="dxa"/>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 xml:space="preserve">5.761 </w:t>
            </w:r>
          </w:p>
        </w:tc>
        <w:tc>
          <w:tcPr>
            <w:tcW w:w="842"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-11</w:t>
            </w:r>
          </w:p>
        </w:tc>
        <w:tc>
          <w:tcPr>
            <w:tcW w:w="515" w:type="dxa"/>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-10</w:t>
            </w:r>
          </w:p>
        </w:tc>
      </w:tr>
      <w:tr w:rsidR="00B01865" w:rsidRPr="009226CD" w:rsidTr="00AE6149">
        <w:trPr>
          <w:trHeight w:val="198"/>
          <w:jc w:val="center"/>
        </w:trPr>
        <w:tc>
          <w:tcPr>
            <w:tcW w:w="3371" w:type="dxa"/>
            <w:noWrap/>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sidRPr="009226CD">
              <w:rPr>
                <w:rFonts w:ascii="Arial Narrow" w:hAnsi="Arial Narrow" w:cs="Arial"/>
                <w:spacing w:val="6"/>
                <w:sz w:val="18"/>
                <w:szCs w:val="18"/>
              </w:rPr>
              <w:t>Patrimonio</w:t>
            </w:r>
          </w:p>
        </w:tc>
        <w:tc>
          <w:tcPr>
            <w:tcW w:w="995"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31.845</w:t>
            </w:r>
          </w:p>
        </w:tc>
        <w:tc>
          <w:tcPr>
            <w:tcW w:w="1123"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39.037</w:t>
            </w:r>
          </w:p>
        </w:tc>
        <w:tc>
          <w:tcPr>
            <w:tcW w:w="995"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30.490</w:t>
            </w:r>
          </w:p>
        </w:tc>
        <w:tc>
          <w:tcPr>
            <w:tcW w:w="995" w:type="dxa"/>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 xml:space="preserve">39.037 </w:t>
            </w:r>
          </w:p>
        </w:tc>
        <w:tc>
          <w:tcPr>
            <w:tcW w:w="842"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23</w:t>
            </w:r>
          </w:p>
        </w:tc>
        <w:tc>
          <w:tcPr>
            <w:tcW w:w="515" w:type="dxa"/>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28</w:t>
            </w:r>
          </w:p>
        </w:tc>
      </w:tr>
      <w:tr w:rsidR="00B01865" w:rsidRPr="009226CD" w:rsidTr="00AE6149">
        <w:trPr>
          <w:trHeight w:val="198"/>
          <w:jc w:val="center"/>
        </w:trPr>
        <w:tc>
          <w:tcPr>
            <w:tcW w:w="3371" w:type="dxa"/>
            <w:noWrap/>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sidRPr="009226CD">
              <w:rPr>
                <w:rFonts w:ascii="Arial Narrow" w:hAnsi="Arial Narrow" w:cs="Arial"/>
                <w:spacing w:val="6"/>
                <w:sz w:val="18"/>
                <w:szCs w:val="18"/>
              </w:rPr>
              <w:t>Sucesiones y donaciones</w:t>
            </w:r>
          </w:p>
        </w:tc>
        <w:tc>
          <w:tcPr>
            <w:tcW w:w="995"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43.051</w:t>
            </w:r>
          </w:p>
        </w:tc>
        <w:tc>
          <w:tcPr>
            <w:tcW w:w="1123"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45.772</w:t>
            </w:r>
          </w:p>
        </w:tc>
        <w:tc>
          <w:tcPr>
            <w:tcW w:w="995" w:type="dxa"/>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43.051</w:t>
            </w:r>
          </w:p>
        </w:tc>
        <w:tc>
          <w:tcPr>
            <w:tcW w:w="995" w:type="dxa"/>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 xml:space="preserve">43.402 </w:t>
            </w:r>
          </w:p>
        </w:tc>
        <w:tc>
          <w:tcPr>
            <w:tcW w:w="842"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6</w:t>
            </w:r>
          </w:p>
        </w:tc>
        <w:tc>
          <w:tcPr>
            <w:tcW w:w="515" w:type="dxa"/>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w:t>
            </w:r>
          </w:p>
        </w:tc>
      </w:tr>
      <w:tr w:rsidR="00B01865" w:rsidRPr="009226CD" w:rsidTr="00AE6149">
        <w:trPr>
          <w:trHeight w:val="198"/>
          <w:jc w:val="center"/>
        </w:trPr>
        <w:tc>
          <w:tcPr>
            <w:tcW w:w="3371" w:type="dxa"/>
            <w:noWrap/>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sidRPr="009226CD">
              <w:rPr>
                <w:rFonts w:ascii="Arial Narrow" w:hAnsi="Arial Narrow" w:cs="Arial"/>
                <w:spacing w:val="6"/>
                <w:sz w:val="18"/>
                <w:szCs w:val="18"/>
              </w:rPr>
              <w:t>Sobre depósitos bancarios</w:t>
            </w:r>
          </w:p>
        </w:tc>
        <w:tc>
          <w:tcPr>
            <w:tcW w:w="995"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3.118</w:t>
            </w:r>
          </w:p>
        </w:tc>
        <w:tc>
          <w:tcPr>
            <w:tcW w:w="1123"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4.902</w:t>
            </w:r>
          </w:p>
        </w:tc>
        <w:tc>
          <w:tcPr>
            <w:tcW w:w="995"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3.116</w:t>
            </w:r>
          </w:p>
        </w:tc>
        <w:tc>
          <w:tcPr>
            <w:tcW w:w="995" w:type="dxa"/>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 xml:space="preserve">4.902 </w:t>
            </w:r>
          </w:p>
        </w:tc>
        <w:tc>
          <w:tcPr>
            <w:tcW w:w="842"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57</w:t>
            </w:r>
          </w:p>
        </w:tc>
        <w:tc>
          <w:tcPr>
            <w:tcW w:w="515" w:type="dxa"/>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57</w:t>
            </w:r>
          </w:p>
        </w:tc>
      </w:tr>
      <w:tr w:rsidR="00B01865" w:rsidRPr="009226CD" w:rsidTr="00AE6149">
        <w:trPr>
          <w:trHeight w:val="198"/>
          <w:jc w:val="center"/>
        </w:trPr>
        <w:tc>
          <w:tcPr>
            <w:tcW w:w="3371" w:type="dxa"/>
            <w:noWrap/>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sidRPr="009226CD">
              <w:rPr>
                <w:rFonts w:ascii="Arial Narrow" w:hAnsi="Arial Narrow" w:cs="Arial"/>
                <w:spacing w:val="6"/>
                <w:sz w:val="18"/>
                <w:szCs w:val="18"/>
              </w:rPr>
              <w:t>Sobre producción energía</w:t>
            </w:r>
          </w:p>
        </w:tc>
        <w:tc>
          <w:tcPr>
            <w:tcW w:w="995"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22.119</w:t>
            </w:r>
          </w:p>
        </w:tc>
        <w:tc>
          <w:tcPr>
            <w:tcW w:w="1123"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30.336</w:t>
            </w:r>
          </w:p>
        </w:tc>
        <w:tc>
          <w:tcPr>
            <w:tcW w:w="995"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21.794</w:t>
            </w:r>
          </w:p>
        </w:tc>
        <w:tc>
          <w:tcPr>
            <w:tcW w:w="995" w:type="dxa"/>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 xml:space="preserve">28.178 </w:t>
            </w:r>
          </w:p>
        </w:tc>
        <w:tc>
          <w:tcPr>
            <w:tcW w:w="842"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37</w:t>
            </w:r>
          </w:p>
        </w:tc>
        <w:tc>
          <w:tcPr>
            <w:tcW w:w="515" w:type="dxa"/>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29</w:t>
            </w:r>
          </w:p>
        </w:tc>
      </w:tr>
      <w:tr w:rsidR="00B01865" w:rsidRPr="009226CD" w:rsidTr="00AE6149">
        <w:trPr>
          <w:trHeight w:val="198"/>
          <w:jc w:val="center"/>
        </w:trPr>
        <w:tc>
          <w:tcPr>
            <w:tcW w:w="3371" w:type="dxa"/>
            <w:noWrap/>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sidRPr="009226CD">
              <w:rPr>
                <w:rFonts w:ascii="Arial Narrow" w:hAnsi="Arial Narrow" w:cs="Arial"/>
                <w:spacing w:val="6"/>
                <w:sz w:val="18"/>
                <w:szCs w:val="18"/>
              </w:rPr>
              <w:t>Grandes establecimientos comerciales</w:t>
            </w:r>
          </w:p>
        </w:tc>
        <w:tc>
          <w:tcPr>
            <w:tcW w:w="995"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3.302</w:t>
            </w:r>
          </w:p>
        </w:tc>
        <w:tc>
          <w:tcPr>
            <w:tcW w:w="1123"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-5</w:t>
            </w:r>
          </w:p>
        </w:tc>
        <w:tc>
          <w:tcPr>
            <w:tcW w:w="995"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3.113</w:t>
            </w:r>
          </w:p>
        </w:tc>
        <w:tc>
          <w:tcPr>
            <w:tcW w:w="995" w:type="dxa"/>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5-</w:t>
            </w:r>
          </w:p>
        </w:tc>
        <w:tc>
          <w:tcPr>
            <w:tcW w:w="842"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-100</w:t>
            </w:r>
          </w:p>
        </w:tc>
        <w:tc>
          <w:tcPr>
            <w:tcW w:w="515" w:type="dxa"/>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-100</w:t>
            </w:r>
          </w:p>
        </w:tc>
      </w:tr>
      <w:tr w:rsidR="00B01865" w:rsidRPr="009226CD" w:rsidTr="00AE6149">
        <w:trPr>
          <w:trHeight w:val="198"/>
          <w:jc w:val="center"/>
        </w:trPr>
        <w:tc>
          <w:tcPr>
            <w:tcW w:w="3371" w:type="dxa"/>
            <w:noWrap/>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sidRPr="009226CD">
              <w:rPr>
                <w:rFonts w:ascii="Arial Narrow" w:hAnsi="Arial Narrow" w:cs="Arial"/>
                <w:spacing w:val="6"/>
                <w:sz w:val="18"/>
                <w:szCs w:val="18"/>
              </w:rPr>
              <w:t>Premios loterías y apuestas</w:t>
            </w:r>
          </w:p>
        </w:tc>
        <w:tc>
          <w:tcPr>
            <w:tcW w:w="995"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4.940</w:t>
            </w:r>
          </w:p>
        </w:tc>
        <w:tc>
          <w:tcPr>
            <w:tcW w:w="1123"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13.316</w:t>
            </w:r>
          </w:p>
        </w:tc>
        <w:tc>
          <w:tcPr>
            <w:tcW w:w="995"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4.940</w:t>
            </w:r>
          </w:p>
        </w:tc>
        <w:tc>
          <w:tcPr>
            <w:tcW w:w="995" w:type="dxa"/>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 xml:space="preserve">13.316 </w:t>
            </w:r>
          </w:p>
        </w:tc>
        <w:tc>
          <w:tcPr>
            <w:tcW w:w="842" w:type="dxa"/>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170</w:t>
            </w:r>
          </w:p>
        </w:tc>
        <w:tc>
          <w:tcPr>
            <w:tcW w:w="515" w:type="dxa"/>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170</w:t>
            </w:r>
          </w:p>
        </w:tc>
      </w:tr>
      <w:tr w:rsidR="00B01865" w:rsidRPr="00B01865" w:rsidTr="009226CD">
        <w:trPr>
          <w:trHeight w:val="255"/>
          <w:jc w:val="center"/>
        </w:trPr>
        <w:tc>
          <w:tcPr>
            <w:tcW w:w="3371" w:type="dxa"/>
            <w:tcBorders>
              <w:bottom w:val="single" w:sz="4" w:space="0" w:color="auto"/>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b/>
                <w:spacing w:val="6"/>
                <w:sz w:val="16"/>
                <w:szCs w:val="16"/>
              </w:rPr>
            </w:pPr>
            <w:r w:rsidRPr="00B01865">
              <w:rPr>
                <w:rFonts w:ascii="Arial" w:hAnsi="Arial" w:cs="Arial"/>
                <w:b/>
                <w:spacing w:val="6"/>
                <w:sz w:val="16"/>
                <w:szCs w:val="16"/>
              </w:rPr>
              <w:t>1. Impuestos directos</w:t>
            </w:r>
          </w:p>
        </w:tc>
        <w:tc>
          <w:tcPr>
            <w:tcW w:w="995" w:type="dxa"/>
            <w:tcBorders>
              <w:bottom w:val="single" w:sz="4"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sidRPr="00B01865">
              <w:rPr>
                <w:rFonts w:ascii="Arial" w:hAnsi="Arial" w:cs="Arial"/>
                <w:b/>
                <w:spacing w:val="6"/>
                <w:sz w:val="16"/>
                <w:szCs w:val="16"/>
              </w:rPr>
              <w:t>1.500.013</w:t>
            </w:r>
            <w:r w:rsidRPr="00B01865">
              <w:rPr>
                <w:rFonts w:ascii="Arial" w:hAnsi="Arial" w:cs="Arial"/>
                <w:b/>
                <w:spacing w:val="6"/>
                <w:sz w:val="16"/>
                <w:szCs w:val="16"/>
              </w:rPr>
              <w:fldChar w:fldCharType="begin"/>
            </w:r>
            <w:r w:rsidRPr="00B01865">
              <w:rPr>
                <w:rFonts w:ascii="Arial" w:hAnsi="Arial" w:cs="Arial"/>
                <w:b/>
                <w:spacing w:val="6"/>
                <w:sz w:val="16"/>
                <w:szCs w:val="16"/>
              </w:rPr>
              <w:instrText xml:space="preserve"> =SUM(ABOVE) </w:instrText>
            </w:r>
            <w:r w:rsidRPr="00B01865">
              <w:rPr>
                <w:rFonts w:ascii="Arial" w:hAnsi="Arial" w:cs="Arial"/>
                <w:b/>
                <w:spacing w:val="6"/>
                <w:sz w:val="16"/>
                <w:szCs w:val="16"/>
              </w:rPr>
              <w:fldChar w:fldCharType="end"/>
            </w:r>
          </w:p>
        </w:tc>
        <w:tc>
          <w:tcPr>
            <w:tcW w:w="1123" w:type="dxa"/>
            <w:tcBorders>
              <w:bottom w:val="single" w:sz="4"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sidRPr="00B01865">
              <w:rPr>
                <w:rFonts w:ascii="Arial" w:hAnsi="Arial" w:cs="Arial"/>
                <w:b/>
                <w:spacing w:val="6"/>
                <w:sz w:val="16"/>
                <w:szCs w:val="16"/>
              </w:rPr>
              <w:t>1.726.012</w:t>
            </w:r>
            <w:r w:rsidRPr="00B01865">
              <w:rPr>
                <w:rFonts w:ascii="Arial" w:hAnsi="Arial" w:cs="Arial"/>
                <w:b/>
                <w:spacing w:val="6"/>
                <w:sz w:val="16"/>
                <w:szCs w:val="16"/>
              </w:rPr>
              <w:fldChar w:fldCharType="begin"/>
            </w:r>
            <w:r w:rsidRPr="00B01865">
              <w:rPr>
                <w:rFonts w:ascii="Arial" w:hAnsi="Arial" w:cs="Arial"/>
                <w:b/>
                <w:spacing w:val="6"/>
                <w:sz w:val="16"/>
                <w:szCs w:val="16"/>
              </w:rPr>
              <w:instrText xml:space="preserve"> =SUM(ABOVE) </w:instrText>
            </w:r>
            <w:r w:rsidRPr="00B01865">
              <w:rPr>
                <w:rFonts w:ascii="Arial" w:hAnsi="Arial" w:cs="Arial"/>
                <w:b/>
                <w:spacing w:val="6"/>
                <w:sz w:val="16"/>
                <w:szCs w:val="16"/>
              </w:rPr>
              <w:fldChar w:fldCharType="end"/>
            </w:r>
          </w:p>
        </w:tc>
        <w:tc>
          <w:tcPr>
            <w:tcW w:w="995" w:type="dxa"/>
            <w:tcBorders>
              <w:bottom w:val="single" w:sz="4"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sidRPr="00B01865">
              <w:rPr>
                <w:rFonts w:ascii="Arial" w:hAnsi="Arial" w:cs="Arial"/>
                <w:b/>
                <w:spacing w:val="6"/>
                <w:sz w:val="16"/>
                <w:szCs w:val="16"/>
              </w:rPr>
              <w:t>1.486.308</w:t>
            </w:r>
          </w:p>
        </w:tc>
        <w:tc>
          <w:tcPr>
            <w:tcW w:w="995" w:type="dxa"/>
            <w:tcBorders>
              <w:bottom w:val="single" w:sz="4"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sidRPr="00B01865">
              <w:rPr>
                <w:rFonts w:ascii="Arial" w:hAnsi="Arial" w:cs="Arial"/>
                <w:b/>
                <w:spacing w:val="6"/>
                <w:sz w:val="16"/>
                <w:szCs w:val="16"/>
              </w:rPr>
              <w:t xml:space="preserve">1.673.671 </w:t>
            </w:r>
          </w:p>
        </w:tc>
        <w:tc>
          <w:tcPr>
            <w:tcW w:w="842" w:type="dxa"/>
            <w:tcBorders>
              <w:bottom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sidRPr="00B01865">
              <w:rPr>
                <w:rFonts w:ascii="Arial" w:hAnsi="Arial" w:cs="Arial"/>
                <w:b/>
                <w:spacing w:val="6"/>
                <w:sz w:val="16"/>
                <w:szCs w:val="16"/>
              </w:rPr>
              <w:t>15</w:t>
            </w:r>
          </w:p>
        </w:tc>
        <w:tc>
          <w:tcPr>
            <w:tcW w:w="515" w:type="dxa"/>
            <w:tcBorders>
              <w:bottom w:val="single" w:sz="4" w:space="0" w:color="auto"/>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sidRPr="00B01865">
              <w:rPr>
                <w:rFonts w:ascii="Arial" w:hAnsi="Arial" w:cs="Arial"/>
                <w:b/>
                <w:spacing w:val="6"/>
                <w:sz w:val="16"/>
                <w:szCs w:val="16"/>
              </w:rPr>
              <w:t>13</w:t>
            </w:r>
          </w:p>
        </w:tc>
      </w:tr>
      <w:tr w:rsidR="00B01865" w:rsidRPr="009226CD" w:rsidTr="009226CD">
        <w:trPr>
          <w:trHeight w:val="198"/>
          <w:jc w:val="center"/>
        </w:trPr>
        <w:tc>
          <w:tcPr>
            <w:tcW w:w="3371" w:type="dxa"/>
            <w:tcBorders>
              <w:bottom w:val="single" w:sz="2" w:space="0" w:color="auto"/>
            </w:tcBorders>
            <w:noWrap/>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sidRPr="009226CD">
              <w:rPr>
                <w:rFonts w:ascii="Arial Narrow" w:hAnsi="Arial Narrow" w:cs="Arial"/>
                <w:spacing w:val="6"/>
                <w:sz w:val="18"/>
                <w:szCs w:val="18"/>
              </w:rPr>
              <w:t>IVA</w:t>
            </w:r>
          </w:p>
        </w:tc>
        <w:tc>
          <w:tcPr>
            <w:tcW w:w="995" w:type="dxa"/>
            <w:tcBorders>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1.221.862</w:t>
            </w:r>
          </w:p>
        </w:tc>
        <w:tc>
          <w:tcPr>
            <w:tcW w:w="1123" w:type="dxa"/>
            <w:tcBorders>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1.306.836</w:t>
            </w:r>
          </w:p>
        </w:tc>
        <w:tc>
          <w:tcPr>
            <w:tcW w:w="995" w:type="dxa"/>
            <w:tcBorders>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1.171.814</w:t>
            </w:r>
          </w:p>
        </w:tc>
        <w:tc>
          <w:tcPr>
            <w:tcW w:w="995" w:type="dxa"/>
            <w:tcBorders>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1.306.836</w:t>
            </w:r>
          </w:p>
        </w:tc>
        <w:tc>
          <w:tcPr>
            <w:tcW w:w="842" w:type="dxa"/>
            <w:tcBorders>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7</w:t>
            </w:r>
          </w:p>
        </w:tc>
        <w:tc>
          <w:tcPr>
            <w:tcW w:w="515" w:type="dxa"/>
            <w:tcBorders>
              <w:bottom w:val="single" w:sz="2" w:space="0" w:color="auto"/>
            </w:tcBorders>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12</w:t>
            </w:r>
          </w:p>
        </w:tc>
      </w:tr>
      <w:tr w:rsidR="00B01865" w:rsidRPr="009226CD" w:rsidTr="009226CD">
        <w:trPr>
          <w:trHeight w:val="198"/>
          <w:jc w:val="center"/>
        </w:trPr>
        <w:tc>
          <w:tcPr>
            <w:tcW w:w="3371" w:type="dxa"/>
            <w:tcBorders>
              <w:top w:val="single" w:sz="2" w:space="0" w:color="auto"/>
              <w:bottom w:val="single" w:sz="2" w:space="0" w:color="auto"/>
            </w:tcBorders>
            <w:noWrap/>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sidRPr="009226CD">
              <w:rPr>
                <w:rFonts w:ascii="Arial Narrow" w:hAnsi="Arial Narrow" w:cs="Arial"/>
                <w:spacing w:val="6"/>
                <w:sz w:val="18"/>
                <w:szCs w:val="18"/>
              </w:rPr>
              <w:t>Impuestos especiales</w:t>
            </w:r>
          </w:p>
        </w:tc>
        <w:tc>
          <w:tcPr>
            <w:tcW w:w="995"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423.309</w:t>
            </w:r>
          </w:p>
        </w:tc>
        <w:tc>
          <w:tcPr>
            <w:tcW w:w="1123"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552.967</w:t>
            </w:r>
          </w:p>
        </w:tc>
        <w:tc>
          <w:tcPr>
            <w:tcW w:w="995"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422.112</w:t>
            </w:r>
          </w:p>
        </w:tc>
        <w:tc>
          <w:tcPr>
            <w:tcW w:w="995"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552.326</w:t>
            </w:r>
          </w:p>
        </w:tc>
        <w:tc>
          <w:tcPr>
            <w:tcW w:w="842"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31</w:t>
            </w:r>
          </w:p>
        </w:tc>
        <w:tc>
          <w:tcPr>
            <w:tcW w:w="515" w:type="dxa"/>
            <w:tcBorders>
              <w:top w:val="single" w:sz="2" w:space="0" w:color="auto"/>
              <w:bottom w:val="single" w:sz="2" w:space="0" w:color="auto"/>
            </w:tcBorders>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31</w:t>
            </w:r>
          </w:p>
        </w:tc>
      </w:tr>
      <w:tr w:rsidR="00B01865" w:rsidRPr="009226CD" w:rsidTr="009226CD">
        <w:trPr>
          <w:trHeight w:val="198"/>
          <w:jc w:val="center"/>
        </w:trPr>
        <w:tc>
          <w:tcPr>
            <w:tcW w:w="3371" w:type="dxa"/>
            <w:tcBorders>
              <w:top w:val="single" w:sz="2" w:space="0" w:color="auto"/>
              <w:bottom w:val="single" w:sz="2" w:space="0" w:color="auto"/>
            </w:tcBorders>
            <w:noWrap/>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sidRPr="009226CD">
              <w:rPr>
                <w:rFonts w:ascii="Arial Narrow" w:hAnsi="Arial Narrow" w:cs="Arial"/>
                <w:spacing w:val="6"/>
                <w:sz w:val="18"/>
                <w:szCs w:val="18"/>
              </w:rPr>
              <w:t>Otros impuestos sobre consumos específicos</w:t>
            </w:r>
          </w:p>
        </w:tc>
        <w:tc>
          <w:tcPr>
            <w:tcW w:w="995"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-9.364</w:t>
            </w:r>
          </w:p>
        </w:tc>
        <w:tc>
          <w:tcPr>
            <w:tcW w:w="1123"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-5.990</w:t>
            </w:r>
          </w:p>
        </w:tc>
        <w:tc>
          <w:tcPr>
            <w:tcW w:w="995"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-5.544</w:t>
            </w:r>
          </w:p>
        </w:tc>
        <w:tc>
          <w:tcPr>
            <w:tcW w:w="995"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-5.990</w:t>
            </w:r>
          </w:p>
        </w:tc>
        <w:tc>
          <w:tcPr>
            <w:tcW w:w="842"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-36</w:t>
            </w:r>
          </w:p>
        </w:tc>
        <w:tc>
          <w:tcPr>
            <w:tcW w:w="515" w:type="dxa"/>
            <w:tcBorders>
              <w:top w:val="single" w:sz="2" w:space="0" w:color="auto"/>
              <w:bottom w:val="single" w:sz="2" w:space="0" w:color="auto"/>
            </w:tcBorders>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8</w:t>
            </w:r>
          </w:p>
        </w:tc>
      </w:tr>
      <w:tr w:rsidR="00B01865" w:rsidRPr="009226CD" w:rsidTr="009226CD">
        <w:trPr>
          <w:trHeight w:val="198"/>
          <w:jc w:val="center"/>
        </w:trPr>
        <w:tc>
          <w:tcPr>
            <w:tcW w:w="3371" w:type="dxa"/>
            <w:tcBorders>
              <w:top w:val="single" w:sz="2" w:space="0" w:color="auto"/>
              <w:bottom w:val="single" w:sz="2" w:space="0" w:color="auto"/>
            </w:tcBorders>
            <w:noWrap/>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sidRPr="009226CD">
              <w:rPr>
                <w:rFonts w:ascii="Arial Narrow" w:hAnsi="Arial Narrow" w:cs="Arial"/>
                <w:spacing w:val="6"/>
                <w:sz w:val="18"/>
                <w:szCs w:val="18"/>
              </w:rPr>
              <w:t>Impuesto sobre las primas de seguros</w:t>
            </w:r>
          </w:p>
        </w:tc>
        <w:tc>
          <w:tcPr>
            <w:tcW w:w="995"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19.715</w:t>
            </w:r>
          </w:p>
        </w:tc>
        <w:tc>
          <w:tcPr>
            <w:tcW w:w="1123"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20.800</w:t>
            </w:r>
          </w:p>
        </w:tc>
        <w:tc>
          <w:tcPr>
            <w:tcW w:w="995"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19.715</w:t>
            </w:r>
          </w:p>
        </w:tc>
        <w:tc>
          <w:tcPr>
            <w:tcW w:w="995"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20.579</w:t>
            </w:r>
          </w:p>
        </w:tc>
        <w:tc>
          <w:tcPr>
            <w:tcW w:w="842"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6</w:t>
            </w:r>
          </w:p>
        </w:tc>
        <w:tc>
          <w:tcPr>
            <w:tcW w:w="515" w:type="dxa"/>
            <w:tcBorders>
              <w:top w:val="single" w:sz="2" w:space="0" w:color="auto"/>
              <w:bottom w:val="single" w:sz="2" w:space="0" w:color="auto"/>
            </w:tcBorders>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4</w:t>
            </w:r>
          </w:p>
        </w:tc>
      </w:tr>
      <w:tr w:rsidR="00B01865" w:rsidRPr="009226CD" w:rsidTr="009226CD">
        <w:trPr>
          <w:trHeight w:val="198"/>
          <w:jc w:val="center"/>
        </w:trPr>
        <w:tc>
          <w:tcPr>
            <w:tcW w:w="3371" w:type="dxa"/>
            <w:tcBorders>
              <w:top w:val="single" w:sz="2" w:space="0" w:color="auto"/>
              <w:bottom w:val="single" w:sz="2" w:space="0" w:color="auto"/>
            </w:tcBorders>
            <w:noWrap/>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sidRPr="009226CD">
              <w:rPr>
                <w:rFonts w:ascii="Arial Narrow" w:hAnsi="Arial Narrow" w:cs="Arial"/>
                <w:spacing w:val="6"/>
                <w:sz w:val="18"/>
                <w:szCs w:val="18"/>
              </w:rPr>
              <w:t>Transmisiones patrimoniales</w:t>
            </w:r>
          </w:p>
        </w:tc>
        <w:tc>
          <w:tcPr>
            <w:tcW w:w="995"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37.056</w:t>
            </w:r>
          </w:p>
        </w:tc>
        <w:tc>
          <w:tcPr>
            <w:tcW w:w="1123"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47.952</w:t>
            </w:r>
          </w:p>
        </w:tc>
        <w:tc>
          <w:tcPr>
            <w:tcW w:w="995"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37.056</w:t>
            </w:r>
          </w:p>
        </w:tc>
        <w:tc>
          <w:tcPr>
            <w:tcW w:w="995"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47.282</w:t>
            </w:r>
          </w:p>
        </w:tc>
        <w:tc>
          <w:tcPr>
            <w:tcW w:w="842"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29</w:t>
            </w:r>
          </w:p>
        </w:tc>
        <w:tc>
          <w:tcPr>
            <w:tcW w:w="515" w:type="dxa"/>
            <w:tcBorders>
              <w:top w:val="single" w:sz="2" w:space="0" w:color="auto"/>
              <w:bottom w:val="single" w:sz="2" w:space="0" w:color="auto"/>
            </w:tcBorders>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28</w:t>
            </w:r>
          </w:p>
        </w:tc>
      </w:tr>
      <w:tr w:rsidR="00B01865" w:rsidRPr="009226CD" w:rsidTr="009226CD">
        <w:trPr>
          <w:trHeight w:val="198"/>
          <w:jc w:val="center"/>
        </w:trPr>
        <w:tc>
          <w:tcPr>
            <w:tcW w:w="3371" w:type="dxa"/>
            <w:tcBorders>
              <w:top w:val="single" w:sz="2" w:space="0" w:color="auto"/>
              <w:bottom w:val="single" w:sz="2" w:space="0" w:color="auto"/>
            </w:tcBorders>
            <w:noWrap/>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sidRPr="009226CD">
              <w:rPr>
                <w:rFonts w:ascii="Arial Narrow" w:hAnsi="Arial Narrow" w:cs="Arial"/>
                <w:spacing w:val="6"/>
                <w:sz w:val="18"/>
                <w:szCs w:val="18"/>
              </w:rPr>
              <w:t>Actos jurídicos documentados</w:t>
            </w:r>
          </w:p>
        </w:tc>
        <w:tc>
          <w:tcPr>
            <w:tcW w:w="995"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11.741</w:t>
            </w:r>
          </w:p>
        </w:tc>
        <w:tc>
          <w:tcPr>
            <w:tcW w:w="1123"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6.553</w:t>
            </w:r>
          </w:p>
        </w:tc>
        <w:tc>
          <w:tcPr>
            <w:tcW w:w="995"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11.741</w:t>
            </w:r>
          </w:p>
        </w:tc>
        <w:tc>
          <w:tcPr>
            <w:tcW w:w="995" w:type="dxa"/>
            <w:tcBorders>
              <w:top w:val="single" w:sz="2" w:space="0" w:color="auto"/>
              <w:bottom w:val="single" w:sz="2" w:space="0" w:color="auto"/>
            </w:tcBorders>
            <w:vAlign w:val="center"/>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6.554</w:t>
            </w:r>
          </w:p>
        </w:tc>
        <w:tc>
          <w:tcPr>
            <w:tcW w:w="842"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-44</w:t>
            </w:r>
          </w:p>
        </w:tc>
        <w:tc>
          <w:tcPr>
            <w:tcW w:w="515" w:type="dxa"/>
            <w:tcBorders>
              <w:top w:val="single" w:sz="2" w:space="0" w:color="auto"/>
              <w:bottom w:val="single" w:sz="2" w:space="0" w:color="auto"/>
            </w:tcBorders>
            <w:vAlign w:val="bottom"/>
            <w:hideMark/>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-44</w:t>
            </w:r>
          </w:p>
        </w:tc>
      </w:tr>
      <w:tr w:rsidR="00B01865" w:rsidRPr="009226CD" w:rsidTr="009226CD">
        <w:trPr>
          <w:trHeight w:val="198"/>
          <w:jc w:val="center"/>
        </w:trPr>
        <w:tc>
          <w:tcPr>
            <w:tcW w:w="3371" w:type="dxa"/>
            <w:tcBorders>
              <w:top w:val="single" w:sz="2" w:space="0" w:color="auto"/>
              <w:bottom w:val="single" w:sz="2" w:space="0" w:color="auto"/>
            </w:tcBorders>
            <w:noWrap/>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sidRPr="009226CD">
              <w:rPr>
                <w:rFonts w:ascii="Arial Narrow" w:hAnsi="Arial Narrow" w:cs="Arial"/>
                <w:spacing w:val="6"/>
                <w:sz w:val="18"/>
                <w:szCs w:val="18"/>
              </w:rPr>
              <w:t>Actividades del juego</w:t>
            </w:r>
          </w:p>
        </w:tc>
        <w:tc>
          <w:tcPr>
            <w:tcW w:w="995"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1.556</w:t>
            </w:r>
          </w:p>
        </w:tc>
        <w:tc>
          <w:tcPr>
            <w:tcW w:w="1123"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2.046</w:t>
            </w:r>
          </w:p>
        </w:tc>
        <w:tc>
          <w:tcPr>
            <w:tcW w:w="995"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1.556</w:t>
            </w:r>
          </w:p>
        </w:tc>
        <w:tc>
          <w:tcPr>
            <w:tcW w:w="995"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1.920</w:t>
            </w:r>
          </w:p>
        </w:tc>
        <w:tc>
          <w:tcPr>
            <w:tcW w:w="842" w:type="dxa"/>
            <w:tcBorders>
              <w:top w:val="single" w:sz="2" w:space="0" w:color="auto"/>
              <w:bottom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31</w:t>
            </w:r>
          </w:p>
        </w:tc>
        <w:tc>
          <w:tcPr>
            <w:tcW w:w="515" w:type="dxa"/>
            <w:tcBorders>
              <w:top w:val="single" w:sz="2" w:space="0" w:color="auto"/>
              <w:bottom w:val="single" w:sz="2" w:space="0" w:color="auto"/>
            </w:tcBorders>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23</w:t>
            </w:r>
          </w:p>
        </w:tc>
      </w:tr>
      <w:tr w:rsidR="00B01865" w:rsidRPr="009226CD" w:rsidTr="009226CD">
        <w:trPr>
          <w:trHeight w:val="198"/>
          <w:jc w:val="center"/>
        </w:trPr>
        <w:tc>
          <w:tcPr>
            <w:tcW w:w="3371" w:type="dxa"/>
            <w:tcBorders>
              <w:top w:val="single" w:sz="2" w:space="0" w:color="auto"/>
            </w:tcBorders>
            <w:noWrap/>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cs="Arial"/>
                <w:spacing w:val="6"/>
                <w:sz w:val="18"/>
                <w:szCs w:val="18"/>
              </w:rPr>
            </w:pPr>
            <w:r w:rsidRPr="009226CD">
              <w:rPr>
                <w:rFonts w:ascii="Arial Narrow" w:hAnsi="Arial Narrow" w:cs="Arial"/>
                <w:spacing w:val="6"/>
                <w:sz w:val="18"/>
                <w:szCs w:val="18"/>
              </w:rPr>
              <w:t xml:space="preserve">Gases </w:t>
            </w:r>
            <w:proofErr w:type="spellStart"/>
            <w:r w:rsidRPr="009226CD">
              <w:rPr>
                <w:rFonts w:ascii="Arial Narrow" w:hAnsi="Arial Narrow" w:cs="Arial"/>
                <w:spacing w:val="6"/>
                <w:sz w:val="18"/>
                <w:szCs w:val="18"/>
              </w:rPr>
              <w:t>fluorados</w:t>
            </w:r>
            <w:proofErr w:type="spellEnd"/>
            <w:r w:rsidRPr="009226CD">
              <w:rPr>
                <w:rFonts w:ascii="Arial Narrow" w:hAnsi="Arial Narrow" w:cs="Arial"/>
                <w:spacing w:val="6"/>
                <w:sz w:val="18"/>
                <w:szCs w:val="18"/>
              </w:rPr>
              <w:t xml:space="preserve"> efecto invernadero</w:t>
            </w:r>
          </w:p>
        </w:tc>
        <w:tc>
          <w:tcPr>
            <w:tcW w:w="995" w:type="dxa"/>
            <w:tcBorders>
              <w:top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992</w:t>
            </w:r>
          </w:p>
        </w:tc>
        <w:tc>
          <w:tcPr>
            <w:tcW w:w="1123" w:type="dxa"/>
            <w:tcBorders>
              <w:top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1.228</w:t>
            </w:r>
          </w:p>
        </w:tc>
        <w:tc>
          <w:tcPr>
            <w:tcW w:w="995" w:type="dxa"/>
            <w:tcBorders>
              <w:top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928</w:t>
            </w:r>
          </w:p>
        </w:tc>
        <w:tc>
          <w:tcPr>
            <w:tcW w:w="995" w:type="dxa"/>
            <w:tcBorders>
              <w:top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1.229</w:t>
            </w:r>
          </w:p>
        </w:tc>
        <w:tc>
          <w:tcPr>
            <w:tcW w:w="842" w:type="dxa"/>
            <w:tcBorders>
              <w:top w:val="single" w:sz="2" w:space="0" w:color="auto"/>
            </w:tcBorders>
            <w:vAlign w:val="center"/>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24</w:t>
            </w:r>
          </w:p>
        </w:tc>
        <w:tc>
          <w:tcPr>
            <w:tcW w:w="515" w:type="dxa"/>
            <w:tcBorders>
              <w:top w:val="single" w:sz="2" w:space="0" w:color="auto"/>
            </w:tcBorders>
            <w:vAlign w:val="bottom"/>
          </w:tcPr>
          <w:p w:rsidR="00B01865" w:rsidRPr="009226CD"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sz w:val="18"/>
                <w:szCs w:val="18"/>
              </w:rPr>
            </w:pPr>
            <w:r w:rsidRPr="009226CD">
              <w:rPr>
                <w:rFonts w:ascii="Arial Narrow" w:hAnsi="Arial Narrow" w:cs="Arial"/>
                <w:spacing w:val="6"/>
                <w:sz w:val="18"/>
                <w:szCs w:val="18"/>
              </w:rPr>
              <w:t>32</w:t>
            </w:r>
          </w:p>
        </w:tc>
      </w:tr>
      <w:tr w:rsidR="00B01865" w:rsidRPr="00B01865" w:rsidTr="00AE6149">
        <w:trPr>
          <w:trHeight w:val="255"/>
          <w:jc w:val="center"/>
        </w:trPr>
        <w:tc>
          <w:tcPr>
            <w:tcW w:w="3371" w:type="dxa"/>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b/>
                <w:spacing w:val="6"/>
                <w:sz w:val="16"/>
                <w:szCs w:val="16"/>
              </w:rPr>
            </w:pPr>
            <w:r w:rsidRPr="00B01865">
              <w:rPr>
                <w:rFonts w:ascii="Arial" w:hAnsi="Arial" w:cs="Arial"/>
                <w:b/>
                <w:spacing w:val="6"/>
                <w:sz w:val="16"/>
                <w:szCs w:val="16"/>
              </w:rPr>
              <w:t>2. Impuestos indirectos</w:t>
            </w:r>
          </w:p>
        </w:tc>
        <w:tc>
          <w:tcPr>
            <w:tcW w:w="995" w:type="dxa"/>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sidRPr="00B01865">
              <w:rPr>
                <w:rFonts w:ascii="Arial" w:hAnsi="Arial" w:cs="Arial"/>
                <w:b/>
                <w:spacing w:val="6"/>
                <w:sz w:val="16"/>
                <w:szCs w:val="16"/>
              </w:rPr>
              <w:t>1.706.868</w:t>
            </w:r>
            <w:r w:rsidRPr="00B01865">
              <w:rPr>
                <w:rFonts w:ascii="Arial" w:hAnsi="Arial" w:cs="Arial"/>
                <w:b/>
                <w:spacing w:val="6"/>
                <w:sz w:val="16"/>
                <w:szCs w:val="16"/>
              </w:rPr>
              <w:fldChar w:fldCharType="begin"/>
            </w:r>
            <w:r w:rsidRPr="00B01865">
              <w:rPr>
                <w:rFonts w:ascii="Arial" w:hAnsi="Arial" w:cs="Arial"/>
                <w:b/>
                <w:spacing w:val="6"/>
                <w:sz w:val="16"/>
                <w:szCs w:val="16"/>
              </w:rPr>
              <w:instrText xml:space="preserve"> =SUM(ABOVE) </w:instrText>
            </w:r>
            <w:r w:rsidRPr="00B01865">
              <w:rPr>
                <w:rFonts w:ascii="Arial" w:hAnsi="Arial" w:cs="Arial"/>
                <w:b/>
                <w:spacing w:val="6"/>
                <w:sz w:val="16"/>
                <w:szCs w:val="16"/>
              </w:rPr>
              <w:fldChar w:fldCharType="end"/>
            </w:r>
          </w:p>
        </w:tc>
        <w:tc>
          <w:tcPr>
            <w:tcW w:w="1123" w:type="dxa"/>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sidRPr="00B01865">
              <w:rPr>
                <w:rFonts w:ascii="Arial" w:hAnsi="Arial" w:cs="Arial"/>
                <w:b/>
                <w:spacing w:val="6"/>
                <w:sz w:val="16"/>
                <w:szCs w:val="16"/>
              </w:rPr>
              <w:t>1.932.392</w:t>
            </w:r>
          </w:p>
        </w:tc>
        <w:tc>
          <w:tcPr>
            <w:tcW w:w="995" w:type="dxa"/>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sidRPr="00B01865">
              <w:rPr>
                <w:rFonts w:ascii="Arial" w:hAnsi="Arial" w:cs="Arial"/>
                <w:b/>
                <w:spacing w:val="6"/>
                <w:sz w:val="16"/>
                <w:szCs w:val="16"/>
              </w:rPr>
              <w:t>1.659.378</w:t>
            </w:r>
          </w:p>
        </w:tc>
        <w:tc>
          <w:tcPr>
            <w:tcW w:w="995" w:type="dxa"/>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sidRPr="00B01865">
              <w:rPr>
                <w:rFonts w:ascii="Arial" w:hAnsi="Arial" w:cs="Arial"/>
                <w:b/>
                <w:spacing w:val="6"/>
                <w:sz w:val="16"/>
                <w:szCs w:val="16"/>
              </w:rPr>
              <w:t>1.930.736</w:t>
            </w:r>
          </w:p>
        </w:tc>
        <w:tc>
          <w:tcPr>
            <w:tcW w:w="842" w:type="dxa"/>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sidRPr="00B01865">
              <w:rPr>
                <w:rFonts w:ascii="Arial" w:hAnsi="Arial" w:cs="Arial"/>
                <w:b/>
                <w:spacing w:val="6"/>
                <w:sz w:val="16"/>
                <w:szCs w:val="16"/>
              </w:rPr>
              <w:t>13</w:t>
            </w:r>
          </w:p>
        </w:tc>
        <w:tc>
          <w:tcPr>
            <w:tcW w:w="515" w:type="dxa"/>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6"/>
                <w:szCs w:val="16"/>
              </w:rPr>
            </w:pPr>
            <w:r w:rsidRPr="00B01865">
              <w:rPr>
                <w:rFonts w:ascii="Arial" w:hAnsi="Arial" w:cs="Arial"/>
                <w:b/>
                <w:spacing w:val="6"/>
                <w:sz w:val="16"/>
                <w:szCs w:val="16"/>
              </w:rPr>
              <w:t>16</w:t>
            </w:r>
          </w:p>
        </w:tc>
      </w:tr>
      <w:tr w:rsidR="00B01865" w:rsidRPr="00B01865" w:rsidTr="00AE6149">
        <w:trPr>
          <w:trHeight w:val="255"/>
          <w:jc w:val="center"/>
        </w:trPr>
        <w:tc>
          <w:tcPr>
            <w:tcW w:w="3371" w:type="dxa"/>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sidRPr="00B01865">
              <w:rPr>
                <w:rFonts w:ascii="Arial" w:hAnsi="Arial" w:cs="Arial"/>
                <w:spacing w:val="6"/>
                <w:sz w:val="16"/>
                <w:szCs w:val="16"/>
              </w:rPr>
              <w:t>Total impuestos</w:t>
            </w:r>
          </w:p>
        </w:tc>
        <w:tc>
          <w:tcPr>
            <w:tcW w:w="995"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3.206.881</w:t>
            </w:r>
          </w:p>
        </w:tc>
        <w:tc>
          <w:tcPr>
            <w:tcW w:w="1123"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3.658.404</w:t>
            </w:r>
          </w:p>
        </w:tc>
        <w:tc>
          <w:tcPr>
            <w:tcW w:w="995"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3.145.686</w:t>
            </w:r>
          </w:p>
        </w:tc>
        <w:tc>
          <w:tcPr>
            <w:tcW w:w="995"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3.604.407</w:t>
            </w:r>
          </w:p>
        </w:tc>
        <w:tc>
          <w:tcPr>
            <w:tcW w:w="842"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14</w:t>
            </w:r>
          </w:p>
        </w:tc>
        <w:tc>
          <w:tcPr>
            <w:tcW w:w="515" w:type="dxa"/>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15</w:t>
            </w:r>
          </w:p>
        </w:tc>
      </w:tr>
    </w:tbl>
    <w:p w:rsidR="00B01865" w:rsidRPr="00B01865" w:rsidRDefault="00B01865" w:rsidP="009226CD">
      <w:pPr>
        <w:pStyle w:val="texto"/>
        <w:spacing w:before="240"/>
        <w:rPr>
          <w:lang w:val="es-ES"/>
        </w:rPr>
      </w:pPr>
      <w:r w:rsidRPr="00B01865">
        <w:rPr>
          <w:lang w:val="es-ES"/>
        </w:rPr>
        <w:t>De su análisis destacamos los siguientes aspectos:</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 xml:space="preserve">En general, la tendencia en los derechos reconocidos por los impuestos es al alza respecto a 2016, a excepción de alguno como el correspondiente a los grandes establecimientos comerciales, que fue derogado por requerimientos de </w:t>
      </w:r>
      <w:r w:rsidRPr="00B01865">
        <w:rPr>
          <w:rFonts w:cs="Arial"/>
          <w:spacing w:val="6"/>
          <w:sz w:val="26"/>
          <w:szCs w:val="24"/>
        </w:rPr>
        <w:lastRenderedPageBreak/>
        <w:t xml:space="preserve">la Comisión Europea reconociéndose derechos negativos, o el relacionado con los actos jurídicos documentados. </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Destacan por su cuantía el IVA con 1.306,84 millones de euros y el IRPF con 1.282,95 millones que suponen el 36 y el 35 por ciento del total respect</w:t>
      </w:r>
      <w:r w:rsidRPr="00B01865">
        <w:rPr>
          <w:rFonts w:cs="Arial"/>
          <w:spacing w:val="6"/>
          <w:sz w:val="26"/>
          <w:szCs w:val="24"/>
        </w:rPr>
        <w:t>i</w:t>
      </w:r>
      <w:r w:rsidRPr="00B01865">
        <w:rPr>
          <w:rFonts w:cs="Arial"/>
          <w:spacing w:val="6"/>
          <w:sz w:val="26"/>
          <w:szCs w:val="24"/>
        </w:rPr>
        <w:t xml:space="preserve">vamente. </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De las tres grandes figuras impositivas, el IVA y el IRPF presentan un cr</w:t>
      </w:r>
      <w:r w:rsidRPr="00B01865">
        <w:rPr>
          <w:rFonts w:cs="Arial"/>
          <w:spacing w:val="6"/>
          <w:sz w:val="26"/>
          <w:szCs w:val="24"/>
        </w:rPr>
        <w:t>e</w:t>
      </w:r>
      <w:r w:rsidRPr="00B01865">
        <w:rPr>
          <w:rFonts w:cs="Arial"/>
          <w:spacing w:val="6"/>
          <w:sz w:val="26"/>
          <w:szCs w:val="24"/>
        </w:rPr>
        <w:t>cimiento del siete (84,97 millones) y del nueve por ciento (102,85 millones) respectivamente motivado en este último caso, entre otros aspectos, por la r</w:t>
      </w:r>
      <w:r w:rsidRPr="00B01865">
        <w:rPr>
          <w:rFonts w:cs="Arial"/>
          <w:spacing w:val="6"/>
          <w:sz w:val="26"/>
          <w:szCs w:val="24"/>
        </w:rPr>
        <w:t>e</w:t>
      </w:r>
      <w:r w:rsidRPr="00B01865">
        <w:rPr>
          <w:rFonts w:cs="Arial"/>
          <w:spacing w:val="6"/>
          <w:sz w:val="26"/>
          <w:szCs w:val="24"/>
        </w:rPr>
        <w:t>forma fiscal; por otra parte, el impuesto sobre sociedades aumenta un 48 por ciento (98,85 millones).</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También destacamos el aumento de los ingresos por los depósitos banc</w:t>
      </w:r>
      <w:r w:rsidRPr="00B01865">
        <w:rPr>
          <w:rFonts w:cs="Arial"/>
          <w:spacing w:val="6"/>
          <w:sz w:val="26"/>
          <w:szCs w:val="24"/>
        </w:rPr>
        <w:t>a</w:t>
      </w:r>
      <w:r w:rsidRPr="00B01865">
        <w:rPr>
          <w:rFonts w:cs="Arial"/>
          <w:spacing w:val="6"/>
          <w:sz w:val="26"/>
          <w:szCs w:val="24"/>
        </w:rPr>
        <w:t>rios y el correspondiente al gravamen sobre el valor de la producción de ene</w:t>
      </w:r>
      <w:r w:rsidRPr="00B01865">
        <w:rPr>
          <w:rFonts w:cs="Arial"/>
          <w:spacing w:val="6"/>
          <w:sz w:val="26"/>
          <w:szCs w:val="24"/>
        </w:rPr>
        <w:t>r</w:t>
      </w:r>
      <w:r w:rsidRPr="00B01865">
        <w:rPr>
          <w:rFonts w:cs="Arial"/>
          <w:spacing w:val="6"/>
          <w:sz w:val="26"/>
          <w:szCs w:val="24"/>
        </w:rPr>
        <w:t>gía eléctrica (1,78 y 8,22 millones más respectivamente).</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Siguen persistiendo los problemas derivados de la falta de una conexión adecuada entre los sistemas contables que motivan que la recaudación neta del sistema de contabilidad SAPGE21 no sea razonable, ya que incluye los cobros originados por derechos del ejercicio actual y de anteriores; además, no clasif</w:t>
      </w:r>
      <w:r w:rsidRPr="00B01865">
        <w:rPr>
          <w:rFonts w:cs="Arial"/>
          <w:spacing w:val="6"/>
          <w:sz w:val="26"/>
          <w:szCs w:val="24"/>
        </w:rPr>
        <w:t>i</w:t>
      </w:r>
      <w:r w:rsidRPr="00B01865">
        <w:rPr>
          <w:rFonts w:cs="Arial"/>
          <w:spacing w:val="6"/>
          <w:sz w:val="26"/>
          <w:szCs w:val="24"/>
        </w:rPr>
        <w:t xml:space="preserve">ca los importes de los cobros entre el principal, los recargos y los intereses. Por este motivo, con la información proporcionada por </w:t>
      </w:r>
      <w:proofErr w:type="spellStart"/>
      <w:r w:rsidRPr="00B01865">
        <w:rPr>
          <w:rFonts w:cs="Arial"/>
          <w:spacing w:val="6"/>
          <w:sz w:val="26"/>
          <w:szCs w:val="24"/>
        </w:rPr>
        <w:t>CATyGT</w:t>
      </w:r>
      <w:proofErr w:type="spellEnd"/>
      <w:r w:rsidRPr="00B01865">
        <w:rPr>
          <w:rFonts w:cs="Arial"/>
          <w:spacing w:val="6"/>
          <w:sz w:val="26"/>
          <w:szCs w:val="24"/>
        </w:rPr>
        <w:t xml:space="preserve"> se realiza una e</w:t>
      </w:r>
      <w:r w:rsidRPr="00B01865">
        <w:rPr>
          <w:rFonts w:cs="Arial"/>
          <w:spacing w:val="6"/>
          <w:sz w:val="26"/>
          <w:szCs w:val="24"/>
        </w:rPr>
        <w:t>s</w:t>
      </w:r>
      <w:r w:rsidRPr="00B01865">
        <w:rPr>
          <w:rFonts w:cs="Arial"/>
          <w:spacing w:val="6"/>
          <w:sz w:val="26"/>
          <w:szCs w:val="24"/>
        </w:rPr>
        <w:t xml:space="preserve">timación de lo que serían cobros de este ejercicio y los que procederían de años anteriores; sobre estos cálculos, desde el Servicio de Contabilidad se realiza otra estimación de lo que supondrían estas cifras. Esta segunda estimación es la que finalmente figura como recaudación neta de cada impuesto. </w:t>
      </w:r>
    </w:p>
    <w:p w:rsidR="00B01865" w:rsidRPr="00B01865" w:rsidRDefault="00B01865" w:rsidP="00FB4933">
      <w:pPr>
        <w:pStyle w:val="texto"/>
      </w:pPr>
      <w:r w:rsidRPr="00B01865">
        <w:t>Teniendo en cuenta lo anterior, la recaudación neta alcanzó los 3.604,41 m</w:t>
      </w:r>
      <w:r w:rsidRPr="00B01865">
        <w:t>i</w:t>
      </w:r>
      <w:r w:rsidRPr="00B01865">
        <w:t>llones superando en un 15 por ciento a la de 2016; los aumentos más signific</w:t>
      </w:r>
      <w:r w:rsidRPr="00B01865">
        <w:t>a</w:t>
      </w:r>
      <w:r w:rsidRPr="00B01865">
        <w:t xml:space="preserve">tivos fueron los correspondientes al IRPF con un seis por ciento (61 millones) y al impuesto sobre la producción de energía eléctrica con un 62 por ciento (ocho millones). </w:t>
      </w:r>
    </w:p>
    <w:p w:rsidR="00B01865" w:rsidRPr="00B01865" w:rsidRDefault="00B01865" w:rsidP="00FB4933">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 xml:space="preserve">En relación con el IVA hay que tener en cuenta si la gestión </w:t>
      </w:r>
      <w:r w:rsidR="00904024">
        <w:rPr>
          <w:rFonts w:cs="Arial"/>
          <w:spacing w:val="6"/>
          <w:sz w:val="26"/>
          <w:szCs w:val="24"/>
        </w:rPr>
        <w:t>corresponde directamente a</w:t>
      </w:r>
      <w:r w:rsidRPr="00B01865">
        <w:rPr>
          <w:rFonts w:cs="Arial"/>
          <w:spacing w:val="6"/>
          <w:sz w:val="26"/>
          <w:szCs w:val="24"/>
        </w:rPr>
        <w:t xml:space="preserve"> Navarra o si se refiere a la que se produce por el Convenio Ec</w:t>
      </w:r>
      <w:r w:rsidRPr="00B01865">
        <w:rPr>
          <w:rFonts w:cs="Arial"/>
          <w:spacing w:val="6"/>
          <w:sz w:val="26"/>
          <w:szCs w:val="24"/>
        </w:rPr>
        <w:t>o</w:t>
      </w:r>
      <w:r w:rsidRPr="00B01865">
        <w:rPr>
          <w:rFonts w:cs="Arial"/>
          <w:spacing w:val="6"/>
          <w:sz w:val="26"/>
          <w:szCs w:val="24"/>
        </w:rPr>
        <w:t>nómico con el Estado. Así, el desglose según el criterio anterior es el siguiente:</w:t>
      </w:r>
    </w:p>
    <w:p w:rsidR="00B01865" w:rsidRPr="00B01865" w:rsidRDefault="00B01865" w:rsidP="00B01865">
      <w:pPr>
        <w:tabs>
          <w:tab w:val="left" w:pos="490"/>
          <w:tab w:val="num" w:pos="4920"/>
        </w:tabs>
        <w:spacing w:after="60"/>
        <w:ind w:left="289" w:firstLine="0"/>
        <w:jc w:val="right"/>
        <w:rPr>
          <w:rFonts w:ascii="Arial" w:hAnsi="Arial"/>
          <w:spacing w:val="6"/>
          <w:sz w:val="17"/>
          <w:szCs w:val="17"/>
          <w:lang w:val="es-ES"/>
        </w:rPr>
      </w:pPr>
      <w:r w:rsidRPr="00B01865">
        <w:rPr>
          <w:rFonts w:ascii="Arial" w:hAnsi="Arial"/>
          <w:spacing w:val="6"/>
          <w:sz w:val="17"/>
          <w:szCs w:val="17"/>
          <w:lang w:val="es-ES"/>
        </w:rPr>
        <w:t>(en miles de euros)</w:t>
      </w:r>
    </w:p>
    <w:tbl>
      <w:tblPr>
        <w:tblW w:w="8836" w:type="dxa"/>
        <w:jc w:val="center"/>
        <w:tblCellMar>
          <w:left w:w="70" w:type="dxa"/>
          <w:right w:w="70" w:type="dxa"/>
        </w:tblCellMar>
        <w:tblLook w:val="0000" w:firstRow="0" w:lastRow="0" w:firstColumn="0" w:lastColumn="0" w:noHBand="0" w:noVBand="0"/>
      </w:tblPr>
      <w:tblGrid>
        <w:gridCol w:w="1624"/>
        <w:gridCol w:w="1200"/>
        <w:gridCol w:w="1197"/>
        <w:gridCol w:w="1320"/>
        <w:gridCol w:w="1320"/>
        <w:gridCol w:w="1080"/>
        <w:gridCol w:w="1095"/>
      </w:tblGrid>
      <w:tr w:rsidR="00B01865" w:rsidRPr="00B01865" w:rsidTr="00AC7529">
        <w:trPr>
          <w:trHeight w:val="198"/>
          <w:jc w:val="center"/>
        </w:trPr>
        <w:tc>
          <w:tcPr>
            <w:tcW w:w="1624" w:type="dxa"/>
            <w:vMerge w:val="restart"/>
            <w:tcBorders>
              <w:top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IVA reconocido</w:t>
            </w:r>
          </w:p>
        </w:tc>
        <w:tc>
          <w:tcPr>
            <w:tcW w:w="2397" w:type="dxa"/>
            <w:gridSpan w:val="2"/>
            <w:tcBorders>
              <w:top w:val="single" w:sz="4" w:space="0" w:color="auto"/>
              <w:bottom w:val="single" w:sz="2"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left="230" w:firstLine="0"/>
              <w:jc w:val="center"/>
              <w:rPr>
                <w:rFonts w:ascii="Arial" w:hAnsi="Arial" w:cs="Arial"/>
                <w:spacing w:val="6"/>
                <w:sz w:val="18"/>
                <w:szCs w:val="24"/>
              </w:rPr>
            </w:pPr>
            <w:r w:rsidRPr="00B01865">
              <w:rPr>
                <w:rFonts w:ascii="Arial" w:hAnsi="Arial" w:cs="Arial"/>
                <w:spacing w:val="6"/>
                <w:sz w:val="18"/>
                <w:szCs w:val="24"/>
              </w:rPr>
              <w:t>2015</w:t>
            </w:r>
          </w:p>
        </w:tc>
        <w:tc>
          <w:tcPr>
            <w:tcW w:w="2640" w:type="dxa"/>
            <w:gridSpan w:val="2"/>
            <w:tcBorders>
              <w:top w:val="single" w:sz="4" w:space="0" w:color="auto"/>
              <w:bottom w:val="single" w:sz="2"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left="290" w:firstLine="0"/>
              <w:jc w:val="center"/>
              <w:rPr>
                <w:rFonts w:ascii="Arial" w:hAnsi="Arial" w:cs="Arial"/>
                <w:spacing w:val="6"/>
                <w:sz w:val="18"/>
                <w:szCs w:val="24"/>
              </w:rPr>
            </w:pPr>
            <w:r w:rsidRPr="00B01865">
              <w:rPr>
                <w:rFonts w:ascii="Arial" w:hAnsi="Arial" w:cs="Arial"/>
                <w:spacing w:val="6"/>
                <w:sz w:val="18"/>
                <w:szCs w:val="24"/>
              </w:rPr>
              <w:t>2016</w:t>
            </w:r>
          </w:p>
        </w:tc>
        <w:tc>
          <w:tcPr>
            <w:tcW w:w="2175" w:type="dxa"/>
            <w:gridSpan w:val="2"/>
            <w:tcBorders>
              <w:top w:val="single" w:sz="4" w:space="0" w:color="auto"/>
              <w:bottom w:val="single" w:sz="2"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left="290" w:firstLine="0"/>
              <w:jc w:val="center"/>
              <w:rPr>
                <w:rFonts w:ascii="Arial" w:hAnsi="Arial" w:cs="Arial"/>
                <w:spacing w:val="6"/>
                <w:sz w:val="18"/>
                <w:szCs w:val="24"/>
              </w:rPr>
            </w:pPr>
            <w:r w:rsidRPr="00B01865">
              <w:rPr>
                <w:rFonts w:ascii="Arial" w:hAnsi="Arial" w:cs="Arial"/>
                <w:spacing w:val="6"/>
                <w:sz w:val="18"/>
                <w:szCs w:val="24"/>
              </w:rPr>
              <w:t>2017</w:t>
            </w:r>
          </w:p>
        </w:tc>
      </w:tr>
      <w:tr w:rsidR="00B01865" w:rsidRPr="00B01865" w:rsidTr="00AC7529">
        <w:trPr>
          <w:trHeight w:val="198"/>
          <w:jc w:val="center"/>
        </w:trPr>
        <w:tc>
          <w:tcPr>
            <w:tcW w:w="1624" w:type="dxa"/>
            <w:vMerge/>
            <w:tcBorders>
              <w:bottom w:val="single" w:sz="4" w:space="0" w:color="auto"/>
            </w:tcBorders>
            <w:shd w:val="clear" w:color="auto" w:fill="EEECE1" w:themeFill="background2"/>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center"/>
              <w:rPr>
                <w:rFonts w:ascii="Arial" w:hAnsi="Arial" w:cs="Arial"/>
                <w:spacing w:val="6"/>
                <w:sz w:val="18"/>
                <w:szCs w:val="24"/>
              </w:rPr>
            </w:pPr>
          </w:p>
        </w:tc>
        <w:tc>
          <w:tcPr>
            <w:tcW w:w="1200" w:type="dxa"/>
            <w:tcBorders>
              <w:top w:val="single" w:sz="2"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Importe</w:t>
            </w:r>
          </w:p>
        </w:tc>
        <w:tc>
          <w:tcPr>
            <w:tcW w:w="1197"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Porcentaje</w:t>
            </w:r>
          </w:p>
        </w:tc>
        <w:tc>
          <w:tcPr>
            <w:tcW w:w="1320"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Importe</w:t>
            </w:r>
          </w:p>
        </w:tc>
        <w:tc>
          <w:tcPr>
            <w:tcW w:w="1320"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Porcentaje</w:t>
            </w:r>
          </w:p>
        </w:tc>
        <w:tc>
          <w:tcPr>
            <w:tcW w:w="1080"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Importe</w:t>
            </w:r>
          </w:p>
        </w:tc>
        <w:tc>
          <w:tcPr>
            <w:tcW w:w="1095" w:type="dxa"/>
            <w:tcBorders>
              <w:top w:val="single" w:sz="2"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Porcentaje</w:t>
            </w:r>
          </w:p>
        </w:tc>
      </w:tr>
      <w:tr w:rsidR="00B01865" w:rsidRPr="00B01865" w:rsidTr="00B01865">
        <w:trPr>
          <w:trHeight w:val="198"/>
          <w:jc w:val="center"/>
        </w:trPr>
        <w:tc>
          <w:tcPr>
            <w:tcW w:w="1624" w:type="dxa"/>
            <w:tcBorders>
              <w:top w:val="single" w:sz="4"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right="-6" w:firstLine="0"/>
              <w:jc w:val="left"/>
              <w:rPr>
                <w:rFonts w:ascii="Arial Narrow" w:hAnsi="Arial Narrow" w:cs="Arial"/>
                <w:spacing w:val="6"/>
                <w:lang w:val="es-ES" w:eastAsia="es-ES"/>
              </w:rPr>
            </w:pPr>
            <w:r w:rsidRPr="00B01865">
              <w:rPr>
                <w:rFonts w:ascii="Arial Narrow" w:hAnsi="Arial Narrow" w:cs="Arial"/>
                <w:spacing w:val="6"/>
                <w:lang w:val="es-ES" w:eastAsia="es-ES"/>
              </w:rPr>
              <w:t>Gestión directa</w:t>
            </w:r>
          </w:p>
        </w:tc>
        <w:tc>
          <w:tcPr>
            <w:tcW w:w="1200" w:type="dxa"/>
            <w:tcBorders>
              <w:top w:val="single" w:sz="4"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372.609</w:t>
            </w:r>
          </w:p>
        </w:tc>
        <w:tc>
          <w:tcPr>
            <w:tcW w:w="1197"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31</w:t>
            </w:r>
          </w:p>
        </w:tc>
        <w:tc>
          <w:tcPr>
            <w:tcW w:w="1320"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386.340</w:t>
            </w:r>
          </w:p>
        </w:tc>
        <w:tc>
          <w:tcPr>
            <w:tcW w:w="1320"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32</w:t>
            </w:r>
          </w:p>
        </w:tc>
        <w:tc>
          <w:tcPr>
            <w:tcW w:w="1080"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417.726</w:t>
            </w:r>
          </w:p>
        </w:tc>
        <w:tc>
          <w:tcPr>
            <w:tcW w:w="1095" w:type="dxa"/>
            <w:tcBorders>
              <w:top w:val="single" w:sz="4"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32</w:t>
            </w:r>
          </w:p>
        </w:tc>
      </w:tr>
      <w:tr w:rsidR="00B01865" w:rsidRPr="00B01865" w:rsidTr="00B01865">
        <w:trPr>
          <w:trHeight w:val="198"/>
          <w:jc w:val="center"/>
        </w:trPr>
        <w:tc>
          <w:tcPr>
            <w:tcW w:w="1624" w:type="dxa"/>
            <w:tcBorders>
              <w:top w:val="single" w:sz="2" w:space="0" w:color="auto"/>
              <w:bottom w:val="single" w:sz="4"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right="-6" w:firstLine="0"/>
              <w:jc w:val="left"/>
              <w:rPr>
                <w:rFonts w:ascii="Arial Narrow" w:hAnsi="Arial Narrow" w:cs="Arial"/>
                <w:spacing w:val="6"/>
                <w:lang w:val="es-ES" w:eastAsia="es-ES"/>
              </w:rPr>
            </w:pPr>
            <w:r w:rsidRPr="00B01865">
              <w:rPr>
                <w:rFonts w:ascii="Arial Narrow" w:hAnsi="Arial Narrow" w:cs="Arial"/>
                <w:spacing w:val="6"/>
                <w:lang w:val="es-ES" w:eastAsia="es-ES"/>
              </w:rPr>
              <w:t>Ajuste Convenio</w:t>
            </w:r>
          </w:p>
        </w:tc>
        <w:tc>
          <w:tcPr>
            <w:tcW w:w="1200" w:type="dxa"/>
            <w:tcBorders>
              <w:top w:val="single" w:sz="2" w:space="0" w:color="auto"/>
              <w:bottom w:val="single" w:sz="4"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811.648</w:t>
            </w:r>
          </w:p>
        </w:tc>
        <w:tc>
          <w:tcPr>
            <w:tcW w:w="1197"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69</w:t>
            </w:r>
          </w:p>
        </w:tc>
        <w:tc>
          <w:tcPr>
            <w:tcW w:w="1320"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835.522</w:t>
            </w:r>
          </w:p>
        </w:tc>
        <w:tc>
          <w:tcPr>
            <w:tcW w:w="1320"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68</w:t>
            </w:r>
          </w:p>
        </w:tc>
        <w:tc>
          <w:tcPr>
            <w:tcW w:w="1080" w:type="dxa"/>
            <w:tcBorders>
              <w:top w:val="single" w:sz="2" w:space="0" w:color="auto"/>
              <w:bottom w:val="single" w:sz="4" w:space="0" w:color="auto"/>
            </w:tcBorders>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889.110</w:t>
            </w:r>
          </w:p>
        </w:tc>
        <w:tc>
          <w:tcPr>
            <w:tcW w:w="1095" w:type="dxa"/>
            <w:tcBorders>
              <w:top w:val="single" w:sz="2" w:space="0" w:color="auto"/>
              <w:bottom w:val="single" w:sz="4"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68</w:t>
            </w:r>
          </w:p>
        </w:tc>
      </w:tr>
      <w:tr w:rsidR="00B01865" w:rsidRPr="00B01865" w:rsidTr="00B01865">
        <w:trPr>
          <w:trHeight w:val="255"/>
          <w:jc w:val="center"/>
        </w:trPr>
        <w:tc>
          <w:tcPr>
            <w:tcW w:w="1624"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rPr>
                <w:rFonts w:ascii="Arial" w:hAnsi="Arial"/>
                <w:spacing w:val="6"/>
                <w:sz w:val="18"/>
                <w:szCs w:val="24"/>
                <w:lang w:val="es-ES" w:eastAsia="es-ES"/>
              </w:rPr>
            </w:pPr>
            <w:r w:rsidRPr="00B01865">
              <w:rPr>
                <w:rFonts w:ascii="Arial" w:hAnsi="Arial"/>
                <w:spacing w:val="6"/>
                <w:sz w:val="18"/>
                <w:szCs w:val="24"/>
                <w:lang w:val="es-ES" w:eastAsia="es-ES"/>
              </w:rPr>
              <w:t>Total IVA</w:t>
            </w:r>
          </w:p>
        </w:tc>
        <w:tc>
          <w:tcPr>
            <w:tcW w:w="1200"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1.184.257</w:t>
            </w:r>
          </w:p>
        </w:tc>
        <w:tc>
          <w:tcPr>
            <w:tcW w:w="1197"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100</w:t>
            </w:r>
          </w:p>
        </w:tc>
        <w:tc>
          <w:tcPr>
            <w:tcW w:w="132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1.221.862</w:t>
            </w:r>
          </w:p>
        </w:tc>
        <w:tc>
          <w:tcPr>
            <w:tcW w:w="132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100</w:t>
            </w:r>
          </w:p>
        </w:tc>
        <w:tc>
          <w:tcPr>
            <w:tcW w:w="108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1.306.836</w:t>
            </w:r>
          </w:p>
        </w:tc>
        <w:tc>
          <w:tcPr>
            <w:tcW w:w="1095"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100</w:t>
            </w:r>
          </w:p>
        </w:tc>
      </w:tr>
    </w:tbl>
    <w:p w:rsidR="00B01865" w:rsidRPr="00FB4933" w:rsidRDefault="00B01865" w:rsidP="00FB4933">
      <w:pPr>
        <w:pStyle w:val="texto"/>
        <w:spacing w:before="240"/>
      </w:pPr>
      <w:r w:rsidRPr="00FB4933">
        <w:t>Como se observa, la mayor parte de los derechos reconocidos se generan d</w:t>
      </w:r>
      <w:r w:rsidRPr="00FB4933">
        <w:t>e</w:t>
      </w:r>
      <w:r w:rsidRPr="00FB4933">
        <w:t>bido a los ajustes derivados del Convenio, gestionando la HTN de forma dire</w:t>
      </w:r>
      <w:r w:rsidRPr="00FB4933">
        <w:t>c</w:t>
      </w:r>
      <w:r w:rsidRPr="00FB4933">
        <w:t>ta un tercio del total de dichos derechos.</w:t>
      </w:r>
    </w:p>
    <w:p w:rsidR="00B01865" w:rsidRPr="00B01865" w:rsidRDefault="00B01865" w:rsidP="00FB4933">
      <w:pPr>
        <w:pStyle w:val="texto"/>
        <w:rPr>
          <w:lang w:val="es-ES"/>
        </w:rPr>
      </w:pPr>
      <w:r w:rsidRPr="00B01865">
        <w:rPr>
          <w:lang w:val="es-ES"/>
        </w:rPr>
        <w:lastRenderedPageBreak/>
        <w:t xml:space="preserve">Por otra parte, el IVA a compensar al cierre del ejercicio 2017 asciende a 190,10 millones; el derecho a solicitar devolución o efectuar la compensación de esta cantidad prescribe a los cinco años y su devolución puede solicitarse a partir de enero del ejercicio siguiente. Este IVA se recoge en una cuenta de </w:t>
      </w:r>
      <w:proofErr w:type="spellStart"/>
      <w:r w:rsidRPr="00B01865">
        <w:rPr>
          <w:lang w:val="es-ES"/>
        </w:rPr>
        <w:t>CATyGT</w:t>
      </w:r>
      <w:proofErr w:type="spellEnd"/>
      <w:r w:rsidRPr="00B01865">
        <w:rPr>
          <w:lang w:val="es-ES"/>
        </w:rPr>
        <w:t xml:space="preserve"> denominada “IVA global” y no tiene reflejo en la contabilidad gen</w:t>
      </w:r>
      <w:r w:rsidRPr="00B01865">
        <w:rPr>
          <w:lang w:val="es-ES"/>
        </w:rPr>
        <w:t>e</w:t>
      </w:r>
      <w:r w:rsidRPr="00B01865">
        <w:rPr>
          <w:lang w:val="es-ES"/>
        </w:rPr>
        <w:t xml:space="preserve">ral. Se imputa al presupuesto cuando se devuelve o se compensa, siempre que de la compensación resulte un saldo a pagar a la HTN. En la memoria no se aporta información sobre esta cuenta. </w:t>
      </w:r>
    </w:p>
    <w:p w:rsidR="00972AB2" w:rsidRPr="00201AEC" w:rsidRDefault="00B01865" w:rsidP="00201AEC">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201AEC">
        <w:rPr>
          <w:rFonts w:cs="Arial"/>
          <w:spacing w:val="6"/>
          <w:sz w:val="26"/>
          <w:szCs w:val="24"/>
        </w:rPr>
        <w:t xml:space="preserve">Las devoluciones gestionadas desde el </w:t>
      </w:r>
      <w:proofErr w:type="spellStart"/>
      <w:r w:rsidRPr="00201AEC">
        <w:rPr>
          <w:rFonts w:cs="Arial"/>
          <w:spacing w:val="6"/>
          <w:sz w:val="26"/>
          <w:szCs w:val="24"/>
        </w:rPr>
        <w:t>CATyGT</w:t>
      </w:r>
      <w:proofErr w:type="spellEnd"/>
      <w:r w:rsidRPr="00201AEC">
        <w:rPr>
          <w:rFonts w:cs="Arial"/>
          <w:spacing w:val="6"/>
          <w:sz w:val="26"/>
          <w:szCs w:val="24"/>
        </w:rPr>
        <w:t xml:space="preserve"> -tanto en efectivo como por compensación- y traspasadas globalmente a la liquidación presupuestaria, sin tener en cuenta los ajustes con el Estado, han ascendido a 1.198,30 mill</w:t>
      </w:r>
      <w:r w:rsidRPr="00201AEC">
        <w:rPr>
          <w:rFonts w:cs="Arial"/>
          <w:spacing w:val="6"/>
          <w:sz w:val="26"/>
          <w:szCs w:val="24"/>
        </w:rPr>
        <w:t>o</w:t>
      </w:r>
      <w:r w:rsidRPr="00201AEC">
        <w:rPr>
          <w:rFonts w:cs="Arial"/>
          <w:spacing w:val="6"/>
          <w:sz w:val="26"/>
          <w:szCs w:val="24"/>
        </w:rPr>
        <w:t>nes, cantidad inferior a la de 2016 en un dos por ciento. Atendiendo a su nat</w:t>
      </w:r>
      <w:r w:rsidRPr="00201AEC">
        <w:rPr>
          <w:rFonts w:cs="Arial"/>
          <w:spacing w:val="6"/>
          <w:sz w:val="26"/>
          <w:szCs w:val="24"/>
        </w:rPr>
        <w:t>u</w:t>
      </w:r>
      <w:r w:rsidRPr="00201AEC">
        <w:rPr>
          <w:rFonts w:cs="Arial"/>
          <w:spacing w:val="6"/>
          <w:sz w:val="26"/>
          <w:szCs w:val="24"/>
        </w:rPr>
        <w:t xml:space="preserve">raleza, el 81 por ciento de las devoluciones se ha efectuado en metálico. </w:t>
      </w:r>
    </w:p>
    <w:p w:rsidR="00B01865" w:rsidRPr="00B01865" w:rsidRDefault="00B01865" w:rsidP="00FB4933">
      <w:pPr>
        <w:pStyle w:val="texto"/>
        <w:rPr>
          <w:lang w:val="es-ES"/>
        </w:rPr>
      </w:pPr>
      <w:r w:rsidRPr="00B01865">
        <w:rPr>
          <w:lang w:val="es-ES"/>
        </w:rPr>
        <w:t>Presentamos a continuación las devoluciones de los impuestos más releva</w:t>
      </w:r>
      <w:r w:rsidRPr="00B01865">
        <w:rPr>
          <w:lang w:val="es-ES"/>
        </w:rPr>
        <w:t>n</w:t>
      </w:r>
      <w:r w:rsidRPr="00B01865">
        <w:rPr>
          <w:lang w:val="es-ES"/>
        </w:rPr>
        <w:t>tes en 2017 y su comparación con las del ejercicio anterior:</w:t>
      </w:r>
    </w:p>
    <w:tbl>
      <w:tblPr>
        <w:tblW w:w="8880" w:type="dxa"/>
        <w:jc w:val="center"/>
        <w:shd w:val="clear" w:color="auto" w:fill="8DB3E2" w:themeFill="text2" w:themeFillTint="66"/>
        <w:tblCellMar>
          <w:left w:w="70" w:type="dxa"/>
          <w:right w:w="70" w:type="dxa"/>
        </w:tblCellMar>
        <w:tblLook w:val="04A0" w:firstRow="1" w:lastRow="0" w:firstColumn="1" w:lastColumn="0" w:noHBand="0" w:noVBand="1"/>
      </w:tblPr>
      <w:tblGrid>
        <w:gridCol w:w="6118"/>
        <w:gridCol w:w="1459"/>
        <w:gridCol w:w="1303"/>
      </w:tblGrid>
      <w:tr w:rsidR="00B01865" w:rsidRPr="00B01865" w:rsidTr="00B01865">
        <w:trPr>
          <w:trHeight w:val="284"/>
          <w:jc w:val="center"/>
        </w:trPr>
        <w:tc>
          <w:tcPr>
            <w:tcW w:w="8880" w:type="dxa"/>
            <w:gridSpan w:val="3"/>
            <w:tcBorders>
              <w:left w:val="nil"/>
              <w:bottom w:val="single" w:sz="4" w:space="0" w:color="auto"/>
              <w:right w:val="nil"/>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B01865">
              <w:rPr>
                <w:rFonts w:ascii="Arial" w:hAnsi="Arial" w:cs="Arial"/>
                <w:spacing w:val="6"/>
                <w:sz w:val="17"/>
                <w:szCs w:val="17"/>
              </w:rPr>
              <w:t>(en miles de euros)</w:t>
            </w:r>
          </w:p>
        </w:tc>
      </w:tr>
      <w:tr w:rsidR="00B01865" w:rsidRPr="00B01865" w:rsidTr="00FB4933">
        <w:trPr>
          <w:trHeight w:val="255"/>
          <w:jc w:val="center"/>
        </w:trPr>
        <w:tc>
          <w:tcPr>
            <w:tcW w:w="6118"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Devolución de impuestos</w:t>
            </w:r>
          </w:p>
        </w:tc>
        <w:tc>
          <w:tcPr>
            <w:tcW w:w="1459"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2016</w:t>
            </w:r>
          </w:p>
        </w:tc>
        <w:tc>
          <w:tcPr>
            <w:tcW w:w="1303"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2017</w:t>
            </w:r>
          </w:p>
        </w:tc>
      </w:tr>
      <w:tr w:rsidR="00B01865" w:rsidRPr="00B01865" w:rsidTr="00B01865">
        <w:trPr>
          <w:trHeight w:val="198"/>
          <w:jc w:val="center"/>
        </w:trPr>
        <w:tc>
          <w:tcPr>
            <w:tcW w:w="6118" w:type="dxa"/>
            <w:tcBorders>
              <w:top w:val="single" w:sz="4" w:space="0" w:color="auto"/>
              <w:left w:val="nil"/>
              <w:bottom w:val="single" w:sz="2" w:space="0" w:color="auto"/>
              <w:right w:val="nil"/>
            </w:tcBorders>
            <w:shd w:val="clear" w:color="auto" w:fill="FFFFFF" w:themeFill="background1"/>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IRPF</w:t>
            </w:r>
          </w:p>
        </w:tc>
        <w:tc>
          <w:tcPr>
            <w:tcW w:w="1459" w:type="dxa"/>
            <w:tcBorders>
              <w:top w:val="single" w:sz="4" w:space="0" w:color="auto"/>
              <w:left w:val="nil"/>
              <w:bottom w:val="single" w:sz="2" w:space="0" w:color="auto"/>
              <w:right w:val="nil"/>
            </w:tcBorders>
            <w:shd w:val="clear" w:color="auto" w:fill="FFFFFF" w:themeFill="background1"/>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214.813</w:t>
            </w:r>
          </w:p>
        </w:tc>
        <w:tc>
          <w:tcPr>
            <w:tcW w:w="1303" w:type="dxa"/>
            <w:tcBorders>
              <w:top w:val="single" w:sz="4" w:space="0" w:color="auto"/>
              <w:left w:val="nil"/>
              <w:bottom w:val="single" w:sz="2" w:space="0" w:color="auto"/>
              <w:right w:val="nil"/>
            </w:tcBorders>
            <w:shd w:val="clear" w:color="auto" w:fill="FFFFFF" w:themeFill="background1"/>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199.567</w:t>
            </w:r>
          </w:p>
        </w:tc>
      </w:tr>
      <w:tr w:rsidR="00B01865" w:rsidRPr="00B01865" w:rsidTr="00B01865">
        <w:trPr>
          <w:trHeight w:val="198"/>
          <w:jc w:val="center"/>
        </w:trPr>
        <w:tc>
          <w:tcPr>
            <w:tcW w:w="6118" w:type="dxa"/>
            <w:tcBorders>
              <w:top w:val="single" w:sz="2" w:space="0" w:color="auto"/>
              <w:left w:val="nil"/>
              <w:bottom w:val="single" w:sz="2" w:space="0" w:color="auto"/>
              <w:right w:val="nil"/>
            </w:tcBorders>
            <w:shd w:val="clear" w:color="auto" w:fill="FFFFFF" w:themeFill="background1"/>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Sociedades</w:t>
            </w:r>
          </w:p>
        </w:tc>
        <w:tc>
          <w:tcPr>
            <w:tcW w:w="1459" w:type="dxa"/>
            <w:tcBorders>
              <w:top w:val="single" w:sz="2" w:space="0" w:color="auto"/>
              <w:left w:val="nil"/>
              <w:bottom w:val="single" w:sz="2" w:space="0" w:color="auto"/>
              <w:right w:val="nil"/>
            </w:tcBorders>
            <w:shd w:val="clear" w:color="auto" w:fill="FFFFFF" w:themeFill="background1"/>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81.604</w:t>
            </w:r>
          </w:p>
        </w:tc>
        <w:tc>
          <w:tcPr>
            <w:tcW w:w="1303" w:type="dxa"/>
            <w:tcBorders>
              <w:top w:val="single" w:sz="2" w:space="0" w:color="auto"/>
              <w:left w:val="nil"/>
              <w:bottom w:val="single" w:sz="2" w:space="0" w:color="auto"/>
              <w:right w:val="nil"/>
            </w:tcBorders>
            <w:shd w:val="clear" w:color="auto" w:fill="FFFFFF" w:themeFill="background1"/>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92.975</w:t>
            </w:r>
          </w:p>
        </w:tc>
      </w:tr>
      <w:tr w:rsidR="00B01865" w:rsidRPr="00B01865" w:rsidTr="00B01865">
        <w:trPr>
          <w:trHeight w:val="198"/>
          <w:jc w:val="center"/>
        </w:trPr>
        <w:tc>
          <w:tcPr>
            <w:tcW w:w="6118" w:type="dxa"/>
            <w:tcBorders>
              <w:top w:val="single" w:sz="2" w:space="0" w:color="auto"/>
              <w:left w:val="nil"/>
              <w:bottom w:val="single" w:sz="4" w:space="0" w:color="auto"/>
              <w:right w:val="nil"/>
            </w:tcBorders>
            <w:shd w:val="clear" w:color="auto" w:fill="FFFFFF" w:themeFill="background1"/>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IVA gestión directa</w:t>
            </w:r>
          </w:p>
        </w:tc>
        <w:tc>
          <w:tcPr>
            <w:tcW w:w="1459" w:type="dxa"/>
            <w:tcBorders>
              <w:top w:val="single" w:sz="2" w:space="0" w:color="auto"/>
              <w:left w:val="nil"/>
              <w:bottom w:val="single" w:sz="4" w:space="0" w:color="auto"/>
              <w:right w:val="nil"/>
            </w:tcBorders>
            <w:shd w:val="clear" w:color="auto" w:fill="FFFFFF" w:themeFill="background1"/>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902.771</w:t>
            </w:r>
          </w:p>
        </w:tc>
        <w:tc>
          <w:tcPr>
            <w:tcW w:w="1303" w:type="dxa"/>
            <w:tcBorders>
              <w:top w:val="single" w:sz="2" w:space="0" w:color="auto"/>
              <w:left w:val="nil"/>
              <w:bottom w:val="single" w:sz="4" w:space="0" w:color="auto"/>
              <w:right w:val="nil"/>
            </w:tcBorders>
            <w:shd w:val="clear" w:color="auto" w:fill="FFFFFF" w:themeFill="background1"/>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874.897</w:t>
            </w:r>
          </w:p>
        </w:tc>
      </w:tr>
    </w:tbl>
    <w:p w:rsidR="00B01865" w:rsidRPr="00B01865" w:rsidRDefault="00B01865" w:rsidP="00FB4933">
      <w:pPr>
        <w:pStyle w:val="texto"/>
        <w:spacing w:before="240"/>
        <w:rPr>
          <w:lang w:val="es-ES"/>
        </w:rPr>
      </w:pPr>
      <w:r w:rsidRPr="00B01865">
        <w:rPr>
          <w:lang w:val="es-ES"/>
        </w:rPr>
        <w:t xml:space="preserve">Como viene ocurriendo en los últimos años, el IVA de gestión directa es el impuesto que genera un mayor volumen de devoluciones, en torno al 73 por ciento del total. </w:t>
      </w:r>
    </w:p>
    <w:p w:rsidR="00B01865" w:rsidRPr="00B01865" w:rsidRDefault="00B01865" w:rsidP="00FB4933">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La memoria de las Cuentas Generales contiene información sobre la ejec</w:t>
      </w:r>
      <w:r w:rsidRPr="00B01865">
        <w:rPr>
          <w:rFonts w:cs="Arial"/>
          <w:spacing w:val="6"/>
          <w:sz w:val="26"/>
          <w:szCs w:val="24"/>
        </w:rPr>
        <w:t>u</w:t>
      </w:r>
      <w:r w:rsidRPr="00B01865">
        <w:rPr>
          <w:rFonts w:cs="Arial"/>
          <w:spacing w:val="6"/>
          <w:sz w:val="26"/>
          <w:szCs w:val="24"/>
        </w:rPr>
        <w:t>ción de los beneficios fiscales, cuyo resumen es el siguiente:</w:t>
      </w:r>
    </w:p>
    <w:tbl>
      <w:tblPr>
        <w:tblW w:w="8873" w:type="dxa"/>
        <w:jc w:val="center"/>
        <w:tblCellMar>
          <w:left w:w="70" w:type="dxa"/>
          <w:right w:w="70" w:type="dxa"/>
        </w:tblCellMar>
        <w:tblLook w:val="04A0" w:firstRow="1" w:lastRow="0" w:firstColumn="1" w:lastColumn="0" w:noHBand="0" w:noVBand="1"/>
      </w:tblPr>
      <w:tblGrid>
        <w:gridCol w:w="5015"/>
        <w:gridCol w:w="1471"/>
        <w:gridCol w:w="1184"/>
        <w:gridCol w:w="1203"/>
      </w:tblGrid>
      <w:tr w:rsidR="00B01865" w:rsidRPr="00B01865" w:rsidTr="00B01865">
        <w:trPr>
          <w:trHeight w:val="198"/>
          <w:jc w:val="center"/>
        </w:trPr>
        <w:tc>
          <w:tcPr>
            <w:tcW w:w="8873" w:type="dxa"/>
            <w:gridSpan w:val="4"/>
            <w:tcBorders>
              <w:left w:val="nil"/>
              <w:bottom w:val="single" w:sz="4" w:space="0" w:color="auto"/>
              <w:right w:val="nil"/>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B01865">
              <w:rPr>
                <w:rFonts w:ascii="Arial" w:hAnsi="Arial" w:cs="Arial"/>
                <w:spacing w:val="6"/>
                <w:sz w:val="17"/>
                <w:szCs w:val="17"/>
              </w:rPr>
              <w:t>(en miles de euros)</w:t>
            </w:r>
          </w:p>
        </w:tc>
      </w:tr>
      <w:tr w:rsidR="00B01865" w:rsidRPr="00B01865" w:rsidTr="00FB4933">
        <w:trPr>
          <w:trHeight w:val="255"/>
          <w:jc w:val="center"/>
        </w:trPr>
        <w:tc>
          <w:tcPr>
            <w:tcW w:w="5015"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Impuestos</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Presupuesto</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Benef.fisc.2017</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Resultados</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2017</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FB4933"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Porcentaje</w:t>
            </w:r>
            <w:r w:rsidR="00B01865" w:rsidRPr="00B01865">
              <w:rPr>
                <w:rFonts w:ascii="Arial" w:hAnsi="Arial" w:cs="Arial"/>
                <w:spacing w:val="6"/>
                <w:sz w:val="18"/>
                <w:szCs w:val="18"/>
              </w:rPr>
              <w:t xml:space="preserve">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Realización</w:t>
            </w:r>
          </w:p>
        </w:tc>
      </w:tr>
      <w:tr w:rsidR="00B01865" w:rsidRPr="00B01865" w:rsidTr="00FB4933">
        <w:trPr>
          <w:cantSplit/>
          <w:trHeight w:val="198"/>
          <w:jc w:val="center"/>
        </w:trPr>
        <w:tc>
          <w:tcPr>
            <w:tcW w:w="5015" w:type="dxa"/>
            <w:tcBorders>
              <w:top w:val="single" w:sz="4"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IRPF</w:t>
            </w:r>
          </w:p>
        </w:tc>
        <w:tc>
          <w:tcPr>
            <w:tcW w:w="1286"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366.760</w:t>
            </w:r>
          </w:p>
        </w:tc>
        <w:tc>
          <w:tcPr>
            <w:tcW w:w="1286"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379.582</w:t>
            </w:r>
          </w:p>
        </w:tc>
        <w:tc>
          <w:tcPr>
            <w:tcW w:w="1286"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103</w:t>
            </w:r>
          </w:p>
        </w:tc>
      </w:tr>
      <w:tr w:rsidR="00B01865" w:rsidRPr="00B01865" w:rsidTr="00FB4933">
        <w:trPr>
          <w:cantSplit/>
          <w:trHeight w:val="198"/>
          <w:jc w:val="center"/>
        </w:trPr>
        <w:tc>
          <w:tcPr>
            <w:tcW w:w="5015"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Sociedades</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120.137</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131.936</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110</w:t>
            </w:r>
          </w:p>
        </w:tc>
      </w:tr>
      <w:tr w:rsidR="00B01865" w:rsidRPr="00B01865" w:rsidTr="00FB4933">
        <w:trPr>
          <w:cantSplit/>
          <w:trHeight w:val="198"/>
          <w:jc w:val="center"/>
        </w:trPr>
        <w:tc>
          <w:tcPr>
            <w:tcW w:w="5015"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Patrimonio</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45.392</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38.713</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85</w:t>
            </w:r>
          </w:p>
        </w:tc>
      </w:tr>
      <w:tr w:rsidR="00B01865" w:rsidRPr="00B01865" w:rsidTr="00FB4933">
        <w:trPr>
          <w:cantSplit/>
          <w:trHeight w:val="198"/>
          <w:jc w:val="center"/>
        </w:trPr>
        <w:tc>
          <w:tcPr>
            <w:tcW w:w="5015"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Renta de no residentes</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4.776</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4.593</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96</w:t>
            </w:r>
          </w:p>
        </w:tc>
      </w:tr>
      <w:tr w:rsidR="00B01865" w:rsidRPr="00B01865" w:rsidTr="00FB4933">
        <w:trPr>
          <w:cantSplit/>
          <w:trHeight w:val="198"/>
          <w:jc w:val="center"/>
        </w:trPr>
        <w:tc>
          <w:tcPr>
            <w:tcW w:w="5015" w:type="dxa"/>
            <w:tcBorders>
              <w:top w:val="single" w:sz="2" w:space="0" w:color="auto"/>
              <w:left w:val="nil"/>
              <w:bottom w:val="single" w:sz="4"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Sucesiones y donaciones</w:t>
            </w:r>
          </w:p>
        </w:tc>
        <w:tc>
          <w:tcPr>
            <w:tcW w:w="1286"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8.512</w:t>
            </w:r>
          </w:p>
        </w:tc>
        <w:tc>
          <w:tcPr>
            <w:tcW w:w="1286"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7.722</w:t>
            </w:r>
          </w:p>
        </w:tc>
        <w:tc>
          <w:tcPr>
            <w:tcW w:w="1286"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91</w:t>
            </w:r>
          </w:p>
        </w:tc>
      </w:tr>
      <w:tr w:rsidR="00B01865" w:rsidRPr="00B01865" w:rsidTr="00FB4933">
        <w:trPr>
          <w:trHeight w:val="255"/>
          <w:jc w:val="center"/>
        </w:trPr>
        <w:tc>
          <w:tcPr>
            <w:tcW w:w="5015"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i/>
                <w:spacing w:val="6"/>
                <w:sz w:val="18"/>
                <w:szCs w:val="18"/>
              </w:rPr>
            </w:pPr>
            <w:r w:rsidRPr="00B01865">
              <w:rPr>
                <w:rFonts w:ascii="Arial" w:hAnsi="Arial" w:cs="Arial"/>
                <w:i/>
                <w:spacing w:val="6"/>
                <w:sz w:val="18"/>
                <w:szCs w:val="18"/>
              </w:rPr>
              <w:t>1. Impuestos directos</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sidRPr="00B01865">
              <w:rPr>
                <w:rFonts w:ascii="Arial" w:hAnsi="Arial" w:cs="Arial"/>
                <w:i/>
                <w:spacing w:val="6"/>
                <w:sz w:val="18"/>
                <w:szCs w:val="18"/>
              </w:rPr>
              <w:t>545.577</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sidRPr="00B01865">
              <w:rPr>
                <w:rFonts w:ascii="Arial" w:hAnsi="Arial" w:cs="Arial"/>
                <w:i/>
                <w:spacing w:val="6"/>
                <w:sz w:val="18"/>
                <w:szCs w:val="18"/>
              </w:rPr>
              <w:t>562.546</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sidRPr="00B01865">
              <w:rPr>
                <w:rFonts w:ascii="Arial" w:hAnsi="Arial" w:cs="Arial"/>
                <w:i/>
                <w:spacing w:val="6"/>
                <w:sz w:val="18"/>
                <w:szCs w:val="18"/>
              </w:rPr>
              <w:t>103</w:t>
            </w:r>
          </w:p>
        </w:tc>
      </w:tr>
      <w:tr w:rsidR="00B01865" w:rsidRPr="00B01865" w:rsidTr="00FB4933">
        <w:trPr>
          <w:cantSplit/>
          <w:trHeight w:val="198"/>
          <w:jc w:val="center"/>
        </w:trPr>
        <w:tc>
          <w:tcPr>
            <w:tcW w:w="5015" w:type="dxa"/>
            <w:tcBorders>
              <w:top w:val="single" w:sz="4"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IVA</w:t>
            </w:r>
          </w:p>
        </w:tc>
        <w:tc>
          <w:tcPr>
            <w:tcW w:w="1286"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785.991</w:t>
            </w:r>
          </w:p>
        </w:tc>
        <w:tc>
          <w:tcPr>
            <w:tcW w:w="1286"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842.887</w:t>
            </w:r>
          </w:p>
        </w:tc>
        <w:tc>
          <w:tcPr>
            <w:tcW w:w="1286"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107</w:t>
            </w:r>
          </w:p>
        </w:tc>
      </w:tr>
      <w:tr w:rsidR="00B01865" w:rsidRPr="00B01865" w:rsidTr="00FB4933">
        <w:trPr>
          <w:cantSplit/>
          <w:trHeight w:val="198"/>
          <w:jc w:val="center"/>
        </w:trPr>
        <w:tc>
          <w:tcPr>
            <w:tcW w:w="5015"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Impuestos especiales</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79.622</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93.160</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117</w:t>
            </w:r>
          </w:p>
        </w:tc>
      </w:tr>
      <w:tr w:rsidR="00B01865" w:rsidRPr="00B01865" w:rsidTr="00FB4933">
        <w:trPr>
          <w:cantSplit/>
          <w:trHeight w:val="198"/>
          <w:jc w:val="center"/>
        </w:trPr>
        <w:tc>
          <w:tcPr>
            <w:tcW w:w="5015"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Impuesto sobre las primas de seguros</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8.012</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7.819</w:t>
            </w:r>
          </w:p>
        </w:tc>
        <w:tc>
          <w:tcPr>
            <w:tcW w:w="128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98</w:t>
            </w:r>
          </w:p>
        </w:tc>
      </w:tr>
      <w:tr w:rsidR="00B01865" w:rsidRPr="00B01865" w:rsidTr="00FB4933">
        <w:trPr>
          <w:cantSplit/>
          <w:trHeight w:val="198"/>
          <w:jc w:val="center"/>
        </w:trPr>
        <w:tc>
          <w:tcPr>
            <w:tcW w:w="5015" w:type="dxa"/>
            <w:tcBorders>
              <w:top w:val="single" w:sz="2" w:space="0" w:color="auto"/>
              <w:left w:val="nil"/>
              <w:bottom w:val="single" w:sz="4"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Transmisiones patrimoniales y actos jurídicos documentados</w:t>
            </w:r>
          </w:p>
        </w:tc>
        <w:tc>
          <w:tcPr>
            <w:tcW w:w="1286"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4.967</w:t>
            </w:r>
          </w:p>
        </w:tc>
        <w:tc>
          <w:tcPr>
            <w:tcW w:w="1286"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5.388</w:t>
            </w:r>
          </w:p>
        </w:tc>
        <w:tc>
          <w:tcPr>
            <w:tcW w:w="1286"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108</w:t>
            </w:r>
          </w:p>
        </w:tc>
      </w:tr>
      <w:tr w:rsidR="00B01865" w:rsidRPr="00B01865" w:rsidTr="00FB4933">
        <w:trPr>
          <w:trHeight w:val="255"/>
          <w:jc w:val="center"/>
        </w:trPr>
        <w:tc>
          <w:tcPr>
            <w:tcW w:w="5015"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i/>
                <w:spacing w:val="6"/>
                <w:sz w:val="18"/>
                <w:szCs w:val="18"/>
              </w:rPr>
            </w:pPr>
            <w:r w:rsidRPr="00B01865">
              <w:rPr>
                <w:rFonts w:ascii="Arial" w:hAnsi="Arial" w:cs="Arial"/>
                <w:i/>
                <w:spacing w:val="6"/>
                <w:sz w:val="18"/>
                <w:szCs w:val="18"/>
              </w:rPr>
              <w:t>2. Impuestos indirectos</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sidRPr="00B01865">
              <w:rPr>
                <w:rFonts w:ascii="Arial" w:hAnsi="Arial" w:cs="Arial"/>
                <w:i/>
                <w:spacing w:val="6"/>
                <w:sz w:val="18"/>
                <w:szCs w:val="18"/>
              </w:rPr>
              <w:t>878.592</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sidRPr="00B01865">
              <w:rPr>
                <w:rFonts w:ascii="Arial" w:hAnsi="Arial" w:cs="Arial"/>
                <w:i/>
                <w:spacing w:val="6"/>
                <w:sz w:val="18"/>
                <w:szCs w:val="18"/>
              </w:rPr>
              <w:t>949.254</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i/>
                <w:spacing w:val="6"/>
                <w:sz w:val="18"/>
                <w:szCs w:val="18"/>
              </w:rPr>
            </w:pPr>
            <w:r w:rsidRPr="00B01865">
              <w:rPr>
                <w:rFonts w:ascii="Arial" w:hAnsi="Arial" w:cs="Arial"/>
                <w:i/>
                <w:spacing w:val="6"/>
                <w:sz w:val="18"/>
                <w:szCs w:val="18"/>
              </w:rPr>
              <w:t>108</w:t>
            </w:r>
          </w:p>
        </w:tc>
      </w:tr>
      <w:tr w:rsidR="00B01865" w:rsidRPr="00B01865" w:rsidTr="00FB4933">
        <w:trPr>
          <w:trHeight w:val="255"/>
          <w:jc w:val="center"/>
        </w:trPr>
        <w:tc>
          <w:tcPr>
            <w:tcW w:w="5015"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Total Beneficios fiscales</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1.424.169</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1.511.800</w:t>
            </w:r>
          </w:p>
        </w:tc>
        <w:tc>
          <w:tcPr>
            <w:tcW w:w="12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106</w:t>
            </w:r>
          </w:p>
        </w:tc>
      </w:tr>
    </w:tbl>
    <w:p w:rsidR="00B01865" w:rsidRPr="00B01865" w:rsidRDefault="00B01865" w:rsidP="00FB4933">
      <w:pPr>
        <w:pStyle w:val="texto"/>
        <w:spacing w:before="240"/>
        <w:rPr>
          <w:lang w:val="es-ES"/>
        </w:rPr>
      </w:pPr>
      <w:r w:rsidRPr="00B01865">
        <w:rPr>
          <w:lang w:val="es-ES"/>
        </w:rPr>
        <w:t>Los beneficios fiscales de 2017, según la información contenida en la mem</w:t>
      </w:r>
      <w:r w:rsidRPr="00B01865">
        <w:rPr>
          <w:lang w:val="es-ES"/>
        </w:rPr>
        <w:t>o</w:t>
      </w:r>
      <w:r w:rsidRPr="00B01865">
        <w:rPr>
          <w:lang w:val="es-ES"/>
        </w:rPr>
        <w:t>ria</w:t>
      </w:r>
      <w:r w:rsidR="00972AB2">
        <w:rPr>
          <w:lang w:val="es-ES"/>
        </w:rPr>
        <w:t xml:space="preserve"> que es obtenida con estimaciones tanto en la previsión como en los result</w:t>
      </w:r>
      <w:r w:rsidR="00972AB2">
        <w:rPr>
          <w:lang w:val="es-ES"/>
        </w:rPr>
        <w:t>a</w:t>
      </w:r>
      <w:r w:rsidR="00972AB2">
        <w:rPr>
          <w:lang w:val="es-ES"/>
        </w:rPr>
        <w:t>dos</w:t>
      </w:r>
      <w:r w:rsidRPr="00B01865">
        <w:rPr>
          <w:lang w:val="es-ES"/>
        </w:rPr>
        <w:t xml:space="preserve">, alcanzan los 1.511 millones de euros superando a los previstos en un seis </w:t>
      </w:r>
      <w:r w:rsidRPr="00B01865">
        <w:rPr>
          <w:lang w:val="es-ES"/>
        </w:rPr>
        <w:lastRenderedPageBreak/>
        <w:t>por ciento; como vienen indicando los informes de esta Cámara en los últimos años, es significativo que estos beneficios representen el 41 por ciento de los derechos reconocidos netos por impuestos del ejercicio de 2017.</w:t>
      </w:r>
    </w:p>
    <w:p w:rsidR="00B01865" w:rsidRPr="00B01865" w:rsidRDefault="00B01865" w:rsidP="00CF1188">
      <w:pPr>
        <w:numPr>
          <w:ilvl w:val="0"/>
          <w:numId w:val="2"/>
        </w:numPr>
        <w:tabs>
          <w:tab w:val="clear" w:pos="1948"/>
          <w:tab w:val="num" w:pos="300"/>
          <w:tab w:val="num" w:pos="360"/>
          <w:tab w:val="left" w:pos="480"/>
          <w:tab w:val="num" w:pos="600"/>
          <w:tab w:val="num" w:pos="720"/>
          <w:tab w:val="num" w:pos="1320"/>
        </w:tabs>
        <w:spacing w:after="240"/>
        <w:ind w:left="0" w:firstLine="289"/>
        <w:rPr>
          <w:rFonts w:cs="Arial"/>
          <w:spacing w:val="6"/>
          <w:sz w:val="26"/>
          <w:szCs w:val="24"/>
        </w:rPr>
      </w:pPr>
      <w:r w:rsidRPr="00B01865">
        <w:rPr>
          <w:rFonts w:cs="Arial"/>
          <w:spacing w:val="6"/>
          <w:sz w:val="26"/>
          <w:szCs w:val="24"/>
        </w:rPr>
        <w:t xml:space="preserve">Esta Cámara emitió un informe en septiembre de 2018 sobre el impuesto de sucesiones y donaciones </w:t>
      </w:r>
      <w:r w:rsidR="00CF1188">
        <w:rPr>
          <w:rFonts w:cs="Arial"/>
          <w:spacing w:val="6"/>
          <w:sz w:val="26"/>
          <w:szCs w:val="24"/>
        </w:rPr>
        <w:t>(</w:t>
      </w:r>
      <w:r w:rsidRPr="00B01865">
        <w:rPr>
          <w:rFonts w:cs="Arial"/>
          <w:spacing w:val="6"/>
          <w:sz w:val="26"/>
          <w:szCs w:val="24"/>
        </w:rPr>
        <w:t>2016 y 2017</w:t>
      </w:r>
      <w:r w:rsidR="00CF1188">
        <w:rPr>
          <w:rFonts w:cs="Arial"/>
          <w:spacing w:val="6"/>
          <w:sz w:val="26"/>
          <w:szCs w:val="24"/>
        </w:rPr>
        <w:t>)</w:t>
      </w:r>
      <w:r w:rsidRPr="00B01865">
        <w:rPr>
          <w:rFonts w:cs="Arial"/>
          <w:spacing w:val="6"/>
          <w:sz w:val="26"/>
          <w:szCs w:val="24"/>
        </w:rPr>
        <w:t>; además, hemos analizado los proc</w:t>
      </w:r>
      <w:r w:rsidRPr="00B01865">
        <w:rPr>
          <w:rFonts w:cs="Arial"/>
          <w:spacing w:val="6"/>
          <w:sz w:val="26"/>
          <w:szCs w:val="24"/>
        </w:rPr>
        <w:t>e</w:t>
      </w:r>
      <w:r w:rsidRPr="00B01865">
        <w:rPr>
          <w:rFonts w:cs="Arial"/>
          <w:spacing w:val="6"/>
          <w:sz w:val="26"/>
          <w:szCs w:val="24"/>
        </w:rPr>
        <w:t xml:space="preserve">dimientos de gestión y una muestra del impuesto sobre gases </w:t>
      </w:r>
      <w:proofErr w:type="spellStart"/>
      <w:r w:rsidRPr="00B01865">
        <w:rPr>
          <w:rFonts w:cs="Arial"/>
          <w:spacing w:val="6"/>
          <w:sz w:val="26"/>
          <w:szCs w:val="24"/>
        </w:rPr>
        <w:t>fluorados</w:t>
      </w:r>
      <w:proofErr w:type="spellEnd"/>
      <w:r w:rsidRPr="00B01865">
        <w:rPr>
          <w:rFonts w:cs="Arial"/>
          <w:spacing w:val="6"/>
          <w:sz w:val="26"/>
          <w:szCs w:val="24"/>
        </w:rPr>
        <w:t xml:space="preserve"> con efecto invernadero, cuyos datos </w:t>
      </w:r>
      <w:r w:rsidR="00CF1188">
        <w:rPr>
          <w:rFonts w:cs="Arial"/>
          <w:spacing w:val="6"/>
          <w:sz w:val="26"/>
          <w:szCs w:val="24"/>
        </w:rPr>
        <w:t>presupuestarios</w:t>
      </w:r>
      <w:r w:rsidRPr="00B01865">
        <w:rPr>
          <w:rFonts w:cs="Arial"/>
          <w:spacing w:val="6"/>
          <w:sz w:val="26"/>
          <w:szCs w:val="24"/>
        </w:rPr>
        <w:t xml:space="preserve"> en 2017 fueron los siguientes:</w:t>
      </w:r>
    </w:p>
    <w:p w:rsidR="00B01865" w:rsidRPr="00B01865" w:rsidRDefault="00B01865" w:rsidP="00B01865">
      <w:pPr>
        <w:tabs>
          <w:tab w:val="left" w:pos="490"/>
          <w:tab w:val="num" w:pos="4920"/>
        </w:tabs>
        <w:spacing w:after="60"/>
        <w:ind w:left="289" w:firstLine="0"/>
        <w:jc w:val="right"/>
        <w:rPr>
          <w:rFonts w:ascii="Arial" w:hAnsi="Arial"/>
          <w:spacing w:val="6"/>
          <w:sz w:val="17"/>
          <w:szCs w:val="17"/>
          <w:lang w:val="es-ES"/>
        </w:rPr>
      </w:pPr>
      <w:r w:rsidRPr="00B01865">
        <w:rPr>
          <w:rFonts w:ascii="Arial" w:hAnsi="Arial"/>
          <w:spacing w:val="6"/>
          <w:sz w:val="17"/>
          <w:szCs w:val="17"/>
          <w:lang w:val="es-ES"/>
        </w:rPr>
        <w:t>(en miles de euros)</w:t>
      </w:r>
    </w:p>
    <w:tbl>
      <w:tblPr>
        <w:tblStyle w:val="Tablaconcuadrcula"/>
        <w:tblW w:w="8847" w:type="dxa"/>
        <w:tblInd w:w="108" w:type="dxa"/>
        <w:tblBorders>
          <w:left w:val="none" w:sz="0" w:space="0" w:color="auto"/>
          <w:bottom w:val="single" w:sz="2" w:space="0" w:color="auto"/>
          <w:right w:val="none" w:sz="0" w:space="0" w:color="auto"/>
          <w:insideV w:val="none" w:sz="0" w:space="0" w:color="auto"/>
        </w:tblBorders>
        <w:tblLayout w:type="fixed"/>
        <w:tblLook w:val="04A0" w:firstRow="1" w:lastRow="0" w:firstColumn="1" w:lastColumn="0" w:noHBand="0" w:noVBand="1"/>
      </w:tblPr>
      <w:tblGrid>
        <w:gridCol w:w="3232"/>
        <w:gridCol w:w="13"/>
        <w:gridCol w:w="1401"/>
        <w:gridCol w:w="11"/>
        <w:gridCol w:w="1405"/>
        <w:gridCol w:w="7"/>
        <w:gridCol w:w="1412"/>
        <w:gridCol w:w="1366"/>
      </w:tblGrid>
      <w:tr w:rsidR="00B01865" w:rsidRPr="00B01865" w:rsidTr="0076518A">
        <w:trPr>
          <w:trHeight w:val="198"/>
        </w:trPr>
        <w:tc>
          <w:tcPr>
            <w:tcW w:w="3245" w:type="dxa"/>
            <w:gridSpan w:val="2"/>
            <w:tcBorders>
              <w:bottom w:val="single" w:sz="4" w:space="0" w:color="auto"/>
            </w:tcBorders>
            <w:shd w:val="clear" w:color="auto" w:fill="8DB3E2" w:themeFill="text2" w:themeFillTint="66"/>
          </w:tcPr>
          <w:p w:rsidR="00B01865" w:rsidRPr="00B01865" w:rsidRDefault="00B01865" w:rsidP="00B01865">
            <w:pPr>
              <w:tabs>
                <w:tab w:val="center" w:pos="2835"/>
                <w:tab w:val="center" w:pos="3969"/>
                <w:tab w:val="center" w:pos="5103"/>
                <w:tab w:val="center" w:pos="6237"/>
                <w:tab w:val="center" w:pos="7371"/>
              </w:tabs>
              <w:spacing w:after="0"/>
              <w:ind w:firstLine="0"/>
              <w:rPr>
                <w:rFonts w:ascii="Arial" w:hAnsi="Arial" w:cs="Arial"/>
                <w:spacing w:val="6"/>
                <w:sz w:val="18"/>
                <w:szCs w:val="18"/>
                <w:lang w:val="es-ES"/>
              </w:rPr>
            </w:pPr>
          </w:p>
        </w:tc>
        <w:tc>
          <w:tcPr>
            <w:tcW w:w="1412" w:type="dxa"/>
            <w:gridSpan w:val="2"/>
            <w:tcBorders>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val="es-ES"/>
              </w:rPr>
            </w:pPr>
            <w:r w:rsidRPr="00B01865">
              <w:rPr>
                <w:rFonts w:ascii="Arial" w:hAnsi="Arial" w:cs="Arial"/>
                <w:spacing w:val="6"/>
                <w:sz w:val="18"/>
                <w:szCs w:val="18"/>
                <w:lang w:val="es-ES"/>
              </w:rPr>
              <w:t xml:space="preserve">Derechos </w:t>
            </w:r>
          </w:p>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val="es-ES"/>
              </w:rPr>
            </w:pPr>
            <w:r w:rsidRPr="00B01865">
              <w:rPr>
                <w:rFonts w:ascii="Arial" w:hAnsi="Arial" w:cs="Arial"/>
                <w:spacing w:val="6"/>
                <w:sz w:val="18"/>
                <w:szCs w:val="18"/>
                <w:lang w:val="es-ES"/>
              </w:rPr>
              <w:t>Reconocidos Netos 2017</w:t>
            </w:r>
          </w:p>
        </w:tc>
        <w:tc>
          <w:tcPr>
            <w:tcW w:w="1412" w:type="dxa"/>
            <w:gridSpan w:val="2"/>
            <w:tcBorders>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val="es-ES"/>
              </w:rPr>
            </w:pPr>
            <w:r w:rsidRPr="00B01865">
              <w:rPr>
                <w:rFonts w:ascii="Arial" w:hAnsi="Arial" w:cs="Arial"/>
                <w:spacing w:val="6"/>
                <w:sz w:val="18"/>
                <w:szCs w:val="18"/>
                <w:lang w:val="es-ES"/>
              </w:rPr>
              <w:t xml:space="preserve">Recaudación </w:t>
            </w:r>
          </w:p>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val="es-ES"/>
              </w:rPr>
            </w:pPr>
            <w:r w:rsidRPr="00B01865">
              <w:rPr>
                <w:rFonts w:ascii="Arial" w:hAnsi="Arial" w:cs="Arial"/>
                <w:spacing w:val="6"/>
                <w:sz w:val="18"/>
                <w:szCs w:val="18"/>
                <w:lang w:val="es-ES"/>
              </w:rPr>
              <w:t>Neta 2017</w:t>
            </w:r>
          </w:p>
        </w:tc>
        <w:tc>
          <w:tcPr>
            <w:tcW w:w="1412" w:type="dxa"/>
            <w:tcBorders>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val="es-ES"/>
              </w:rPr>
            </w:pPr>
            <w:r w:rsidRPr="00B01865">
              <w:rPr>
                <w:rFonts w:ascii="Arial" w:hAnsi="Arial" w:cs="Arial"/>
                <w:spacing w:val="6"/>
                <w:sz w:val="18"/>
                <w:szCs w:val="18"/>
                <w:lang w:val="es-ES"/>
              </w:rPr>
              <w:t xml:space="preserve">% </w:t>
            </w:r>
          </w:p>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w:hAnsi="Arial" w:cs="Arial"/>
                <w:spacing w:val="6"/>
                <w:sz w:val="18"/>
                <w:szCs w:val="18"/>
                <w:lang w:val="es-ES"/>
              </w:rPr>
            </w:pPr>
            <w:proofErr w:type="spellStart"/>
            <w:r w:rsidRPr="00B01865">
              <w:rPr>
                <w:rFonts w:ascii="Arial" w:hAnsi="Arial" w:cs="Arial"/>
                <w:spacing w:val="6"/>
                <w:sz w:val="18"/>
                <w:szCs w:val="18"/>
                <w:lang w:val="es-ES"/>
              </w:rPr>
              <w:t>Recaud</w:t>
            </w:r>
            <w:proofErr w:type="spellEnd"/>
            <w:r w:rsidRPr="00B01865">
              <w:rPr>
                <w:rFonts w:ascii="Arial" w:hAnsi="Arial" w:cs="Arial"/>
                <w:spacing w:val="6"/>
                <w:sz w:val="18"/>
                <w:szCs w:val="18"/>
                <w:lang w:val="es-ES"/>
              </w:rPr>
              <w:t>./DRN</w:t>
            </w:r>
          </w:p>
        </w:tc>
        <w:tc>
          <w:tcPr>
            <w:tcW w:w="1366" w:type="dxa"/>
            <w:tcBorders>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left="-162" w:firstLine="0"/>
              <w:jc w:val="right"/>
              <w:rPr>
                <w:rFonts w:ascii="Arial" w:hAnsi="Arial" w:cs="Arial"/>
                <w:spacing w:val="6"/>
                <w:sz w:val="18"/>
                <w:szCs w:val="18"/>
                <w:lang w:val="es-ES"/>
              </w:rPr>
            </w:pPr>
            <w:r w:rsidRPr="00B01865">
              <w:rPr>
                <w:rFonts w:ascii="Arial" w:hAnsi="Arial" w:cs="Arial"/>
                <w:spacing w:val="6"/>
                <w:sz w:val="18"/>
                <w:szCs w:val="18"/>
                <w:lang w:val="es-ES"/>
              </w:rPr>
              <w:t xml:space="preserve">% variación </w:t>
            </w:r>
          </w:p>
          <w:p w:rsidR="00B01865" w:rsidRPr="00B01865" w:rsidRDefault="00B01865" w:rsidP="00B01865">
            <w:pPr>
              <w:tabs>
                <w:tab w:val="center" w:pos="2835"/>
                <w:tab w:val="center" w:pos="3969"/>
                <w:tab w:val="center" w:pos="5103"/>
                <w:tab w:val="center" w:pos="6237"/>
                <w:tab w:val="center" w:pos="7371"/>
              </w:tabs>
              <w:spacing w:after="0"/>
              <w:ind w:left="-162" w:firstLine="0"/>
              <w:jc w:val="right"/>
              <w:rPr>
                <w:rFonts w:ascii="Arial" w:hAnsi="Arial" w:cs="Arial"/>
                <w:spacing w:val="6"/>
                <w:sz w:val="18"/>
                <w:szCs w:val="18"/>
                <w:lang w:val="es-ES"/>
              </w:rPr>
            </w:pPr>
            <w:r w:rsidRPr="00B01865">
              <w:rPr>
                <w:rFonts w:ascii="Arial" w:hAnsi="Arial" w:cs="Arial"/>
                <w:spacing w:val="6"/>
                <w:sz w:val="18"/>
                <w:szCs w:val="18"/>
                <w:lang w:val="es-ES"/>
              </w:rPr>
              <w:t>2017/2016</w:t>
            </w:r>
          </w:p>
        </w:tc>
      </w:tr>
      <w:tr w:rsidR="00B01865" w:rsidRPr="00B01865" w:rsidTr="0076518A">
        <w:trPr>
          <w:trHeight w:val="198"/>
        </w:trPr>
        <w:tc>
          <w:tcPr>
            <w:tcW w:w="3232" w:type="dxa"/>
            <w:tcBorders>
              <w:bottom w:val="single" w:sz="4" w:space="0" w:color="auto"/>
            </w:tcBorders>
          </w:tcPr>
          <w:p w:rsidR="00B01865" w:rsidRPr="00B01865" w:rsidRDefault="00B01865" w:rsidP="00B01865">
            <w:pPr>
              <w:tabs>
                <w:tab w:val="center" w:pos="2835"/>
                <w:tab w:val="center" w:pos="3969"/>
                <w:tab w:val="center" w:pos="5103"/>
                <w:tab w:val="center" w:pos="6237"/>
                <w:tab w:val="center" w:pos="7371"/>
              </w:tabs>
              <w:spacing w:after="0"/>
              <w:ind w:firstLine="0"/>
              <w:rPr>
                <w:rFonts w:ascii="Arial Narrow" w:hAnsi="Arial Narrow"/>
                <w:spacing w:val="6"/>
                <w:lang w:val="es-ES"/>
              </w:rPr>
            </w:pPr>
            <w:r w:rsidRPr="00B01865">
              <w:rPr>
                <w:rFonts w:ascii="Arial Narrow" w:hAnsi="Arial Narrow"/>
                <w:spacing w:val="6"/>
                <w:lang w:val="es-ES"/>
              </w:rPr>
              <w:t xml:space="preserve">Gases </w:t>
            </w:r>
            <w:proofErr w:type="spellStart"/>
            <w:r w:rsidRPr="00B01865">
              <w:rPr>
                <w:rFonts w:ascii="Arial Narrow" w:hAnsi="Arial Narrow"/>
                <w:spacing w:val="6"/>
                <w:lang w:val="es-ES"/>
              </w:rPr>
              <w:t>fluorados</w:t>
            </w:r>
            <w:proofErr w:type="spellEnd"/>
            <w:r w:rsidRPr="00B01865">
              <w:rPr>
                <w:rFonts w:ascii="Arial Narrow" w:hAnsi="Arial Narrow"/>
                <w:spacing w:val="6"/>
                <w:lang w:val="es-ES"/>
              </w:rPr>
              <w:t xml:space="preserve"> efecto invernadero</w:t>
            </w:r>
          </w:p>
        </w:tc>
        <w:tc>
          <w:tcPr>
            <w:tcW w:w="1414" w:type="dxa"/>
            <w:gridSpan w:val="2"/>
            <w:tcBorders>
              <w:bottom w:val="single" w:sz="4"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Narrow" w:hAnsi="Arial Narrow"/>
                <w:spacing w:val="6"/>
                <w:lang w:val="es-ES"/>
              </w:rPr>
            </w:pPr>
            <w:r w:rsidRPr="00B01865">
              <w:rPr>
                <w:rFonts w:ascii="Arial Narrow" w:hAnsi="Arial Narrow"/>
                <w:spacing w:val="6"/>
                <w:lang w:val="es-ES"/>
              </w:rPr>
              <w:t>1.229</w:t>
            </w:r>
          </w:p>
        </w:tc>
        <w:tc>
          <w:tcPr>
            <w:tcW w:w="1416" w:type="dxa"/>
            <w:gridSpan w:val="2"/>
            <w:tcBorders>
              <w:bottom w:val="single" w:sz="4"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Narrow" w:hAnsi="Arial Narrow"/>
                <w:spacing w:val="6"/>
                <w:lang w:val="es-ES"/>
              </w:rPr>
            </w:pPr>
            <w:r w:rsidRPr="00B01865">
              <w:rPr>
                <w:rFonts w:ascii="Arial Narrow" w:hAnsi="Arial Narrow"/>
                <w:spacing w:val="6"/>
                <w:lang w:val="es-ES"/>
              </w:rPr>
              <w:t>1.196</w:t>
            </w:r>
          </w:p>
        </w:tc>
        <w:tc>
          <w:tcPr>
            <w:tcW w:w="1419" w:type="dxa"/>
            <w:gridSpan w:val="2"/>
            <w:tcBorders>
              <w:bottom w:val="single" w:sz="4"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right"/>
              <w:rPr>
                <w:rFonts w:ascii="Arial Narrow" w:hAnsi="Arial Narrow"/>
                <w:spacing w:val="6"/>
                <w:lang w:val="es-ES"/>
              </w:rPr>
            </w:pPr>
            <w:r w:rsidRPr="00B01865">
              <w:rPr>
                <w:rFonts w:ascii="Arial Narrow" w:hAnsi="Arial Narrow"/>
                <w:spacing w:val="6"/>
                <w:lang w:val="es-ES"/>
              </w:rPr>
              <w:t>97</w:t>
            </w:r>
          </w:p>
        </w:tc>
        <w:tc>
          <w:tcPr>
            <w:tcW w:w="1366" w:type="dxa"/>
            <w:tcBorders>
              <w:bottom w:val="single" w:sz="4" w:space="0" w:color="auto"/>
            </w:tcBorders>
            <w:vAlign w:val="center"/>
          </w:tcPr>
          <w:p w:rsidR="00B01865" w:rsidRPr="00B01865" w:rsidRDefault="00B01865" w:rsidP="00B01865">
            <w:pPr>
              <w:tabs>
                <w:tab w:val="center" w:pos="2835"/>
                <w:tab w:val="center" w:pos="3969"/>
                <w:tab w:val="center" w:pos="5103"/>
                <w:tab w:val="center" w:pos="6237"/>
                <w:tab w:val="center" w:pos="7371"/>
              </w:tabs>
              <w:spacing w:after="0"/>
              <w:ind w:left="-162" w:firstLine="0"/>
              <w:jc w:val="right"/>
              <w:rPr>
                <w:rFonts w:ascii="Arial Narrow" w:hAnsi="Arial Narrow"/>
                <w:spacing w:val="6"/>
                <w:lang w:val="es-ES"/>
              </w:rPr>
            </w:pPr>
            <w:r w:rsidRPr="00B01865">
              <w:rPr>
                <w:rFonts w:ascii="Arial Narrow" w:hAnsi="Arial Narrow"/>
                <w:spacing w:val="6"/>
                <w:lang w:val="es-ES"/>
              </w:rPr>
              <w:t>24</w:t>
            </w:r>
          </w:p>
        </w:tc>
      </w:tr>
    </w:tbl>
    <w:p w:rsidR="00B01865" w:rsidRPr="00B01865" w:rsidRDefault="00B01865" w:rsidP="00FB4933">
      <w:pPr>
        <w:pStyle w:val="texto"/>
        <w:spacing w:before="240"/>
        <w:rPr>
          <w:lang w:val="es-ES"/>
        </w:rPr>
      </w:pPr>
      <w:bookmarkStart w:id="95" w:name="_Toc418853788"/>
      <w:r w:rsidRPr="00B01865">
        <w:rPr>
          <w:lang w:val="es-ES"/>
        </w:rPr>
        <w:t>De la revisión realizada hemos comprobado que, en general, los proced</w:t>
      </w:r>
      <w:r w:rsidRPr="00B01865">
        <w:rPr>
          <w:lang w:val="es-ES"/>
        </w:rPr>
        <w:t>i</w:t>
      </w:r>
      <w:r w:rsidRPr="00B01865">
        <w:rPr>
          <w:lang w:val="es-ES"/>
        </w:rPr>
        <w:t>mientos, liquidación y recaudación se llevaron a cabo de conformidad con su normativa reguladora, si bien señalamos los siguientes aspectos:</w:t>
      </w:r>
    </w:p>
    <w:p w:rsidR="00B01865" w:rsidRPr="00B01865" w:rsidRDefault="00B01865" w:rsidP="00934A57">
      <w:pPr>
        <w:pStyle w:val="texto"/>
      </w:pPr>
      <w:r w:rsidRPr="00B01865">
        <w:t>Hemos constatado que los criterios utilizados para registrar los derechos r</w:t>
      </w:r>
      <w:r w:rsidRPr="00B01865">
        <w:t>e</w:t>
      </w:r>
      <w:r w:rsidRPr="00B01865">
        <w:t>conocidos netos y la recaudación neta en el presupuesto, tal y como se ha ind</w:t>
      </w:r>
      <w:r w:rsidRPr="00B01865">
        <w:t>i</w:t>
      </w:r>
      <w:r w:rsidRPr="00B01865">
        <w:t>cado para el conjunto de impuestos, no se adecúan a los establecidos en el PGCP por los motivos ya descritos.</w:t>
      </w:r>
    </w:p>
    <w:p w:rsidR="00B01865" w:rsidRPr="00B01865" w:rsidRDefault="00B01865" w:rsidP="00934A57">
      <w:pPr>
        <w:pStyle w:val="texto"/>
      </w:pPr>
      <w:r w:rsidRPr="00B01865">
        <w:t>Este impuesto es recaudado por Navarra desde 2015 (previamente lo hacía el Estado) momento en el cual la Agencia Tributaria proporcionó a la HTN el censo de los contribuyentes que operaban en esta comunidad. Así, a partir de enero de 2015, los operadores que realizan entregas de estos gases en Navarra solicitan la autorización en la HTN y este permiso se tramita a través de la pl</w:t>
      </w:r>
      <w:r w:rsidRPr="00B01865">
        <w:t>a</w:t>
      </w:r>
      <w:r w:rsidRPr="00B01865">
        <w:t xml:space="preserve">taforma </w:t>
      </w:r>
      <w:r w:rsidR="00A97D25">
        <w:t xml:space="preserve">BUDANET </w:t>
      </w:r>
      <w:r w:rsidRPr="00B01865">
        <w:t>de la Agencia Tributaria. Las posteriores declaraciones que realizan los contribuyentes no se introducen en todos los casos en esta apl</w:t>
      </w:r>
      <w:r w:rsidRPr="00B01865">
        <w:t>i</w:t>
      </w:r>
      <w:r w:rsidRPr="00B01865">
        <w:t>cación.</w:t>
      </w:r>
    </w:p>
    <w:p w:rsidR="00B01865" w:rsidRPr="00B01865" w:rsidRDefault="00B01865" w:rsidP="00934A57">
      <w:pPr>
        <w:pStyle w:val="texto"/>
      </w:pPr>
      <w:r w:rsidRPr="00B01865">
        <w:t>Los contribuyentes presentan autoliquidaciones de forma telemática y el formulario asigna por defecto los tipos aplicables en función del gas utilizado</w:t>
      </w:r>
      <w:r w:rsidR="00904024">
        <w:t>,</w:t>
      </w:r>
      <w:r w:rsidRPr="00B01865">
        <w:t xml:space="preserve"> así como las exenciones previstas en función de la actividad desarrollada; si bien existen estas indicaciones, es posible la edición de las casillas lo que i</w:t>
      </w:r>
      <w:r w:rsidRPr="00B01865">
        <w:t>m</w:t>
      </w:r>
      <w:r w:rsidRPr="00B01865">
        <w:t>plica que se puedan modificar estos datos, sin que exista una validación aut</w:t>
      </w:r>
      <w:r w:rsidRPr="00B01865">
        <w:t>o</w:t>
      </w:r>
      <w:r w:rsidRPr="00B01865">
        <w:t xml:space="preserve">mática de estos cambios. </w:t>
      </w:r>
    </w:p>
    <w:p w:rsidR="00B01865" w:rsidRPr="00B01865" w:rsidRDefault="00B01865" w:rsidP="0076518A">
      <w:pPr>
        <w:pStyle w:val="texto"/>
      </w:pPr>
      <w:r w:rsidRPr="00B01865">
        <w:tab/>
        <w:t>Al respect</w:t>
      </w:r>
      <w:r w:rsidR="00934A57">
        <w:t>o, hemos verificado que en algunos</w:t>
      </w:r>
      <w:r w:rsidRPr="00B01865">
        <w:t xml:space="preserve"> caso</w:t>
      </w:r>
      <w:r w:rsidR="00934A57">
        <w:t>s</w:t>
      </w:r>
      <w:r w:rsidRPr="00B01865">
        <w:t xml:space="preserve"> existen errores en el cálculo de los tipos y en las posibles reducciones que implican una cuota mayor que la abonada inicialmente; la HTN ya ha iniciado el procedimiento para girar al contribuyente la liquidación revisada. </w:t>
      </w:r>
    </w:p>
    <w:p w:rsidR="000F064B" w:rsidRDefault="000F064B">
      <w:pPr>
        <w:spacing w:after="0"/>
        <w:ind w:firstLine="0"/>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br w:type="page"/>
      </w:r>
    </w:p>
    <w:p w:rsidR="00B01865" w:rsidRPr="00B01865" w:rsidRDefault="00B01865" w:rsidP="0076518A">
      <w:pPr>
        <w:spacing w:before="240" w:after="12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lastRenderedPageBreak/>
        <w:t xml:space="preserve">Lucha contra el fraude fiscal </w:t>
      </w:r>
    </w:p>
    <w:p w:rsidR="00B01865" w:rsidRPr="00B01865" w:rsidRDefault="00B01865" w:rsidP="0076518A">
      <w:pPr>
        <w:pStyle w:val="texto"/>
        <w:rPr>
          <w:lang w:val="es-ES"/>
        </w:rPr>
      </w:pPr>
      <w:r w:rsidRPr="00B01865">
        <w:rPr>
          <w:lang w:val="es-ES"/>
        </w:rPr>
        <w:t xml:space="preserve">De acuerdo con los datos </w:t>
      </w:r>
      <w:r w:rsidR="008F1A3B">
        <w:rPr>
          <w:lang w:val="es-ES"/>
        </w:rPr>
        <w:t xml:space="preserve">incluidos en la memoria de </w:t>
      </w:r>
      <w:r w:rsidRPr="00B01865">
        <w:rPr>
          <w:lang w:val="es-ES"/>
        </w:rPr>
        <w:t>la HTN, la lucha contra el fraude fiscal entre 2008 y 2017 ha devengado los siguientes ingresos:</w:t>
      </w:r>
    </w:p>
    <w:tbl>
      <w:tblPr>
        <w:tblW w:w="8805" w:type="dxa"/>
        <w:jc w:val="center"/>
        <w:tblLayout w:type="fixed"/>
        <w:tblCellMar>
          <w:left w:w="70" w:type="dxa"/>
          <w:right w:w="70" w:type="dxa"/>
        </w:tblCellMar>
        <w:tblLook w:val="04A0" w:firstRow="1" w:lastRow="0" w:firstColumn="1" w:lastColumn="0" w:noHBand="0" w:noVBand="1"/>
      </w:tblPr>
      <w:tblGrid>
        <w:gridCol w:w="1254"/>
        <w:gridCol w:w="1291"/>
        <w:gridCol w:w="1432"/>
        <w:gridCol w:w="2268"/>
        <w:gridCol w:w="1276"/>
        <w:gridCol w:w="1284"/>
      </w:tblGrid>
      <w:tr w:rsidR="00B01865" w:rsidRPr="00B01865" w:rsidTr="00B01865">
        <w:trPr>
          <w:trHeight w:val="198"/>
          <w:jc w:val="center"/>
        </w:trPr>
        <w:tc>
          <w:tcPr>
            <w:tcW w:w="8805" w:type="dxa"/>
            <w:gridSpan w:val="6"/>
            <w:tcBorders>
              <w:bottom w:val="single" w:sz="4" w:space="0" w:color="auto"/>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B01865">
              <w:rPr>
                <w:rFonts w:ascii="Arial" w:hAnsi="Arial" w:cs="Arial"/>
                <w:spacing w:val="6"/>
                <w:sz w:val="17"/>
                <w:szCs w:val="17"/>
              </w:rPr>
              <w:t>(en miles de euros)</w:t>
            </w:r>
          </w:p>
        </w:tc>
      </w:tr>
      <w:tr w:rsidR="00B01865" w:rsidRPr="00B01865" w:rsidTr="0076518A">
        <w:trPr>
          <w:trHeight w:val="255"/>
          <w:jc w:val="center"/>
        </w:trPr>
        <w:tc>
          <w:tcPr>
            <w:tcW w:w="1254"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B01865">
              <w:rPr>
                <w:rFonts w:ascii="Arial" w:hAnsi="Arial"/>
                <w:spacing w:val="6"/>
                <w:sz w:val="18"/>
                <w:szCs w:val="18"/>
              </w:rPr>
              <w:t>Ejercicio</w:t>
            </w:r>
          </w:p>
        </w:tc>
        <w:tc>
          <w:tcPr>
            <w:tcW w:w="1291"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 xml:space="preserve">Gestión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tributaria</w:t>
            </w:r>
          </w:p>
        </w:tc>
        <w:tc>
          <w:tcPr>
            <w:tcW w:w="1432"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Inspección</w:t>
            </w:r>
          </w:p>
        </w:tc>
        <w:tc>
          <w:tcPr>
            <w:tcW w:w="2268"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 xml:space="preserve">Otras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actuaciones tributarias*</w:t>
            </w:r>
          </w:p>
        </w:tc>
        <w:tc>
          <w:tcPr>
            <w:tcW w:w="1276" w:type="dxa"/>
            <w:tcBorders>
              <w:top w:val="single" w:sz="4" w:space="0" w:color="auto"/>
              <w:bottom w:val="single" w:sz="4" w:space="0" w:color="auto"/>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 xml:space="preserve">Importe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total</w:t>
            </w:r>
          </w:p>
        </w:tc>
        <w:tc>
          <w:tcPr>
            <w:tcW w:w="1284"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índice</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2008</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83.930</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47.636</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131.566</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100</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2009</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81.404</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56.630</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138.034</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105</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2010</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67.518</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54.852</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122.370</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93</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2011</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52.045</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38.808</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90.853</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69</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2012</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58.648</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69.499</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128.147</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97</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2013</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57.358</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37.826</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95.184</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72</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2014</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56.137</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28.681</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0</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84.818</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64</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2015</w:t>
            </w:r>
          </w:p>
        </w:tc>
        <w:tc>
          <w:tcPr>
            <w:tcW w:w="1291" w:type="dxa"/>
            <w:tcBorders>
              <w:top w:val="single" w:sz="2" w:space="0" w:color="auto"/>
              <w:bottom w:val="single" w:sz="2" w:space="0" w:color="auto"/>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50.992</w:t>
            </w:r>
          </w:p>
        </w:tc>
        <w:tc>
          <w:tcPr>
            <w:tcW w:w="1432" w:type="dxa"/>
            <w:tcBorders>
              <w:top w:val="single" w:sz="2" w:space="0" w:color="auto"/>
              <w:bottom w:val="single" w:sz="2" w:space="0" w:color="auto"/>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45.610</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8.129</w:t>
            </w:r>
          </w:p>
        </w:tc>
        <w:tc>
          <w:tcPr>
            <w:tcW w:w="1276" w:type="dxa"/>
            <w:tcBorders>
              <w:top w:val="single" w:sz="2" w:space="0" w:color="auto"/>
              <w:bottom w:val="single" w:sz="2" w:space="0" w:color="auto"/>
            </w:tcBorders>
            <w:shd w:val="clear" w:color="auto" w:fill="auto"/>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104.731</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80</w:t>
            </w:r>
          </w:p>
        </w:tc>
      </w:tr>
      <w:tr w:rsidR="00B01865" w:rsidRPr="00B01865" w:rsidTr="00BC745B">
        <w:trPr>
          <w:trHeight w:val="170"/>
          <w:jc w:val="center"/>
        </w:trPr>
        <w:tc>
          <w:tcPr>
            <w:tcW w:w="1254"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2016</w:t>
            </w:r>
          </w:p>
        </w:tc>
        <w:tc>
          <w:tcPr>
            <w:tcW w:w="1291"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58.774</w:t>
            </w:r>
          </w:p>
        </w:tc>
        <w:tc>
          <w:tcPr>
            <w:tcW w:w="1432"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46.142</w:t>
            </w:r>
          </w:p>
        </w:tc>
        <w:tc>
          <w:tcPr>
            <w:tcW w:w="2268"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19.363</w:t>
            </w:r>
          </w:p>
        </w:tc>
        <w:tc>
          <w:tcPr>
            <w:tcW w:w="1276"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124.279</w:t>
            </w:r>
          </w:p>
        </w:tc>
        <w:tc>
          <w:tcPr>
            <w:tcW w:w="1284" w:type="dxa"/>
            <w:tcBorders>
              <w:top w:val="single" w:sz="2"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sidRPr="00B01865">
              <w:rPr>
                <w:rFonts w:ascii="Arial Narrow" w:hAnsi="Arial Narrow" w:cs="Arial"/>
                <w:spacing w:val="6"/>
              </w:rPr>
              <w:t>94</w:t>
            </w:r>
          </w:p>
        </w:tc>
      </w:tr>
      <w:tr w:rsidR="00B01865" w:rsidRPr="00B01865" w:rsidTr="00BC745B">
        <w:trPr>
          <w:trHeight w:val="170"/>
          <w:jc w:val="center"/>
        </w:trPr>
        <w:tc>
          <w:tcPr>
            <w:tcW w:w="1254" w:type="dxa"/>
            <w:tcBorders>
              <w:top w:val="single" w:sz="2" w:space="0" w:color="auto"/>
              <w:bottom w:val="single" w:sz="4"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2017</w:t>
            </w:r>
          </w:p>
        </w:tc>
        <w:tc>
          <w:tcPr>
            <w:tcW w:w="1291" w:type="dxa"/>
            <w:tcBorders>
              <w:top w:val="single" w:sz="2" w:space="0" w:color="auto"/>
              <w:bottom w:val="single" w:sz="4" w:space="0" w:color="auto"/>
            </w:tcBorders>
            <w:shd w:val="clear" w:color="auto" w:fill="auto"/>
            <w:noWrap/>
            <w:vAlign w:val="center"/>
          </w:tcPr>
          <w:p w:rsidR="00B01865" w:rsidRPr="00B01865"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94.408</w:t>
            </w:r>
          </w:p>
        </w:tc>
        <w:tc>
          <w:tcPr>
            <w:tcW w:w="1432" w:type="dxa"/>
            <w:tcBorders>
              <w:top w:val="single" w:sz="2" w:space="0" w:color="auto"/>
              <w:bottom w:val="single" w:sz="4" w:space="0" w:color="auto"/>
            </w:tcBorders>
            <w:shd w:val="clear" w:color="auto" w:fill="auto"/>
            <w:noWrap/>
            <w:vAlign w:val="center"/>
          </w:tcPr>
          <w:p w:rsidR="00B01865" w:rsidRPr="00B01865"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33.586</w:t>
            </w:r>
          </w:p>
        </w:tc>
        <w:tc>
          <w:tcPr>
            <w:tcW w:w="2268" w:type="dxa"/>
            <w:tcBorders>
              <w:top w:val="single" w:sz="2" w:space="0" w:color="auto"/>
              <w:bottom w:val="single" w:sz="4" w:space="0" w:color="auto"/>
            </w:tcBorders>
            <w:vAlign w:val="center"/>
          </w:tcPr>
          <w:p w:rsidR="00B01865" w:rsidRPr="00B01865"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20.984</w:t>
            </w:r>
          </w:p>
        </w:tc>
        <w:tc>
          <w:tcPr>
            <w:tcW w:w="1276" w:type="dxa"/>
            <w:tcBorders>
              <w:top w:val="single" w:sz="2" w:space="0" w:color="auto"/>
              <w:bottom w:val="single" w:sz="4" w:space="0" w:color="auto"/>
            </w:tcBorders>
            <w:shd w:val="clear" w:color="auto" w:fill="auto"/>
            <w:noWrap/>
            <w:vAlign w:val="center"/>
          </w:tcPr>
          <w:p w:rsidR="00B01865" w:rsidRPr="00B01865"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148.978</w:t>
            </w:r>
          </w:p>
        </w:tc>
        <w:tc>
          <w:tcPr>
            <w:tcW w:w="1284" w:type="dxa"/>
            <w:tcBorders>
              <w:top w:val="single" w:sz="2" w:space="0" w:color="auto"/>
              <w:bottom w:val="single" w:sz="4" w:space="0" w:color="auto"/>
            </w:tcBorders>
            <w:vAlign w:val="center"/>
          </w:tcPr>
          <w:p w:rsidR="00B01865" w:rsidRPr="00B01865"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cs="Arial"/>
                <w:spacing w:val="6"/>
              </w:rPr>
            </w:pPr>
            <w:r>
              <w:rPr>
                <w:rFonts w:ascii="Arial Narrow" w:hAnsi="Arial Narrow" w:cs="Arial"/>
                <w:spacing w:val="6"/>
              </w:rPr>
              <w:t>113</w:t>
            </w:r>
          </w:p>
        </w:tc>
      </w:tr>
    </w:tbl>
    <w:p w:rsidR="00B01865" w:rsidRPr="00B01865" w:rsidRDefault="00B01865" w:rsidP="0076518A">
      <w:pPr>
        <w:keepLines/>
        <w:spacing w:before="60" w:after="0"/>
        <w:ind w:firstLine="0"/>
        <w:rPr>
          <w:rFonts w:ascii="Arial" w:hAnsi="Arial" w:cs="Arial"/>
          <w:spacing w:val="6"/>
          <w:sz w:val="16"/>
          <w:szCs w:val="16"/>
        </w:rPr>
      </w:pPr>
      <w:r w:rsidRPr="00B01865">
        <w:rPr>
          <w:rFonts w:ascii="Arial" w:hAnsi="Arial" w:cs="Arial"/>
          <w:spacing w:val="6"/>
          <w:sz w:val="16"/>
          <w:szCs w:val="16"/>
        </w:rPr>
        <w:t>*En 2015 comienza el recuento de este tipo de actuaciones que no tienen una relación directa con el contribuye</w:t>
      </w:r>
      <w:r w:rsidRPr="00B01865">
        <w:rPr>
          <w:rFonts w:ascii="Arial" w:hAnsi="Arial" w:cs="Arial"/>
          <w:spacing w:val="6"/>
          <w:sz w:val="16"/>
          <w:szCs w:val="16"/>
        </w:rPr>
        <w:t>n</w:t>
      </w:r>
      <w:r w:rsidRPr="00B01865">
        <w:rPr>
          <w:rFonts w:ascii="Arial" w:hAnsi="Arial" w:cs="Arial"/>
          <w:spacing w:val="6"/>
          <w:sz w:val="16"/>
          <w:szCs w:val="16"/>
        </w:rPr>
        <w:t xml:space="preserve">te pero suponen </w:t>
      </w:r>
      <w:r w:rsidR="004240B1">
        <w:rPr>
          <w:rFonts w:ascii="Arial" w:hAnsi="Arial" w:cs="Arial"/>
          <w:spacing w:val="6"/>
          <w:sz w:val="16"/>
          <w:szCs w:val="16"/>
        </w:rPr>
        <w:t xml:space="preserve">devengo de ingresos </w:t>
      </w:r>
      <w:r w:rsidRPr="00B01865">
        <w:rPr>
          <w:rFonts w:ascii="Arial" w:hAnsi="Arial" w:cs="Arial"/>
          <w:spacing w:val="6"/>
          <w:sz w:val="16"/>
          <w:szCs w:val="16"/>
        </w:rPr>
        <w:t>para Navarra.</w:t>
      </w:r>
    </w:p>
    <w:p w:rsidR="00B01865" w:rsidRPr="008F1A3B" w:rsidRDefault="00EE69E0" w:rsidP="0076518A">
      <w:pPr>
        <w:pStyle w:val="texto"/>
        <w:spacing w:before="240"/>
        <w:rPr>
          <w:lang w:val="es-ES"/>
        </w:rPr>
      </w:pPr>
      <w:r>
        <w:rPr>
          <w:lang w:val="es-ES"/>
        </w:rPr>
        <w:t>L</w:t>
      </w:r>
      <w:r w:rsidR="00B01865" w:rsidRPr="008F1A3B">
        <w:rPr>
          <w:lang w:val="es-ES"/>
        </w:rPr>
        <w:t xml:space="preserve">os ingresos devengados originados por la lucha contra el fraude fiscal han oscilado significativamente alcanzando su menor valor en 2014; sin embargo, desde esa fecha </w:t>
      </w:r>
      <w:r>
        <w:rPr>
          <w:lang w:val="es-ES"/>
        </w:rPr>
        <w:t>se han incrementado, y en</w:t>
      </w:r>
      <w:r w:rsidR="00B01865" w:rsidRPr="008F1A3B">
        <w:rPr>
          <w:lang w:val="es-ES"/>
        </w:rPr>
        <w:t xml:space="preserve"> 201</w:t>
      </w:r>
      <w:r w:rsidR="008F1A3B">
        <w:rPr>
          <w:lang w:val="es-ES"/>
        </w:rPr>
        <w:t>7</w:t>
      </w:r>
      <w:r>
        <w:rPr>
          <w:lang w:val="es-ES"/>
        </w:rPr>
        <w:t xml:space="preserve"> ascienden a</w:t>
      </w:r>
      <w:r w:rsidR="00B01865" w:rsidRPr="008F1A3B">
        <w:rPr>
          <w:lang w:val="es-ES"/>
        </w:rPr>
        <w:t xml:space="preserve"> </w:t>
      </w:r>
      <w:r w:rsidR="008F1A3B">
        <w:rPr>
          <w:lang w:val="es-ES"/>
        </w:rPr>
        <w:t>148,98</w:t>
      </w:r>
      <w:r w:rsidR="00B01865" w:rsidRPr="008F1A3B">
        <w:rPr>
          <w:lang w:val="es-ES"/>
        </w:rPr>
        <w:t xml:space="preserve"> millones.</w:t>
      </w:r>
    </w:p>
    <w:p w:rsidR="00B01865" w:rsidRPr="008F1A3B" w:rsidRDefault="00B01865" w:rsidP="0076518A">
      <w:pPr>
        <w:pStyle w:val="texto"/>
        <w:rPr>
          <w:lang w:val="es-ES"/>
        </w:rPr>
      </w:pPr>
      <w:r w:rsidRPr="008F1A3B">
        <w:rPr>
          <w:lang w:val="es-ES"/>
        </w:rPr>
        <w:t>En el siguiente cuadro comparamos, con un mayor detalle, las actuaciones contra el fraude de los ejercicios 2016 y 2017</w:t>
      </w:r>
      <w:r w:rsidR="004A0FE4">
        <w:rPr>
          <w:lang w:val="es-ES"/>
        </w:rPr>
        <w:t>, según la información contenida en la memoria de la HTN</w:t>
      </w:r>
      <w:r w:rsidRPr="008F1A3B">
        <w:rPr>
          <w:lang w:val="es-ES"/>
        </w:rPr>
        <w:t>:</w:t>
      </w:r>
    </w:p>
    <w:tbl>
      <w:tblPr>
        <w:tblW w:w="8872"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3203"/>
        <w:gridCol w:w="1629"/>
        <w:gridCol w:w="1357"/>
        <w:gridCol w:w="1689"/>
        <w:gridCol w:w="994"/>
      </w:tblGrid>
      <w:tr w:rsidR="00B01865" w:rsidRPr="00B01865" w:rsidTr="00C327E2">
        <w:trPr>
          <w:trHeight w:val="255"/>
          <w:jc w:val="center"/>
        </w:trPr>
        <w:tc>
          <w:tcPr>
            <w:tcW w:w="8872" w:type="dxa"/>
            <w:gridSpan w:val="5"/>
            <w:tcBorders>
              <w:top w:val="nil"/>
              <w:bottom w:val="single" w:sz="4"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sidRPr="00B01865">
              <w:rPr>
                <w:rFonts w:ascii="Arial" w:hAnsi="Arial"/>
                <w:spacing w:val="6"/>
                <w:sz w:val="17"/>
                <w:szCs w:val="17"/>
              </w:rPr>
              <w:t>(en miles de euros)</w:t>
            </w:r>
          </w:p>
        </w:tc>
      </w:tr>
      <w:tr w:rsidR="00B01865" w:rsidRPr="00C327E2" w:rsidTr="00C327E2">
        <w:trPr>
          <w:trHeight w:val="255"/>
          <w:jc w:val="center"/>
        </w:trPr>
        <w:tc>
          <w:tcPr>
            <w:tcW w:w="3203" w:type="dxa"/>
            <w:tcBorders>
              <w:top w:val="single" w:sz="4" w:space="0" w:color="auto"/>
              <w:bottom w:val="single" w:sz="4" w:space="0" w:color="auto"/>
            </w:tcBorders>
            <w:shd w:val="clear" w:color="auto" w:fill="8DB3E2" w:themeFill="text2" w:themeFillTint="66"/>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C327E2">
              <w:rPr>
                <w:rFonts w:ascii="Arial" w:hAnsi="Arial" w:cs="Arial"/>
                <w:spacing w:val="6"/>
                <w:sz w:val="18"/>
                <w:szCs w:val="18"/>
              </w:rPr>
              <w:t>Lucha contra el fraude fiscal</w:t>
            </w:r>
          </w:p>
        </w:tc>
        <w:tc>
          <w:tcPr>
            <w:tcW w:w="2986" w:type="dxa"/>
            <w:gridSpan w:val="2"/>
            <w:tcBorders>
              <w:top w:val="single" w:sz="4" w:space="0" w:color="auto"/>
              <w:bottom w:val="single" w:sz="4" w:space="0" w:color="auto"/>
            </w:tcBorders>
            <w:shd w:val="clear" w:color="auto" w:fill="8DB3E2" w:themeFill="text2" w:themeFillTint="66"/>
            <w:vAlign w:val="center"/>
            <w:hideMark/>
          </w:tcPr>
          <w:p w:rsidR="00B01865" w:rsidRPr="00C327E2" w:rsidRDefault="00B01865" w:rsidP="00AC7529">
            <w:pPr>
              <w:keepLines/>
              <w:tabs>
                <w:tab w:val="right" w:pos="2581"/>
                <w:tab w:val="right" w:pos="3969"/>
                <w:tab w:val="right" w:pos="5103"/>
                <w:tab w:val="right" w:pos="6237"/>
                <w:tab w:val="right" w:pos="7371"/>
              </w:tabs>
              <w:spacing w:after="0"/>
              <w:ind w:firstLine="0"/>
              <w:jc w:val="center"/>
              <w:rPr>
                <w:rFonts w:ascii="Arial" w:hAnsi="Arial" w:cs="Arial"/>
                <w:spacing w:val="6"/>
                <w:sz w:val="18"/>
                <w:szCs w:val="18"/>
              </w:rPr>
            </w:pPr>
            <w:r w:rsidRPr="00C327E2">
              <w:rPr>
                <w:rFonts w:ascii="Arial" w:hAnsi="Arial" w:cs="Arial"/>
                <w:spacing w:val="6"/>
                <w:sz w:val="18"/>
                <w:szCs w:val="18"/>
              </w:rPr>
              <w:t xml:space="preserve">2016 </w:t>
            </w:r>
          </w:p>
        </w:tc>
        <w:tc>
          <w:tcPr>
            <w:tcW w:w="2683" w:type="dxa"/>
            <w:gridSpan w:val="2"/>
            <w:tcBorders>
              <w:top w:val="single" w:sz="4" w:space="0" w:color="auto"/>
              <w:bottom w:val="single" w:sz="4" w:space="0" w:color="auto"/>
            </w:tcBorders>
            <w:shd w:val="clear" w:color="auto" w:fill="8DB3E2" w:themeFill="text2" w:themeFillTint="66"/>
            <w:vAlign w:val="center"/>
            <w:hideMark/>
          </w:tcPr>
          <w:p w:rsidR="00B01865" w:rsidRPr="00C327E2" w:rsidRDefault="00B01865" w:rsidP="00AC7529">
            <w:pPr>
              <w:keepLines/>
              <w:tabs>
                <w:tab w:val="right" w:pos="2835"/>
                <w:tab w:val="right" w:pos="3969"/>
                <w:tab w:val="right" w:pos="5103"/>
                <w:tab w:val="right" w:pos="6237"/>
                <w:tab w:val="right" w:pos="7371"/>
              </w:tabs>
              <w:spacing w:after="0"/>
              <w:ind w:left="502" w:firstLine="0"/>
              <w:jc w:val="center"/>
              <w:rPr>
                <w:rFonts w:ascii="Arial" w:hAnsi="Arial" w:cs="Arial"/>
                <w:spacing w:val="6"/>
                <w:sz w:val="18"/>
                <w:szCs w:val="18"/>
              </w:rPr>
            </w:pPr>
            <w:r w:rsidRPr="00C327E2">
              <w:rPr>
                <w:rFonts w:ascii="Arial" w:hAnsi="Arial" w:cs="Arial"/>
                <w:spacing w:val="6"/>
                <w:sz w:val="18"/>
                <w:szCs w:val="18"/>
              </w:rPr>
              <w:t>2017</w:t>
            </w:r>
          </w:p>
        </w:tc>
      </w:tr>
      <w:tr w:rsidR="00B01865" w:rsidRPr="00C327E2" w:rsidTr="00BC745B">
        <w:trPr>
          <w:trHeight w:val="170"/>
          <w:jc w:val="center"/>
        </w:trPr>
        <w:tc>
          <w:tcPr>
            <w:tcW w:w="3203" w:type="dxa"/>
            <w:tcBorders>
              <w:top w:val="single" w:sz="4" w:space="0" w:color="auto"/>
              <w:bottom w:val="single" w:sz="4" w:space="0" w:color="auto"/>
            </w:tcBorders>
            <w:shd w:val="clear" w:color="auto" w:fill="8DB3E2" w:themeFill="text2" w:themeFillTint="66"/>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C327E2">
              <w:rPr>
                <w:rFonts w:ascii="Arial" w:hAnsi="Arial" w:cs="Arial"/>
                <w:spacing w:val="6"/>
                <w:sz w:val="18"/>
                <w:szCs w:val="18"/>
              </w:rPr>
              <w:t>Inspección</w:t>
            </w:r>
          </w:p>
        </w:tc>
        <w:tc>
          <w:tcPr>
            <w:tcW w:w="1629" w:type="dxa"/>
            <w:tcBorders>
              <w:top w:val="single" w:sz="4" w:space="0" w:color="auto"/>
              <w:bottom w:val="single" w:sz="4" w:space="0" w:color="auto"/>
            </w:tcBorders>
            <w:shd w:val="clear" w:color="auto" w:fill="8DB3E2" w:themeFill="text2" w:themeFillTint="66"/>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327E2">
              <w:rPr>
                <w:rFonts w:ascii="Arial" w:hAnsi="Arial" w:cs="Arial"/>
                <w:spacing w:val="6"/>
                <w:sz w:val="18"/>
                <w:szCs w:val="18"/>
              </w:rPr>
              <w:t>Nº Actuaciones</w:t>
            </w:r>
          </w:p>
        </w:tc>
        <w:tc>
          <w:tcPr>
            <w:tcW w:w="1357" w:type="dxa"/>
            <w:tcBorders>
              <w:top w:val="single" w:sz="4" w:space="0" w:color="auto"/>
              <w:bottom w:val="single" w:sz="4" w:space="0" w:color="auto"/>
            </w:tcBorders>
            <w:shd w:val="clear" w:color="auto" w:fill="8DB3E2" w:themeFill="text2" w:themeFillTint="66"/>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w:hAnsi="Arial" w:cs="Arial"/>
                <w:spacing w:val="6"/>
                <w:sz w:val="18"/>
                <w:szCs w:val="18"/>
              </w:rPr>
            </w:pPr>
            <w:r w:rsidRPr="00C327E2">
              <w:rPr>
                <w:rFonts w:ascii="Arial" w:hAnsi="Arial" w:cs="Arial"/>
                <w:spacing w:val="6"/>
                <w:sz w:val="18"/>
                <w:szCs w:val="18"/>
              </w:rPr>
              <w:t>Importe</w:t>
            </w:r>
          </w:p>
        </w:tc>
        <w:tc>
          <w:tcPr>
            <w:tcW w:w="1689" w:type="dxa"/>
            <w:tcBorders>
              <w:top w:val="single" w:sz="4" w:space="0" w:color="auto"/>
              <w:bottom w:val="single" w:sz="4" w:space="0" w:color="auto"/>
            </w:tcBorders>
            <w:shd w:val="clear" w:color="auto" w:fill="8DB3E2" w:themeFill="text2" w:themeFillTint="66"/>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327E2">
              <w:rPr>
                <w:rFonts w:ascii="Arial" w:hAnsi="Arial" w:cs="Arial"/>
                <w:spacing w:val="6"/>
                <w:sz w:val="18"/>
                <w:szCs w:val="18"/>
              </w:rPr>
              <w:t>Nº Actuaciones</w:t>
            </w:r>
          </w:p>
        </w:tc>
        <w:tc>
          <w:tcPr>
            <w:tcW w:w="994" w:type="dxa"/>
            <w:tcBorders>
              <w:top w:val="single" w:sz="4" w:space="0" w:color="auto"/>
              <w:bottom w:val="single" w:sz="4" w:space="0" w:color="auto"/>
            </w:tcBorders>
            <w:shd w:val="clear" w:color="auto" w:fill="8DB3E2" w:themeFill="text2" w:themeFillTint="66"/>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327E2">
              <w:rPr>
                <w:rFonts w:ascii="Arial" w:hAnsi="Arial" w:cs="Arial"/>
                <w:spacing w:val="6"/>
                <w:sz w:val="18"/>
                <w:szCs w:val="18"/>
              </w:rPr>
              <w:t>Importe</w:t>
            </w:r>
          </w:p>
        </w:tc>
      </w:tr>
      <w:tr w:rsidR="00B01865" w:rsidRPr="00C327E2" w:rsidTr="00BC745B">
        <w:trPr>
          <w:trHeight w:val="170"/>
          <w:jc w:val="center"/>
        </w:trPr>
        <w:tc>
          <w:tcPr>
            <w:tcW w:w="3203" w:type="dxa"/>
            <w:tcBorders>
              <w:top w:val="single" w:sz="4" w:space="0" w:color="auto"/>
            </w:tcBorders>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Actas inspección</w:t>
            </w:r>
          </w:p>
        </w:tc>
        <w:tc>
          <w:tcPr>
            <w:tcW w:w="1629" w:type="dxa"/>
            <w:tcBorders>
              <w:top w:val="single" w:sz="4" w:space="0" w:color="auto"/>
            </w:tcBorders>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C327E2">
              <w:rPr>
                <w:rFonts w:ascii="Arial Narrow" w:hAnsi="Arial Narrow"/>
                <w:spacing w:val="6"/>
              </w:rPr>
              <w:t>573</w:t>
            </w:r>
          </w:p>
        </w:tc>
        <w:tc>
          <w:tcPr>
            <w:tcW w:w="1357" w:type="dxa"/>
            <w:tcBorders>
              <w:top w:val="single" w:sz="4" w:space="0" w:color="auto"/>
            </w:tcBorders>
            <w:shd w:val="clear" w:color="auto" w:fill="auto"/>
            <w:noWrap/>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sidRPr="00C327E2">
              <w:rPr>
                <w:rFonts w:ascii="Arial Narrow" w:hAnsi="Arial Narrow"/>
                <w:spacing w:val="6"/>
              </w:rPr>
              <w:t>19.869</w:t>
            </w:r>
          </w:p>
        </w:tc>
        <w:tc>
          <w:tcPr>
            <w:tcW w:w="1689" w:type="dxa"/>
            <w:tcBorders>
              <w:top w:val="single" w:sz="4" w:space="0" w:color="auto"/>
            </w:tcBorders>
            <w:shd w:val="clear" w:color="auto" w:fill="auto"/>
            <w:noWrap/>
            <w:vAlign w:val="center"/>
            <w:hideMark/>
          </w:tcPr>
          <w:p w:rsidR="00B01865" w:rsidRPr="00C327E2"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527</w:t>
            </w:r>
          </w:p>
        </w:tc>
        <w:tc>
          <w:tcPr>
            <w:tcW w:w="994" w:type="dxa"/>
            <w:tcBorders>
              <w:top w:val="single" w:sz="4" w:space="0" w:color="auto"/>
            </w:tcBorders>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16.116</w:t>
            </w:r>
          </w:p>
        </w:tc>
      </w:tr>
      <w:tr w:rsidR="00B01865" w:rsidRPr="00C327E2" w:rsidTr="00BC745B">
        <w:trPr>
          <w:trHeight w:val="170"/>
          <w:jc w:val="center"/>
        </w:trPr>
        <w:tc>
          <w:tcPr>
            <w:tcW w:w="3203" w:type="dxa"/>
            <w:shd w:val="clear" w:color="auto" w:fill="auto"/>
            <w:noWrap/>
            <w:vAlign w:val="center"/>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Expedientes sancionadores</w:t>
            </w:r>
          </w:p>
        </w:tc>
        <w:tc>
          <w:tcPr>
            <w:tcW w:w="1629" w:type="dxa"/>
            <w:shd w:val="clear" w:color="auto" w:fill="auto"/>
            <w:noWrap/>
            <w:vAlign w:val="center"/>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C327E2">
              <w:rPr>
                <w:rFonts w:ascii="Arial Narrow" w:hAnsi="Arial Narrow"/>
                <w:spacing w:val="6"/>
              </w:rPr>
              <w:t>367</w:t>
            </w:r>
          </w:p>
        </w:tc>
        <w:tc>
          <w:tcPr>
            <w:tcW w:w="1357" w:type="dxa"/>
            <w:shd w:val="clear" w:color="auto" w:fill="auto"/>
            <w:noWrap/>
            <w:vAlign w:val="center"/>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sidRPr="00C327E2">
              <w:rPr>
                <w:rFonts w:ascii="Arial Narrow" w:hAnsi="Arial Narrow"/>
                <w:spacing w:val="6"/>
              </w:rPr>
              <w:t>10.571</w:t>
            </w:r>
          </w:p>
        </w:tc>
        <w:tc>
          <w:tcPr>
            <w:tcW w:w="1689" w:type="dxa"/>
            <w:shd w:val="clear" w:color="auto" w:fill="auto"/>
            <w:noWrap/>
            <w:vAlign w:val="center"/>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C327E2">
              <w:rPr>
                <w:rFonts w:ascii="Arial Narrow" w:hAnsi="Arial Narrow"/>
                <w:spacing w:val="6"/>
              </w:rPr>
              <w:t>3</w:t>
            </w:r>
            <w:r w:rsidR="008F1A3B">
              <w:rPr>
                <w:rFonts w:ascii="Arial Narrow" w:hAnsi="Arial Narrow"/>
                <w:spacing w:val="6"/>
              </w:rPr>
              <w:t>17</w:t>
            </w:r>
          </w:p>
        </w:tc>
        <w:tc>
          <w:tcPr>
            <w:tcW w:w="994" w:type="dxa"/>
            <w:shd w:val="clear" w:color="auto" w:fill="auto"/>
            <w:noWrap/>
            <w:vAlign w:val="center"/>
          </w:tcPr>
          <w:p w:rsidR="00B01865" w:rsidRPr="00C327E2" w:rsidRDefault="0015392A" w:rsidP="0015392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6.308</w:t>
            </w:r>
          </w:p>
        </w:tc>
      </w:tr>
      <w:tr w:rsidR="00B01865" w:rsidRPr="00C327E2" w:rsidTr="00BC745B">
        <w:trPr>
          <w:trHeight w:val="170"/>
          <w:jc w:val="center"/>
        </w:trPr>
        <w:tc>
          <w:tcPr>
            <w:tcW w:w="3203" w:type="dxa"/>
            <w:shd w:val="clear" w:color="auto" w:fill="auto"/>
            <w:noWrap/>
            <w:vAlign w:val="center"/>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Responsabilidad civil delito</w:t>
            </w:r>
          </w:p>
        </w:tc>
        <w:tc>
          <w:tcPr>
            <w:tcW w:w="1629" w:type="dxa"/>
            <w:shd w:val="clear" w:color="auto" w:fill="auto"/>
            <w:noWrap/>
            <w:vAlign w:val="center"/>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C327E2">
              <w:rPr>
                <w:rFonts w:ascii="Arial Narrow" w:hAnsi="Arial Narrow"/>
                <w:spacing w:val="6"/>
              </w:rPr>
              <w:t>3</w:t>
            </w:r>
          </w:p>
        </w:tc>
        <w:tc>
          <w:tcPr>
            <w:tcW w:w="1357" w:type="dxa"/>
            <w:shd w:val="clear" w:color="auto" w:fill="auto"/>
            <w:noWrap/>
            <w:vAlign w:val="center"/>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sidRPr="00C327E2">
              <w:rPr>
                <w:rFonts w:ascii="Arial Narrow" w:hAnsi="Arial Narrow"/>
                <w:spacing w:val="6"/>
              </w:rPr>
              <w:t>7.982</w:t>
            </w:r>
          </w:p>
        </w:tc>
        <w:tc>
          <w:tcPr>
            <w:tcW w:w="1689" w:type="dxa"/>
            <w:shd w:val="clear" w:color="auto" w:fill="auto"/>
            <w:noWrap/>
            <w:vAlign w:val="center"/>
          </w:tcPr>
          <w:p w:rsidR="00B01865" w:rsidRPr="00C327E2" w:rsidRDefault="008F1A3B"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w:t>
            </w:r>
          </w:p>
        </w:tc>
        <w:tc>
          <w:tcPr>
            <w:tcW w:w="994" w:type="dxa"/>
            <w:shd w:val="clear" w:color="auto" w:fill="auto"/>
            <w:noWrap/>
            <w:vAlign w:val="center"/>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4.921</w:t>
            </w:r>
          </w:p>
        </w:tc>
      </w:tr>
      <w:tr w:rsidR="00B01865" w:rsidRPr="00C327E2" w:rsidTr="00BC745B">
        <w:trPr>
          <w:trHeight w:val="170"/>
          <w:jc w:val="center"/>
        </w:trPr>
        <w:tc>
          <w:tcPr>
            <w:tcW w:w="3203" w:type="dxa"/>
            <w:shd w:val="clear" w:color="auto" w:fill="auto"/>
            <w:noWrap/>
            <w:vAlign w:val="center"/>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Regularizaciones inducidas inspección</w:t>
            </w:r>
          </w:p>
        </w:tc>
        <w:tc>
          <w:tcPr>
            <w:tcW w:w="1629" w:type="dxa"/>
            <w:shd w:val="clear" w:color="auto" w:fill="auto"/>
            <w:noWrap/>
            <w:vAlign w:val="center"/>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C327E2">
              <w:rPr>
                <w:rFonts w:ascii="Arial Narrow" w:hAnsi="Arial Narrow"/>
                <w:spacing w:val="6"/>
              </w:rPr>
              <w:t>9</w:t>
            </w:r>
          </w:p>
        </w:tc>
        <w:tc>
          <w:tcPr>
            <w:tcW w:w="1357" w:type="dxa"/>
            <w:shd w:val="clear" w:color="auto" w:fill="auto"/>
            <w:noWrap/>
            <w:vAlign w:val="center"/>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sidRPr="00C327E2">
              <w:rPr>
                <w:rFonts w:ascii="Arial Narrow" w:hAnsi="Arial Narrow"/>
                <w:spacing w:val="6"/>
              </w:rPr>
              <w:t>434</w:t>
            </w:r>
          </w:p>
        </w:tc>
        <w:tc>
          <w:tcPr>
            <w:tcW w:w="1689" w:type="dxa"/>
            <w:shd w:val="clear" w:color="auto" w:fill="auto"/>
            <w:noWrap/>
            <w:vAlign w:val="center"/>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10</w:t>
            </w:r>
          </w:p>
        </w:tc>
        <w:tc>
          <w:tcPr>
            <w:tcW w:w="994" w:type="dxa"/>
            <w:shd w:val="clear" w:color="auto" w:fill="auto"/>
            <w:noWrap/>
            <w:vAlign w:val="center"/>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832</w:t>
            </w:r>
          </w:p>
        </w:tc>
      </w:tr>
      <w:tr w:rsidR="00B01865" w:rsidRPr="00C327E2" w:rsidTr="00BC745B">
        <w:trPr>
          <w:trHeight w:val="170"/>
          <w:jc w:val="center"/>
        </w:trPr>
        <w:tc>
          <w:tcPr>
            <w:tcW w:w="3203" w:type="dxa"/>
            <w:tcBorders>
              <w:bottom w:val="single" w:sz="4" w:space="0" w:color="auto"/>
            </w:tcBorders>
            <w:shd w:val="clear" w:color="auto" w:fill="auto"/>
            <w:noWrap/>
            <w:vAlign w:val="center"/>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Eliminación créditos fiscales</w:t>
            </w:r>
          </w:p>
        </w:tc>
        <w:tc>
          <w:tcPr>
            <w:tcW w:w="1629" w:type="dxa"/>
            <w:tcBorders>
              <w:bottom w:val="single" w:sz="4" w:space="0" w:color="auto"/>
            </w:tcBorders>
            <w:shd w:val="clear" w:color="auto" w:fill="auto"/>
            <w:noWrap/>
            <w:vAlign w:val="center"/>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C327E2">
              <w:rPr>
                <w:rFonts w:ascii="Arial Narrow" w:hAnsi="Arial Narrow"/>
                <w:spacing w:val="6"/>
              </w:rPr>
              <w:t>75</w:t>
            </w:r>
          </w:p>
        </w:tc>
        <w:tc>
          <w:tcPr>
            <w:tcW w:w="1357" w:type="dxa"/>
            <w:tcBorders>
              <w:bottom w:val="single" w:sz="4" w:space="0" w:color="auto"/>
            </w:tcBorders>
            <w:shd w:val="clear" w:color="auto" w:fill="auto"/>
            <w:noWrap/>
            <w:vAlign w:val="center"/>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sidRPr="00C327E2">
              <w:rPr>
                <w:rFonts w:ascii="Arial Narrow" w:hAnsi="Arial Narrow"/>
                <w:spacing w:val="6"/>
              </w:rPr>
              <w:t>7.286</w:t>
            </w:r>
          </w:p>
        </w:tc>
        <w:tc>
          <w:tcPr>
            <w:tcW w:w="1689" w:type="dxa"/>
            <w:tcBorders>
              <w:bottom w:val="single" w:sz="4" w:space="0" w:color="auto"/>
            </w:tcBorders>
            <w:shd w:val="clear" w:color="auto" w:fill="auto"/>
            <w:noWrap/>
            <w:vAlign w:val="center"/>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86</w:t>
            </w:r>
          </w:p>
        </w:tc>
        <w:tc>
          <w:tcPr>
            <w:tcW w:w="994" w:type="dxa"/>
            <w:tcBorders>
              <w:bottom w:val="single" w:sz="4" w:space="0" w:color="auto"/>
            </w:tcBorders>
            <w:shd w:val="clear" w:color="auto" w:fill="auto"/>
            <w:noWrap/>
            <w:vAlign w:val="center"/>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5.409</w:t>
            </w:r>
          </w:p>
        </w:tc>
      </w:tr>
      <w:tr w:rsidR="00B01865" w:rsidRPr="00C327E2" w:rsidTr="00BC745B">
        <w:trPr>
          <w:trHeight w:val="170"/>
          <w:jc w:val="center"/>
        </w:trPr>
        <w:tc>
          <w:tcPr>
            <w:tcW w:w="3203" w:type="dxa"/>
            <w:tcBorders>
              <w:top w:val="single" w:sz="4" w:space="0" w:color="auto"/>
              <w:bottom w:val="single" w:sz="4" w:space="0" w:color="auto"/>
            </w:tcBorders>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b/>
                <w:spacing w:val="6"/>
                <w:sz w:val="18"/>
                <w:szCs w:val="18"/>
              </w:rPr>
            </w:pPr>
            <w:r w:rsidRPr="00C327E2">
              <w:rPr>
                <w:rFonts w:ascii="Arial" w:hAnsi="Arial" w:cs="Arial"/>
                <w:b/>
                <w:spacing w:val="6"/>
                <w:sz w:val="18"/>
                <w:szCs w:val="18"/>
              </w:rPr>
              <w:t xml:space="preserve">Total Inspección </w:t>
            </w:r>
          </w:p>
        </w:tc>
        <w:tc>
          <w:tcPr>
            <w:tcW w:w="1629" w:type="dxa"/>
            <w:tcBorders>
              <w:top w:val="single" w:sz="4" w:space="0" w:color="auto"/>
              <w:bottom w:val="single" w:sz="4" w:space="0" w:color="auto"/>
            </w:tcBorders>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sidRPr="00C327E2">
              <w:rPr>
                <w:rFonts w:ascii="Arial" w:hAnsi="Arial" w:cs="Arial"/>
                <w:b/>
                <w:spacing w:val="6"/>
                <w:sz w:val="18"/>
                <w:szCs w:val="18"/>
              </w:rPr>
              <w:t>1.027</w:t>
            </w:r>
          </w:p>
        </w:tc>
        <w:tc>
          <w:tcPr>
            <w:tcW w:w="1357" w:type="dxa"/>
            <w:tcBorders>
              <w:top w:val="single" w:sz="4" w:space="0" w:color="auto"/>
              <w:bottom w:val="single" w:sz="4" w:space="0" w:color="auto"/>
            </w:tcBorders>
            <w:shd w:val="clear" w:color="auto" w:fill="auto"/>
            <w:noWrap/>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w:hAnsi="Arial" w:cs="Arial"/>
                <w:b/>
                <w:spacing w:val="6"/>
                <w:sz w:val="18"/>
                <w:szCs w:val="18"/>
              </w:rPr>
            </w:pPr>
            <w:r w:rsidRPr="00C327E2">
              <w:rPr>
                <w:rFonts w:ascii="Arial" w:hAnsi="Arial" w:cs="Arial"/>
                <w:b/>
                <w:spacing w:val="6"/>
                <w:sz w:val="18"/>
                <w:szCs w:val="18"/>
              </w:rPr>
              <w:t>46.142</w:t>
            </w:r>
          </w:p>
        </w:tc>
        <w:tc>
          <w:tcPr>
            <w:tcW w:w="1689" w:type="dxa"/>
            <w:tcBorders>
              <w:top w:val="single" w:sz="4" w:space="0" w:color="auto"/>
              <w:bottom w:val="single" w:sz="4" w:space="0" w:color="auto"/>
            </w:tcBorders>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cs="Arial"/>
                <w:b/>
                <w:spacing w:val="6"/>
                <w:sz w:val="18"/>
                <w:szCs w:val="18"/>
              </w:rPr>
              <w:t>944</w:t>
            </w:r>
          </w:p>
        </w:tc>
        <w:tc>
          <w:tcPr>
            <w:tcW w:w="994" w:type="dxa"/>
            <w:tcBorders>
              <w:top w:val="single" w:sz="4" w:space="0" w:color="auto"/>
              <w:bottom w:val="single" w:sz="4" w:space="0" w:color="auto"/>
            </w:tcBorders>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cs="Arial"/>
                <w:b/>
                <w:spacing w:val="6"/>
                <w:sz w:val="18"/>
                <w:szCs w:val="18"/>
              </w:rPr>
              <w:t>33.586</w:t>
            </w:r>
          </w:p>
        </w:tc>
      </w:tr>
      <w:tr w:rsidR="00B01865" w:rsidRPr="00C327E2" w:rsidTr="00BC745B">
        <w:trPr>
          <w:trHeight w:val="170"/>
          <w:jc w:val="center"/>
        </w:trPr>
        <w:tc>
          <w:tcPr>
            <w:tcW w:w="3203" w:type="dxa"/>
            <w:tcBorders>
              <w:top w:val="single" w:sz="4" w:space="0" w:color="auto"/>
              <w:bottom w:val="single" w:sz="4" w:space="0" w:color="auto"/>
            </w:tcBorders>
            <w:shd w:val="clear" w:color="auto" w:fill="8DB3E2" w:themeFill="text2" w:themeFillTint="66"/>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C327E2">
              <w:rPr>
                <w:rFonts w:ascii="Arial" w:hAnsi="Arial" w:cs="Arial"/>
                <w:spacing w:val="6"/>
                <w:sz w:val="18"/>
                <w:szCs w:val="18"/>
              </w:rPr>
              <w:t>Gestión Tributaria</w:t>
            </w:r>
          </w:p>
        </w:tc>
        <w:tc>
          <w:tcPr>
            <w:tcW w:w="1629" w:type="dxa"/>
            <w:tcBorders>
              <w:top w:val="single" w:sz="4" w:space="0" w:color="auto"/>
              <w:bottom w:val="single" w:sz="4" w:space="0" w:color="auto"/>
            </w:tcBorders>
            <w:shd w:val="clear" w:color="auto" w:fill="8DB3E2" w:themeFill="text2" w:themeFillTint="66"/>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327E2">
              <w:rPr>
                <w:rFonts w:ascii="Arial" w:hAnsi="Arial" w:cs="Arial"/>
                <w:spacing w:val="6"/>
                <w:sz w:val="18"/>
                <w:szCs w:val="18"/>
              </w:rPr>
              <w:t>Nº liquidaciones</w:t>
            </w:r>
          </w:p>
        </w:tc>
        <w:tc>
          <w:tcPr>
            <w:tcW w:w="1357" w:type="dxa"/>
            <w:tcBorders>
              <w:top w:val="single" w:sz="4" w:space="0" w:color="auto"/>
              <w:bottom w:val="single" w:sz="4" w:space="0" w:color="auto"/>
            </w:tcBorders>
            <w:shd w:val="clear" w:color="auto" w:fill="8DB3E2" w:themeFill="text2" w:themeFillTint="66"/>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w:hAnsi="Arial" w:cs="Arial"/>
                <w:spacing w:val="6"/>
                <w:sz w:val="18"/>
                <w:szCs w:val="18"/>
              </w:rPr>
            </w:pPr>
            <w:r w:rsidRPr="00C327E2">
              <w:rPr>
                <w:rFonts w:ascii="Arial" w:hAnsi="Arial" w:cs="Arial"/>
                <w:spacing w:val="6"/>
                <w:sz w:val="18"/>
                <w:szCs w:val="18"/>
              </w:rPr>
              <w:t>Importe</w:t>
            </w:r>
          </w:p>
        </w:tc>
        <w:tc>
          <w:tcPr>
            <w:tcW w:w="1689" w:type="dxa"/>
            <w:tcBorders>
              <w:top w:val="single" w:sz="4" w:space="0" w:color="auto"/>
              <w:bottom w:val="single" w:sz="4" w:space="0" w:color="auto"/>
            </w:tcBorders>
            <w:shd w:val="clear" w:color="auto" w:fill="8DB3E2" w:themeFill="text2" w:themeFillTint="66"/>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327E2">
              <w:rPr>
                <w:rFonts w:ascii="Arial" w:hAnsi="Arial" w:cs="Arial"/>
                <w:spacing w:val="6"/>
                <w:sz w:val="18"/>
                <w:szCs w:val="18"/>
              </w:rPr>
              <w:t>Nº liquidaciones</w:t>
            </w:r>
          </w:p>
        </w:tc>
        <w:tc>
          <w:tcPr>
            <w:tcW w:w="994" w:type="dxa"/>
            <w:tcBorders>
              <w:top w:val="single" w:sz="4" w:space="0" w:color="auto"/>
              <w:bottom w:val="single" w:sz="4" w:space="0" w:color="auto"/>
            </w:tcBorders>
            <w:shd w:val="clear" w:color="auto" w:fill="8DB3E2" w:themeFill="text2" w:themeFillTint="66"/>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C327E2">
              <w:rPr>
                <w:rFonts w:ascii="Arial" w:hAnsi="Arial" w:cs="Arial"/>
                <w:spacing w:val="6"/>
                <w:sz w:val="18"/>
                <w:szCs w:val="18"/>
              </w:rPr>
              <w:t>Importe</w:t>
            </w:r>
          </w:p>
        </w:tc>
      </w:tr>
      <w:tr w:rsidR="00B01865" w:rsidRPr="00C327E2" w:rsidTr="00BC745B">
        <w:trPr>
          <w:trHeight w:val="170"/>
          <w:jc w:val="center"/>
        </w:trPr>
        <w:tc>
          <w:tcPr>
            <w:tcW w:w="3203" w:type="dxa"/>
            <w:tcBorders>
              <w:top w:val="single" w:sz="4" w:space="0" w:color="auto"/>
            </w:tcBorders>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IVA</w:t>
            </w:r>
          </w:p>
        </w:tc>
        <w:tc>
          <w:tcPr>
            <w:tcW w:w="1629" w:type="dxa"/>
            <w:tcBorders>
              <w:top w:val="single" w:sz="4" w:space="0" w:color="auto"/>
            </w:tcBorders>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C327E2">
              <w:rPr>
                <w:rFonts w:ascii="Arial Narrow" w:hAnsi="Arial Narrow"/>
                <w:spacing w:val="6"/>
              </w:rPr>
              <w:t>3.520</w:t>
            </w:r>
          </w:p>
        </w:tc>
        <w:tc>
          <w:tcPr>
            <w:tcW w:w="1357" w:type="dxa"/>
            <w:tcBorders>
              <w:top w:val="single" w:sz="4" w:space="0" w:color="auto"/>
            </w:tcBorders>
            <w:shd w:val="clear" w:color="auto" w:fill="auto"/>
            <w:noWrap/>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sidRPr="00C327E2">
              <w:rPr>
                <w:rFonts w:ascii="Arial Narrow" w:hAnsi="Arial Narrow"/>
                <w:spacing w:val="6"/>
              </w:rPr>
              <w:t>12.936</w:t>
            </w:r>
          </w:p>
        </w:tc>
        <w:tc>
          <w:tcPr>
            <w:tcW w:w="1689" w:type="dxa"/>
            <w:tcBorders>
              <w:top w:val="single" w:sz="4" w:space="0" w:color="auto"/>
            </w:tcBorders>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4.418</w:t>
            </w:r>
          </w:p>
        </w:tc>
        <w:tc>
          <w:tcPr>
            <w:tcW w:w="994" w:type="dxa"/>
            <w:tcBorders>
              <w:top w:val="single" w:sz="4" w:space="0" w:color="auto"/>
            </w:tcBorders>
            <w:shd w:val="clear" w:color="auto" w:fill="auto"/>
            <w:noWrap/>
            <w:vAlign w:val="center"/>
            <w:hideMark/>
          </w:tcPr>
          <w:p w:rsidR="00B01865" w:rsidRPr="00C327E2" w:rsidRDefault="0015392A" w:rsidP="0015392A">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18.452</w:t>
            </w:r>
          </w:p>
        </w:tc>
      </w:tr>
      <w:tr w:rsidR="00B01865" w:rsidRPr="00C327E2" w:rsidTr="00BC745B">
        <w:trPr>
          <w:trHeight w:val="170"/>
          <w:jc w:val="center"/>
        </w:trPr>
        <w:tc>
          <w:tcPr>
            <w:tcW w:w="3203"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IRPF</w:t>
            </w:r>
          </w:p>
        </w:tc>
        <w:tc>
          <w:tcPr>
            <w:tcW w:w="1629"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C327E2">
              <w:rPr>
                <w:rFonts w:ascii="Arial Narrow" w:hAnsi="Arial Narrow"/>
                <w:spacing w:val="6"/>
              </w:rPr>
              <w:t>4.090</w:t>
            </w:r>
          </w:p>
        </w:tc>
        <w:tc>
          <w:tcPr>
            <w:tcW w:w="1357" w:type="dxa"/>
            <w:shd w:val="clear" w:color="auto" w:fill="auto"/>
            <w:noWrap/>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sidRPr="00C327E2">
              <w:rPr>
                <w:rFonts w:ascii="Arial Narrow" w:hAnsi="Arial Narrow"/>
                <w:spacing w:val="6"/>
              </w:rPr>
              <w:t>4.960</w:t>
            </w:r>
          </w:p>
        </w:tc>
        <w:tc>
          <w:tcPr>
            <w:tcW w:w="1689"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C327E2">
              <w:rPr>
                <w:rFonts w:ascii="Arial Narrow" w:hAnsi="Arial Narrow"/>
                <w:spacing w:val="6"/>
              </w:rPr>
              <w:t>4.</w:t>
            </w:r>
            <w:r w:rsidR="0015392A">
              <w:rPr>
                <w:rFonts w:ascii="Arial Narrow" w:hAnsi="Arial Narrow"/>
                <w:spacing w:val="6"/>
              </w:rPr>
              <w:t>657</w:t>
            </w:r>
          </w:p>
        </w:tc>
        <w:tc>
          <w:tcPr>
            <w:tcW w:w="994" w:type="dxa"/>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5.572</w:t>
            </w:r>
          </w:p>
        </w:tc>
      </w:tr>
      <w:tr w:rsidR="00B01865" w:rsidRPr="00C327E2" w:rsidTr="00BC745B">
        <w:trPr>
          <w:trHeight w:val="170"/>
          <w:jc w:val="center"/>
        </w:trPr>
        <w:tc>
          <w:tcPr>
            <w:tcW w:w="3203"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Sociedades</w:t>
            </w:r>
          </w:p>
        </w:tc>
        <w:tc>
          <w:tcPr>
            <w:tcW w:w="1629"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C327E2">
              <w:rPr>
                <w:rFonts w:ascii="Arial Narrow" w:hAnsi="Arial Narrow"/>
                <w:spacing w:val="6"/>
              </w:rPr>
              <w:t>279</w:t>
            </w:r>
          </w:p>
        </w:tc>
        <w:tc>
          <w:tcPr>
            <w:tcW w:w="1357" w:type="dxa"/>
            <w:shd w:val="clear" w:color="auto" w:fill="auto"/>
            <w:noWrap/>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sidRPr="00C327E2">
              <w:rPr>
                <w:rFonts w:ascii="Arial Narrow" w:hAnsi="Arial Narrow"/>
                <w:spacing w:val="6"/>
              </w:rPr>
              <w:t>2.185</w:t>
            </w:r>
          </w:p>
        </w:tc>
        <w:tc>
          <w:tcPr>
            <w:tcW w:w="1689"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C327E2">
              <w:rPr>
                <w:rFonts w:ascii="Arial Narrow" w:hAnsi="Arial Narrow"/>
                <w:spacing w:val="6"/>
              </w:rPr>
              <w:t>2</w:t>
            </w:r>
            <w:r w:rsidR="0015392A">
              <w:rPr>
                <w:rFonts w:ascii="Arial Narrow" w:hAnsi="Arial Narrow"/>
                <w:spacing w:val="6"/>
              </w:rPr>
              <w:t>05</w:t>
            </w:r>
          </w:p>
        </w:tc>
        <w:tc>
          <w:tcPr>
            <w:tcW w:w="994" w:type="dxa"/>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1.324</w:t>
            </w:r>
          </w:p>
        </w:tc>
      </w:tr>
      <w:tr w:rsidR="00B01865" w:rsidRPr="00C327E2" w:rsidTr="00BC745B">
        <w:trPr>
          <w:trHeight w:val="170"/>
          <w:jc w:val="center"/>
        </w:trPr>
        <w:tc>
          <w:tcPr>
            <w:tcW w:w="3203"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Resto impuestos</w:t>
            </w:r>
          </w:p>
        </w:tc>
        <w:tc>
          <w:tcPr>
            <w:tcW w:w="1629"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C327E2">
              <w:rPr>
                <w:rFonts w:ascii="Arial Narrow" w:hAnsi="Arial Narrow"/>
                <w:spacing w:val="6"/>
              </w:rPr>
              <w:t>5.674</w:t>
            </w:r>
          </w:p>
        </w:tc>
        <w:tc>
          <w:tcPr>
            <w:tcW w:w="1357" w:type="dxa"/>
            <w:shd w:val="clear" w:color="auto" w:fill="auto"/>
            <w:noWrap/>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sidRPr="00C327E2">
              <w:rPr>
                <w:rFonts w:ascii="Arial Narrow" w:hAnsi="Arial Narrow"/>
                <w:spacing w:val="6"/>
              </w:rPr>
              <w:t>5.891</w:t>
            </w:r>
          </w:p>
        </w:tc>
        <w:tc>
          <w:tcPr>
            <w:tcW w:w="1689" w:type="dxa"/>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4.500</w:t>
            </w:r>
          </w:p>
        </w:tc>
        <w:tc>
          <w:tcPr>
            <w:tcW w:w="994" w:type="dxa"/>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23.240</w:t>
            </w:r>
          </w:p>
        </w:tc>
      </w:tr>
      <w:tr w:rsidR="00B01865" w:rsidRPr="00C327E2" w:rsidTr="00BC745B">
        <w:trPr>
          <w:trHeight w:val="170"/>
          <w:jc w:val="center"/>
        </w:trPr>
        <w:tc>
          <w:tcPr>
            <w:tcW w:w="3203"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Sanciones</w:t>
            </w:r>
          </w:p>
        </w:tc>
        <w:tc>
          <w:tcPr>
            <w:tcW w:w="1629" w:type="dxa"/>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13.873</w:t>
            </w:r>
          </w:p>
        </w:tc>
        <w:tc>
          <w:tcPr>
            <w:tcW w:w="1357" w:type="dxa"/>
            <w:shd w:val="clear" w:color="auto" w:fill="auto"/>
            <w:noWrap/>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sidRPr="00C327E2">
              <w:rPr>
                <w:rFonts w:ascii="Arial Narrow" w:hAnsi="Arial Narrow"/>
                <w:spacing w:val="6"/>
              </w:rPr>
              <w:t>5.683</w:t>
            </w:r>
          </w:p>
        </w:tc>
        <w:tc>
          <w:tcPr>
            <w:tcW w:w="1689" w:type="dxa"/>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15.963</w:t>
            </w:r>
          </w:p>
        </w:tc>
        <w:tc>
          <w:tcPr>
            <w:tcW w:w="994" w:type="dxa"/>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7.424</w:t>
            </w:r>
          </w:p>
        </w:tc>
      </w:tr>
      <w:tr w:rsidR="00B01865" w:rsidRPr="00C327E2" w:rsidTr="00BC745B">
        <w:trPr>
          <w:trHeight w:val="170"/>
          <w:jc w:val="center"/>
        </w:trPr>
        <w:tc>
          <w:tcPr>
            <w:tcW w:w="3203"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Recargos extemporáneos</w:t>
            </w:r>
          </w:p>
        </w:tc>
        <w:tc>
          <w:tcPr>
            <w:tcW w:w="1629"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C327E2">
              <w:rPr>
                <w:rFonts w:ascii="Arial Narrow" w:hAnsi="Arial Narrow"/>
                <w:spacing w:val="6"/>
              </w:rPr>
              <w:t>4.952</w:t>
            </w:r>
          </w:p>
        </w:tc>
        <w:tc>
          <w:tcPr>
            <w:tcW w:w="1357" w:type="dxa"/>
            <w:shd w:val="clear" w:color="auto" w:fill="auto"/>
            <w:noWrap/>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sidRPr="00C327E2">
              <w:rPr>
                <w:rFonts w:ascii="Arial Narrow" w:hAnsi="Arial Narrow"/>
                <w:spacing w:val="6"/>
              </w:rPr>
              <w:t>2.459</w:t>
            </w:r>
          </w:p>
        </w:tc>
        <w:tc>
          <w:tcPr>
            <w:tcW w:w="1689"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C327E2">
              <w:rPr>
                <w:rFonts w:ascii="Arial Narrow" w:hAnsi="Arial Narrow"/>
                <w:spacing w:val="6"/>
              </w:rPr>
              <w:t>4.</w:t>
            </w:r>
            <w:r w:rsidR="0015392A">
              <w:rPr>
                <w:rFonts w:ascii="Arial Narrow" w:hAnsi="Arial Narrow"/>
                <w:spacing w:val="6"/>
              </w:rPr>
              <w:t>613</w:t>
            </w:r>
          </w:p>
        </w:tc>
        <w:tc>
          <w:tcPr>
            <w:tcW w:w="994" w:type="dxa"/>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1.843</w:t>
            </w:r>
          </w:p>
        </w:tc>
      </w:tr>
      <w:tr w:rsidR="00B01865" w:rsidRPr="00C327E2" w:rsidTr="00BC745B">
        <w:trPr>
          <w:trHeight w:val="170"/>
          <w:jc w:val="center"/>
        </w:trPr>
        <w:tc>
          <w:tcPr>
            <w:tcW w:w="3203"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Requerimientos</w:t>
            </w:r>
          </w:p>
        </w:tc>
        <w:tc>
          <w:tcPr>
            <w:tcW w:w="1629" w:type="dxa"/>
            <w:shd w:val="clear" w:color="auto" w:fill="auto"/>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C327E2">
              <w:rPr>
                <w:rFonts w:ascii="Arial Narrow" w:hAnsi="Arial Narrow"/>
                <w:spacing w:val="6"/>
              </w:rPr>
              <w:t>4.584</w:t>
            </w:r>
          </w:p>
        </w:tc>
        <w:tc>
          <w:tcPr>
            <w:tcW w:w="1357" w:type="dxa"/>
            <w:shd w:val="clear" w:color="auto" w:fill="auto"/>
            <w:noWrap/>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sidRPr="00C327E2">
              <w:rPr>
                <w:rFonts w:ascii="Arial Narrow" w:hAnsi="Arial Narrow"/>
                <w:spacing w:val="6"/>
              </w:rPr>
              <w:t>5.409</w:t>
            </w:r>
          </w:p>
        </w:tc>
        <w:tc>
          <w:tcPr>
            <w:tcW w:w="1689" w:type="dxa"/>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3.904</w:t>
            </w:r>
          </w:p>
        </w:tc>
        <w:tc>
          <w:tcPr>
            <w:tcW w:w="994" w:type="dxa"/>
            <w:shd w:val="clear" w:color="auto" w:fill="auto"/>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5.693</w:t>
            </w:r>
          </w:p>
        </w:tc>
      </w:tr>
      <w:tr w:rsidR="00B01865" w:rsidRPr="00C327E2" w:rsidTr="00BC745B">
        <w:trPr>
          <w:trHeight w:val="170"/>
          <w:jc w:val="center"/>
        </w:trPr>
        <w:tc>
          <w:tcPr>
            <w:tcW w:w="3203" w:type="dxa"/>
            <w:tcBorders>
              <w:bottom w:val="single" w:sz="4" w:space="0" w:color="auto"/>
            </w:tcBorders>
            <w:shd w:val="clear" w:color="auto" w:fill="auto"/>
            <w:noWrap/>
            <w:vAlign w:val="center"/>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C327E2">
              <w:rPr>
                <w:rFonts w:ascii="Arial Narrow" w:hAnsi="Arial Narrow"/>
                <w:spacing w:val="6"/>
              </w:rPr>
              <w:t>Ingresos inducidos gestión</w:t>
            </w:r>
          </w:p>
        </w:tc>
        <w:tc>
          <w:tcPr>
            <w:tcW w:w="1629" w:type="dxa"/>
            <w:tcBorders>
              <w:bottom w:val="single" w:sz="4" w:space="0" w:color="auto"/>
            </w:tcBorders>
            <w:shd w:val="clear" w:color="auto" w:fill="auto"/>
            <w:noWrap/>
            <w:vAlign w:val="center"/>
          </w:tcPr>
          <w:p w:rsidR="00B01865" w:rsidRPr="00C327E2" w:rsidRDefault="00B01865" w:rsidP="0015392A">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C327E2">
              <w:rPr>
                <w:rFonts w:ascii="Arial Narrow" w:hAnsi="Arial Narrow"/>
                <w:spacing w:val="6"/>
              </w:rPr>
              <w:t>13.</w:t>
            </w:r>
            <w:r w:rsidR="0015392A">
              <w:rPr>
                <w:rFonts w:ascii="Arial Narrow" w:hAnsi="Arial Narrow"/>
                <w:spacing w:val="6"/>
              </w:rPr>
              <w:t>686</w:t>
            </w:r>
          </w:p>
        </w:tc>
        <w:tc>
          <w:tcPr>
            <w:tcW w:w="1357" w:type="dxa"/>
            <w:tcBorders>
              <w:bottom w:val="single" w:sz="4" w:space="0" w:color="auto"/>
            </w:tcBorders>
            <w:shd w:val="clear" w:color="auto" w:fill="auto"/>
            <w:noWrap/>
            <w:vAlign w:val="center"/>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Narrow" w:hAnsi="Arial Narrow"/>
                <w:spacing w:val="6"/>
              </w:rPr>
            </w:pPr>
            <w:r w:rsidRPr="00C327E2">
              <w:rPr>
                <w:rFonts w:ascii="Arial Narrow" w:hAnsi="Arial Narrow"/>
                <w:spacing w:val="6"/>
              </w:rPr>
              <w:t>19.251</w:t>
            </w:r>
          </w:p>
        </w:tc>
        <w:tc>
          <w:tcPr>
            <w:tcW w:w="1689" w:type="dxa"/>
            <w:tcBorders>
              <w:bottom w:val="single" w:sz="4" w:space="0" w:color="auto"/>
            </w:tcBorders>
            <w:shd w:val="clear" w:color="auto" w:fill="auto"/>
            <w:noWrap/>
            <w:vAlign w:val="center"/>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5.791</w:t>
            </w:r>
          </w:p>
        </w:tc>
        <w:tc>
          <w:tcPr>
            <w:tcW w:w="994" w:type="dxa"/>
            <w:tcBorders>
              <w:bottom w:val="single" w:sz="4" w:space="0" w:color="auto"/>
            </w:tcBorders>
            <w:shd w:val="clear" w:color="auto" w:fill="auto"/>
            <w:noWrap/>
            <w:vAlign w:val="center"/>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30.860</w:t>
            </w:r>
          </w:p>
        </w:tc>
      </w:tr>
      <w:tr w:rsidR="00B01865" w:rsidRPr="00C327E2" w:rsidTr="00BC745B">
        <w:trPr>
          <w:trHeight w:val="170"/>
          <w:jc w:val="center"/>
        </w:trPr>
        <w:tc>
          <w:tcPr>
            <w:tcW w:w="3203" w:type="dxa"/>
            <w:tcBorders>
              <w:top w:val="single" w:sz="4" w:space="0" w:color="auto"/>
              <w:bottom w:val="single" w:sz="4" w:space="0" w:color="auto"/>
            </w:tcBorders>
            <w:shd w:val="clear" w:color="auto" w:fill="FFFFFF" w:themeFill="background1"/>
            <w:noWrap/>
            <w:vAlign w:val="center"/>
            <w:hideMark/>
          </w:tcPr>
          <w:p w:rsidR="00B01865" w:rsidRPr="00C327E2"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b/>
                <w:spacing w:val="6"/>
                <w:sz w:val="18"/>
                <w:szCs w:val="18"/>
              </w:rPr>
            </w:pPr>
            <w:r w:rsidRPr="00C327E2">
              <w:rPr>
                <w:rFonts w:ascii="Arial" w:hAnsi="Arial" w:cs="Arial"/>
                <w:b/>
                <w:spacing w:val="6"/>
                <w:sz w:val="18"/>
                <w:szCs w:val="18"/>
              </w:rPr>
              <w:t>Total Gestión Tributaria</w:t>
            </w:r>
          </w:p>
        </w:tc>
        <w:tc>
          <w:tcPr>
            <w:tcW w:w="1629" w:type="dxa"/>
            <w:tcBorders>
              <w:top w:val="single" w:sz="4" w:space="0" w:color="auto"/>
              <w:bottom w:val="single" w:sz="4" w:space="0" w:color="auto"/>
            </w:tcBorders>
            <w:shd w:val="clear" w:color="auto" w:fill="FFFFFF" w:themeFill="background1"/>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cs="Arial"/>
                <w:b/>
                <w:spacing w:val="6"/>
                <w:sz w:val="18"/>
                <w:szCs w:val="18"/>
              </w:rPr>
              <w:t>50.658</w:t>
            </w:r>
          </w:p>
        </w:tc>
        <w:tc>
          <w:tcPr>
            <w:tcW w:w="1357" w:type="dxa"/>
            <w:tcBorders>
              <w:top w:val="single" w:sz="4" w:space="0" w:color="auto"/>
              <w:bottom w:val="single" w:sz="4" w:space="0" w:color="auto"/>
            </w:tcBorders>
            <w:shd w:val="clear" w:color="auto" w:fill="FFFFFF" w:themeFill="background1"/>
            <w:noWrap/>
            <w:vAlign w:val="center"/>
            <w:hideMark/>
          </w:tcPr>
          <w:p w:rsidR="00B01865" w:rsidRPr="00C327E2" w:rsidRDefault="00B01865" w:rsidP="00AC7529">
            <w:pPr>
              <w:keepLines/>
              <w:tabs>
                <w:tab w:val="right" w:pos="2581"/>
                <w:tab w:val="right" w:pos="3969"/>
                <w:tab w:val="right" w:pos="5103"/>
                <w:tab w:val="right" w:pos="6237"/>
                <w:tab w:val="right" w:pos="7371"/>
              </w:tabs>
              <w:spacing w:after="0"/>
              <w:ind w:right="352" w:firstLine="0"/>
              <w:jc w:val="right"/>
              <w:rPr>
                <w:rFonts w:ascii="Arial" w:hAnsi="Arial" w:cs="Arial"/>
                <w:b/>
                <w:spacing w:val="6"/>
                <w:sz w:val="18"/>
                <w:szCs w:val="18"/>
              </w:rPr>
            </w:pPr>
            <w:r w:rsidRPr="00C327E2">
              <w:rPr>
                <w:rFonts w:ascii="Arial" w:hAnsi="Arial" w:cs="Arial"/>
                <w:b/>
                <w:spacing w:val="6"/>
                <w:sz w:val="18"/>
                <w:szCs w:val="18"/>
              </w:rPr>
              <w:t>58.774</w:t>
            </w:r>
          </w:p>
        </w:tc>
        <w:tc>
          <w:tcPr>
            <w:tcW w:w="1689" w:type="dxa"/>
            <w:tcBorders>
              <w:top w:val="single" w:sz="4" w:space="0" w:color="auto"/>
              <w:bottom w:val="single" w:sz="4" w:space="0" w:color="auto"/>
            </w:tcBorders>
            <w:shd w:val="clear" w:color="auto" w:fill="FFFFFF" w:themeFill="background1"/>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cs="Arial"/>
                <w:b/>
                <w:spacing w:val="6"/>
                <w:sz w:val="18"/>
                <w:szCs w:val="18"/>
              </w:rPr>
              <w:t>44.051</w:t>
            </w:r>
          </w:p>
        </w:tc>
        <w:tc>
          <w:tcPr>
            <w:tcW w:w="994" w:type="dxa"/>
            <w:tcBorders>
              <w:top w:val="single" w:sz="4" w:space="0" w:color="auto"/>
              <w:bottom w:val="single" w:sz="4" w:space="0" w:color="auto"/>
            </w:tcBorders>
            <w:shd w:val="clear" w:color="auto" w:fill="FFFFFF" w:themeFill="background1"/>
            <w:noWrap/>
            <w:vAlign w:val="center"/>
            <w:hideMark/>
          </w:tcPr>
          <w:p w:rsidR="00B01865" w:rsidRPr="00C327E2" w:rsidRDefault="0015392A" w:rsidP="00B01865">
            <w:pPr>
              <w:keepLines/>
              <w:tabs>
                <w:tab w:val="right" w:pos="2835"/>
                <w:tab w:val="right" w:pos="3969"/>
                <w:tab w:val="right" w:pos="5103"/>
                <w:tab w:val="right" w:pos="6237"/>
                <w:tab w:val="right" w:pos="7371"/>
              </w:tabs>
              <w:spacing w:after="0"/>
              <w:ind w:firstLine="0"/>
              <w:jc w:val="right"/>
              <w:rPr>
                <w:rFonts w:ascii="Arial" w:hAnsi="Arial" w:cs="Arial"/>
                <w:b/>
                <w:spacing w:val="6"/>
                <w:sz w:val="18"/>
                <w:szCs w:val="18"/>
              </w:rPr>
            </w:pPr>
            <w:r>
              <w:rPr>
                <w:rFonts w:ascii="Arial" w:hAnsi="Arial" w:cs="Arial"/>
                <w:b/>
                <w:spacing w:val="6"/>
                <w:sz w:val="18"/>
                <w:szCs w:val="18"/>
              </w:rPr>
              <w:t>94.408</w:t>
            </w:r>
          </w:p>
        </w:tc>
      </w:tr>
    </w:tbl>
    <w:p w:rsidR="00A658E5" w:rsidRDefault="00B01865" w:rsidP="0076518A">
      <w:pPr>
        <w:pStyle w:val="texto"/>
        <w:spacing w:before="240"/>
        <w:rPr>
          <w:lang w:val="es-ES"/>
        </w:rPr>
      </w:pPr>
      <w:r w:rsidRPr="0015392A">
        <w:rPr>
          <w:lang w:val="es-ES"/>
        </w:rPr>
        <w:t xml:space="preserve">En 2017, en el área de inspección </w:t>
      </w:r>
      <w:r w:rsidR="0015392A">
        <w:rPr>
          <w:lang w:val="es-ES"/>
        </w:rPr>
        <w:t>tanto las</w:t>
      </w:r>
      <w:r w:rsidRPr="0015392A">
        <w:rPr>
          <w:lang w:val="es-ES"/>
        </w:rPr>
        <w:t xml:space="preserve"> actuaciones</w:t>
      </w:r>
      <w:r w:rsidR="0015392A">
        <w:rPr>
          <w:lang w:val="es-ES"/>
        </w:rPr>
        <w:t xml:space="preserve"> como los ingresos devengados han sido menores a los de </w:t>
      </w:r>
      <w:r w:rsidRPr="0015392A">
        <w:rPr>
          <w:lang w:val="es-ES"/>
        </w:rPr>
        <w:t>201</w:t>
      </w:r>
      <w:r w:rsidR="0015392A">
        <w:rPr>
          <w:lang w:val="es-ES"/>
        </w:rPr>
        <w:t>6 en un ocho y en un 27 por ciento</w:t>
      </w:r>
      <w:r w:rsidRPr="0015392A">
        <w:rPr>
          <w:lang w:val="es-ES"/>
        </w:rPr>
        <w:t xml:space="preserve"> </w:t>
      </w:r>
      <w:r w:rsidR="0015392A">
        <w:rPr>
          <w:lang w:val="es-ES"/>
        </w:rPr>
        <w:t>respectivamente</w:t>
      </w:r>
      <w:r w:rsidRPr="0015392A">
        <w:rPr>
          <w:lang w:val="es-ES"/>
        </w:rPr>
        <w:t xml:space="preserve">. En </w:t>
      </w:r>
      <w:r w:rsidR="0015392A">
        <w:rPr>
          <w:lang w:val="es-ES"/>
        </w:rPr>
        <w:t>cuanto</w:t>
      </w:r>
      <w:r w:rsidRPr="0015392A">
        <w:rPr>
          <w:lang w:val="es-ES"/>
        </w:rPr>
        <w:t xml:space="preserve"> a la gestión tributaria, se han practicado </w:t>
      </w:r>
      <w:r w:rsidR="00A658E5">
        <w:rPr>
          <w:lang w:val="es-ES"/>
        </w:rPr>
        <w:t>6.607</w:t>
      </w:r>
      <w:r w:rsidRPr="0015392A">
        <w:rPr>
          <w:lang w:val="es-ES"/>
        </w:rPr>
        <w:t xml:space="preserve"> l</w:t>
      </w:r>
      <w:r w:rsidRPr="0015392A">
        <w:rPr>
          <w:lang w:val="es-ES"/>
        </w:rPr>
        <w:t>i</w:t>
      </w:r>
      <w:r w:rsidRPr="0015392A">
        <w:rPr>
          <w:lang w:val="es-ES"/>
        </w:rPr>
        <w:t xml:space="preserve">quidaciones </w:t>
      </w:r>
      <w:r w:rsidR="00A658E5">
        <w:rPr>
          <w:lang w:val="es-ES"/>
        </w:rPr>
        <w:t>menos</w:t>
      </w:r>
      <w:r w:rsidRPr="0015392A">
        <w:rPr>
          <w:lang w:val="es-ES"/>
        </w:rPr>
        <w:t xml:space="preserve"> que en 201</w:t>
      </w:r>
      <w:r w:rsidR="00A658E5">
        <w:rPr>
          <w:lang w:val="es-ES"/>
        </w:rPr>
        <w:t>6, si bien los ingresos devengados han sido sup</w:t>
      </w:r>
      <w:r w:rsidR="00A658E5">
        <w:rPr>
          <w:lang w:val="es-ES"/>
        </w:rPr>
        <w:t>e</w:t>
      </w:r>
      <w:r w:rsidR="00A658E5">
        <w:rPr>
          <w:lang w:val="es-ES"/>
        </w:rPr>
        <w:t xml:space="preserve">riores </w:t>
      </w:r>
      <w:r w:rsidRPr="0015392A">
        <w:rPr>
          <w:lang w:val="es-ES"/>
        </w:rPr>
        <w:t>a los del año anterior en</w:t>
      </w:r>
      <w:r w:rsidR="00A658E5">
        <w:rPr>
          <w:lang w:val="es-ES"/>
        </w:rPr>
        <w:t xml:space="preserve"> un 61 por ciento (35,63</w:t>
      </w:r>
      <w:r w:rsidRPr="0015392A">
        <w:rPr>
          <w:lang w:val="es-ES"/>
        </w:rPr>
        <w:t xml:space="preserve"> millones</w:t>
      </w:r>
      <w:r w:rsidR="00A658E5">
        <w:rPr>
          <w:lang w:val="es-ES"/>
        </w:rPr>
        <w:t>)</w:t>
      </w:r>
      <w:r w:rsidRPr="0015392A">
        <w:rPr>
          <w:lang w:val="es-ES"/>
        </w:rPr>
        <w:t>.</w:t>
      </w:r>
    </w:p>
    <w:p w:rsidR="00813D50" w:rsidRDefault="00A658E5" w:rsidP="00EE69E0">
      <w:pPr>
        <w:pStyle w:val="texto"/>
        <w:spacing w:before="120" w:after="240"/>
        <w:rPr>
          <w:lang w:val="es-ES"/>
        </w:rPr>
      </w:pPr>
      <w:r>
        <w:rPr>
          <w:lang w:val="es-ES"/>
        </w:rPr>
        <w:lastRenderedPageBreak/>
        <w:t>E</w:t>
      </w:r>
      <w:r w:rsidR="004A0FE4">
        <w:rPr>
          <w:lang w:val="es-ES"/>
        </w:rPr>
        <w:t xml:space="preserve">l devengo de ingresos mostrado no implica que estas cantidades se hayan cobrado efectivamente; hemos </w:t>
      </w:r>
      <w:r w:rsidR="0005497D">
        <w:rPr>
          <w:lang w:val="es-ES"/>
        </w:rPr>
        <w:t xml:space="preserve">obtenido la recaudación en vía de apremio </w:t>
      </w:r>
      <w:r w:rsidR="00813D50">
        <w:rPr>
          <w:lang w:val="es-ES"/>
        </w:rPr>
        <w:t xml:space="preserve">por actuaciones realizadas de control tributario </w:t>
      </w:r>
      <w:r w:rsidR="00D33B14">
        <w:rPr>
          <w:lang w:val="es-ES"/>
        </w:rPr>
        <w:t xml:space="preserve">en los años analizados </w:t>
      </w:r>
      <w:r w:rsidR="00813D50">
        <w:rPr>
          <w:lang w:val="es-ES"/>
        </w:rPr>
        <w:t>y el result</w:t>
      </w:r>
      <w:r w:rsidR="00813D50">
        <w:rPr>
          <w:lang w:val="es-ES"/>
        </w:rPr>
        <w:t>a</w:t>
      </w:r>
      <w:r w:rsidR="00813D50">
        <w:rPr>
          <w:lang w:val="es-ES"/>
        </w:rPr>
        <w:t>do es el siguiente:</w:t>
      </w:r>
    </w:p>
    <w:tbl>
      <w:tblPr>
        <w:tblW w:w="8827" w:type="dxa"/>
        <w:jc w:val="center"/>
        <w:tblLayout w:type="fixed"/>
        <w:tblCellMar>
          <w:left w:w="70" w:type="dxa"/>
          <w:right w:w="70" w:type="dxa"/>
        </w:tblCellMar>
        <w:tblLook w:val="04A0" w:firstRow="1" w:lastRow="0" w:firstColumn="1" w:lastColumn="0" w:noHBand="0" w:noVBand="1"/>
      </w:tblPr>
      <w:tblGrid>
        <w:gridCol w:w="2081"/>
        <w:gridCol w:w="6746"/>
      </w:tblGrid>
      <w:tr w:rsidR="0005497D" w:rsidRPr="00B01865" w:rsidTr="00AA133D">
        <w:trPr>
          <w:trHeight w:val="255"/>
          <w:jc w:val="center"/>
        </w:trPr>
        <w:tc>
          <w:tcPr>
            <w:tcW w:w="2081" w:type="dxa"/>
            <w:tcBorders>
              <w:top w:val="single" w:sz="4" w:space="0" w:color="auto"/>
              <w:bottom w:val="single" w:sz="4" w:space="0" w:color="auto"/>
            </w:tcBorders>
            <w:shd w:val="clear" w:color="auto" w:fill="8DB3E2" w:themeFill="text2" w:themeFillTint="66"/>
            <w:vAlign w:val="center"/>
            <w:hideMark/>
          </w:tcPr>
          <w:p w:rsidR="0005497D" w:rsidRPr="00B01865" w:rsidRDefault="0005497D" w:rsidP="006860D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B01865">
              <w:rPr>
                <w:rFonts w:ascii="Arial" w:hAnsi="Arial"/>
                <w:spacing w:val="6"/>
                <w:sz w:val="18"/>
                <w:szCs w:val="18"/>
              </w:rPr>
              <w:t>Ejercicio</w:t>
            </w:r>
          </w:p>
        </w:tc>
        <w:tc>
          <w:tcPr>
            <w:tcW w:w="6746" w:type="dxa"/>
            <w:tcBorders>
              <w:top w:val="single" w:sz="4" w:space="0" w:color="auto"/>
              <w:bottom w:val="single" w:sz="4" w:space="0" w:color="auto"/>
            </w:tcBorders>
            <w:shd w:val="clear" w:color="auto" w:fill="8DB3E2" w:themeFill="text2" w:themeFillTint="66"/>
            <w:vAlign w:val="center"/>
          </w:tcPr>
          <w:p w:rsidR="0005497D" w:rsidRPr="00B01865" w:rsidRDefault="00D33B14" w:rsidP="006860D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Recaudación en vía de apremio</w:t>
            </w:r>
            <w:r w:rsidR="0005497D">
              <w:rPr>
                <w:rFonts w:ascii="Arial" w:hAnsi="Arial" w:cs="Arial"/>
                <w:spacing w:val="6"/>
                <w:sz w:val="18"/>
                <w:szCs w:val="18"/>
              </w:rPr>
              <w:t xml:space="preserve"> </w:t>
            </w:r>
          </w:p>
        </w:tc>
      </w:tr>
      <w:tr w:rsidR="0005497D" w:rsidRPr="00B01865" w:rsidTr="00AA133D">
        <w:trPr>
          <w:trHeight w:val="198"/>
          <w:jc w:val="center"/>
        </w:trPr>
        <w:tc>
          <w:tcPr>
            <w:tcW w:w="2081" w:type="dxa"/>
            <w:tcBorders>
              <w:top w:val="single" w:sz="2" w:space="0" w:color="auto"/>
              <w:bottom w:val="single" w:sz="2" w:space="0" w:color="auto"/>
            </w:tcBorders>
            <w:shd w:val="clear" w:color="auto" w:fill="auto"/>
            <w:noWrap/>
            <w:vAlign w:val="center"/>
          </w:tcPr>
          <w:p w:rsidR="0005497D" w:rsidRPr="00B01865" w:rsidRDefault="0005497D" w:rsidP="006860D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2008</w:t>
            </w:r>
          </w:p>
        </w:tc>
        <w:tc>
          <w:tcPr>
            <w:tcW w:w="6746" w:type="dxa"/>
            <w:tcBorders>
              <w:top w:val="single" w:sz="2" w:space="0" w:color="auto"/>
              <w:bottom w:val="single" w:sz="2" w:space="0" w:color="auto"/>
            </w:tcBorders>
            <w:vAlign w:val="bottom"/>
          </w:tcPr>
          <w:p w:rsidR="0005497D" w:rsidRPr="0005497D" w:rsidRDefault="0005497D" w:rsidP="0005497D">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5497D">
              <w:rPr>
                <w:rFonts w:ascii="Arial Narrow" w:hAnsi="Arial Narrow"/>
                <w:spacing w:val="6"/>
              </w:rPr>
              <w:t>27.180</w:t>
            </w:r>
          </w:p>
        </w:tc>
      </w:tr>
      <w:tr w:rsidR="0005497D" w:rsidRPr="00B01865" w:rsidTr="00AA133D">
        <w:trPr>
          <w:trHeight w:val="198"/>
          <w:jc w:val="center"/>
        </w:trPr>
        <w:tc>
          <w:tcPr>
            <w:tcW w:w="2081" w:type="dxa"/>
            <w:tcBorders>
              <w:top w:val="single" w:sz="2" w:space="0" w:color="auto"/>
              <w:bottom w:val="single" w:sz="2" w:space="0" w:color="auto"/>
            </w:tcBorders>
            <w:shd w:val="clear" w:color="auto" w:fill="auto"/>
            <w:noWrap/>
            <w:vAlign w:val="center"/>
          </w:tcPr>
          <w:p w:rsidR="0005497D" w:rsidRPr="00B01865" w:rsidRDefault="0005497D" w:rsidP="006860D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2009</w:t>
            </w:r>
          </w:p>
        </w:tc>
        <w:tc>
          <w:tcPr>
            <w:tcW w:w="6746" w:type="dxa"/>
            <w:tcBorders>
              <w:top w:val="single" w:sz="2" w:space="0" w:color="auto"/>
              <w:bottom w:val="single" w:sz="2" w:space="0" w:color="auto"/>
            </w:tcBorders>
            <w:vAlign w:val="bottom"/>
          </w:tcPr>
          <w:p w:rsidR="0005497D" w:rsidRPr="0005497D" w:rsidRDefault="0005497D" w:rsidP="0005497D">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5497D">
              <w:rPr>
                <w:rFonts w:ascii="Arial Narrow" w:hAnsi="Arial Narrow"/>
                <w:spacing w:val="6"/>
              </w:rPr>
              <w:t>28.424</w:t>
            </w:r>
          </w:p>
        </w:tc>
      </w:tr>
      <w:tr w:rsidR="0005497D" w:rsidRPr="00B01865" w:rsidTr="00AA133D">
        <w:trPr>
          <w:trHeight w:val="198"/>
          <w:jc w:val="center"/>
        </w:trPr>
        <w:tc>
          <w:tcPr>
            <w:tcW w:w="2081" w:type="dxa"/>
            <w:tcBorders>
              <w:top w:val="single" w:sz="2" w:space="0" w:color="auto"/>
              <w:bottom w:val="single" w:sz="2" w:space="0" w:color="auto"/>
            </w:tcBorders>
            <w:shd w:val="clear" w:color="auto" w:fill="auto"/>
            <w:noWrap/>
            <w:vAlign w:val="center"/>
          </w:tcPr>
          <w:p w:rsidR="0005497D" w:rsidRPr="00B01865" w:rsidRDefault="0005497D" w:rsidP="006860D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2010</w:t>
            </w:r>
          </w:p>
        </w:tc>
        <w:tc>
          <w:tcPr>
            <w:tcW w:w="6746" w:type="dxa"/>
            <w:tcBorders>
              <w:top w:val="single" w:sz="2" w:space="0" w:color="auto"/>
              <w:bottom w:val="single" w:sz="2" w:space="0" w:color="auto"/>
            </w:tcBorders>
            <w:vAlign w:val="bottom"/>
          </w:tcPr>
          <w:p w:rsidR="0005497D" w:rsidRPr="0005497D" w:rsidRDefault="0005497D" w:rsidP="0005497D">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5497D">
              <w:rPr>
                <w:rFonts w:ascii="Arial Narrow" w:hAnsi="Arial Narrow"/>
                <w:spacing w:val="6"/>
              </w:rPr>
              <w:t>31.349</w:t>
            </w:r>
          </w:p>
        </w:tc>
      </w:tr>
      <w:tr w:rsidR="0005497D" w:rsidRPr="00B01865" w:rsidTr="00AA133D">
        <w:trPr>
          <w:trHeight w:val="198"/>
          <w:jc w:val="center"/>
        </w:trPr>
        <w:tc>
          <w:tcPr>
            <w:tcW w:w="2081" w:type="dxa"/>
            <w:tcBorders>
              <w:top w:val="single" w:sz="2" w:space="0" w:color="auto"/>
              <w:bottom w:val="single" w:sz="2" w:space="0" w:color="auto"/>
            </w:tcBorders>
            <w:shd w:val="clear" w:color="auto" w:fill="auto"/>
            <w:noWrap/>
            <w:vAlign w:val="center"/>
          </w:tcPr>
          <w:p w:rsidR="0005497D" w:rsidRPr="00B01865" w:rsidRDefault="0005497D" w:rsidP="006860D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2011</w:t>
            </w:r>
          </w:p>
        </w:tc>
        <w:tc>
          <w:tcPr>
            <w:tcW w:w="6746" w:type="dxa"/>
            <w:tcBorders>
              <w:top w:val="single" w:sz="2" w:space="0" w:color="auto"/>
              <w:bottom w:val="single" w:sz="2" w:space="0" w:color="auto"/>
            </w:tcBorders>
            <w:vAlign w:val="bottom"/>
          </w:tcPr>
          <w:p w:rsidR="0005497D" w:rsidRPr="0005497D" w:rsidRDefault="0005497D" w:rsidP="0005497D">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5497D">
              <w:rPr>
                <w:rFonts w:ascii="Arial Narrow" w:hAnsi="Arial Narrow"/>
                <w:spacing w:val="6"/>
              </w:rPr>
              <w:t>36.650</w:t>
            </w:r>
          </w:p>
        </w:tc>
      </w:tr>
      <w:tr w:rsidR="0005497D" w:rsidRPr="00B01865" w:rsidTr="00AA133D">
        <w:trPr>
          <w:trHeight w:val="198"/>
          <w:jc w:val="center"/>
        </w:trPr>
        <w:tc>
          <w:tcPr>
            <w:tcW w:w="2081" w:type="dxa"/>
            <w:tcBorders>
              <w:top w:val="single" w:sz="2" w:space="0" w:color="auto"/>
              <w:bottom w:val="single" w:sz="2" w:space="0" w:color="auto"/>
            </w:tcBorders>
            <w:shd w:val="clear" w:color="auto" w:fill="auto"/>
            <w:noWrap/>
            <w:vAlign w:val="center"/>
          </w:tcPr>
          <w:p w:rsidR="0005497D" w:rsidRPr="00B01865" w:rsidRDefault="0005497D" w:rsidP="006860D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2012</w:t>
            </w:r>
          </w:p>
        </w:tc>
        <w:tc>
          <w:tcPr>
            <w:tcW w:w="6746" w:type="dxa"/>
            <w:tcBorders>
              <w:top w:val="single" w:sz="2" w:space="0" w:color="auto"/>
              <w:bottom w:val="single" w:sz="2" w:space="0" w:color="auto"/>
            </w:tcBorders>
            <w:vAlign w:val="bottom"/>
          </w:tcPr>
          <w:p w:rsidR="0005497D" w:rsidRPr="0005497D" w:rsidRDefault="0005497D" w:rsidP="0005497D">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5497D">
              <w:rPr>
                <w:rFonts w:ascii="Arial Narrow" w:hAnsi="Arial Narrow"/>
                <w:spacing w:val="6"/>
              </w:rPr>
              <w:t>38.501</w:t>
            </w:r>
          </w:p>
        </w:tc>
      </w:tr>
      <w:tr w:rsidR="0005497D" w:rsidRPr="00B01865" w:rsidTr="00AA133D">
        <w:trPr>
          <w:trHeight w:val="198"/>
          <w:jc w:val="center"/>
        </w:trPr>
        <w:tc>
          <w:tcPr>
            <w:tcW w:w="2081" w:type="dxa"/>
            <w:tcBorders>
              <w:top w:val="single" w:sz="2" w:space="0" w:color="auto"/>
              <w:bottom w:val="single" w:sz="2" w:space="0" w:color="auto"/>
            </w:tcBorders>
            <w:shd w:val="clear" w:color="auto" w:fill="auto"/>
            <w:noWrap/>
            <w:vAlign w:val="center"/>
          </w:tcPr>
          <w:p w:rsidR="0005497D" w:rsidRPr="00B01865" w:rsidRDefault="0005497D" w:rsidP="006860D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2013</w:t>
            </w:r>
          </w:p>
        </w:tc>
        <w:tc>
          <w:tcPr>
            <w:tcW w:w="6746" w:type="dxa"/>
            <w:tcBorders>
              <w:top w:val="single" w:sz="2" w:space="0" w:color="auto"/>
              <w:bottom w:val="single" w:sz="2" w:space="0" w:color="auto"/>
            </w:tcBorders>
            <w:vAlign w:val="bottom"/>
          </w:tcPr>
          <w:p w:rsidR="0005497D" w:rsidRPr="0005497D" w:rsidRDefault="0005497D" w:rsidP="0005497D">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5497D">
              <w:rPr>
                <w:rFonts w:ascii="Arial Narrow" w:hAnsi="Arial Narrow"/>
                <w:spacing w:val="6"/>
              </w:rPr>
              <w:t>41.129</w:t>
            </w:r>
          </w:p>
        </w:tc>
      </w:tr>
      <w:tr w:rsidR="0005497D" w:rsidRPr="00B01865" w:rsidTr="00AA133D">
        <w:trPr>
          <w:trHeight w:val="198"/>
          <w:jc w:val="center"/>
        </w:trPr>
        <w:tc>
          <w:tcPr>
            <w:tcW w:w="2081" w:type="dxa"/>
            <w:tcBorders>
              <w:top w:val="single" w:sz="2" w:space="0" w:color="auto"/>
              <w:bottom w:val="single" w:sz="2" w:space="0" w:color="auto"/>
            </w:tcBorders>
            <w:shd w:val="clear" w:color="auto" w:fill="auto"/>
            <w:noWrap/>
            <w:vAlign w:val="center"/>
          </w:tcPr>
          <w:p w:rsidR="0005497D" w:rsidRPr="00B01865" w:rsidRDefault="0005497D" w:rsidP="006860D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2014</w:t>
            </w:r>
          </w:p>
        </w:tc>
        <w:tc>
          <w:tcPr>
            <w:tcW w:w="6746" w:type="dxa"/>
            <w:tcBorders>
              <w:top w:val="single" w:sz="2" w:space="0" w:color="auto"/>
              <w:bottom w:val="single" w:sz="2" w:space="0" w:color="auto"/>
            </w:tcBorders>
            <w:vAlign w:val="bottom"/>
          </w:tcPr>
          <w:p w:rsidR="0005497D" w:rsidRPr="0005497D" w:rsidRDefault="0005497D" w:rsidP="0005497D">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5497D">
              <w:rPr>
                <w:rFonts w:ascii="Arial Narrow" w:hAnsi="Arial Narrow"/>
                <w:spacing w:val="6"/>
              </w:rPr>
              <w:t>44.164</w:t>
            </w:r>
          </w:p>
        </w:tc>
      </w:tr>
      <w:tr w:rsidR="0005497D" w:rsidRPr="00B01865" w:rsidTr="00AA133D">
        <w:trPr>
          <w:trHeight w:val="198"/>
          <w:jc w:val="center"/>
        </w:trPr>
        <w:tc>
          <w:tcPr>
            <w:tcW w:w="2081" w:type="dxa"/>
            <w:tcBorders>
              <w:top w:val="single" w:sz="2" w:space="0" w:color="auto"/>
              <w:bottom w:val="single" w:sz="2" w:space="0" w:color="auto"/>
            </w:tcBorders>
            <w:shd w:val="clear" w:color="auto" w:fill="auto"/>
            <w:noWrap/>
            <w:vAlign w:val="center"/>
            <w:hideMark/>
          </w:tcPr>
          <w:p w:rsidR="0005497D" w:rsidRPr="00B01865" w:rsidRDefault="0005497D" w:rsidP="006860D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2015</w:t>
            </w:r>
          </w:p>
        </w:tc>
        <w:tc>
          <w:tcPr>
            <w:tcW w:w="6746" w:type="dxa"/>
            <w:tcBorders>
              <w:top w:val="single" w:sz="2" w:space="0" w:color="auto"/>
              <w:bottom w:val="single" w:sz="2" w:space="0" w:color="auto"/>
            </w:tcBorders>
            <w:vAlign w:val="bottom"/>
          </w:tcPr>
          <w:p w:rsidR="0005497D" w:rsidRPr="0005497D" w:rsidRDefault="0005497D" w:rsidP="0005497D">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5497D">
              <w:rPr>
                <w:rFonts w:ascii="Arial Narrow" w:hAnsi="Arial Narrow"/>
                <w:spacing w:val="6"/>
              </w:rPr>
              <w:t>41.729</w:t>
            </w:r>
          </w:p>
        </w:tc>
      </w:tr>
      <w:tr w:rsidR="0005497D" w:rsidRPr="00B01865" w:rsidTr="00AA133D">
        <w:trPr>
          <w:trHeight w:val="198"/>
          <w:jc w:val="center"/>
        </w:trPr>
        <w:tc>
          <w:tcPr>
            <w:tcW w:w="2081" w:type="dxa"/>
            <w:tcBorders>
              <w:top w:val="single" w:sz="2" w:space="0" w:color="auto"/>
              <w:bottom w:val="single" w:sz="2" w:space="0" w:color="auto"/>
            </w:tcBorders>
            <w:shd w:val="clear" w:color="auto" w:fill="auto"/>
            <w:noWrap/>
            <w:vAlign w:val="center"/>
          </w:tcPr>
          <w:p w:rsidR="0005497D" w:rsidRPr="00B01865" w:rsidRDefault="0005497D" w:rsidP="006860D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2016</w:t>
            </w:r>
          </w:p>
        </w:tc>
        <w:tc>
          <w:tcPr>
            <w:tcW w:w="6746" w:type="dxa"/>
            <w:tcBorders>
              <w:top w:val="single" w:sz="2" w:space="0" w:color="auto"/>
              <w:bottom w:val="single" w:sz="2" w:space="0" w:color="auto"/>
            </w:tcBorders>
            <w:vAlign w:val="bottom"/>
          </w:tcPr>
          <w:p w:rsidR="0005497D" w:rsidRPr="0005497D" w:rsidRDefault="0005497D" w:rsidP="0005497D">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5497D">
              <w:rPr>
                <w:rFonts w:ascii="Arial Narrow" w:hAnsi="Arial Narrow"/>
                <w:spacing w:val="6"/>
              </w:rPr>
              <w:t>39.145</w:t>
            </w:r>
          </w:p>
        </w:tc>
      </w:tr>
      <w:tr w:rsidR="0005497D" w:rsidRPr="00B01865" w:rsidTr="00AA133D">
        <w:trPr>
          <w:trHeight w:val="198"/>
          <w:jc w:val="center"/>
        </w:trPr>
        <w:tc>
          <w:tcPr>
            <w:tcW w:w="2081" w:type="dxa"/>
            <w:tcBorders>
              <w:top w:val="single" w:sz="2" w:space="0" w:color="auto"/>
              <w:bottom w:val="single" w:sz="2" w:space="0" w:color="auto"/>
            </w:tcBorders>
            <w:shd w:val="clear" w:color="auto" w:fill="auto"/>
            <w:noWrap/>
            <w:vAlign w:val="center"/>
          </w:tcPr>
          <w:p w:rsidR="0005497D" w:rsidRPr="00B01865" w:rsidRDefault="0005497D" w:rsidP="006860D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2017</w:t>
            </w:r>
          </w:p>
        </w:tc>
        <w:tc>
          <w:tcPr>
            <w:tcW w:w="6746" w:type="dxa"/>
            <w:tcBorders>
              <w:top w:val="single" w:sz="2" w:space="0" w:color="auto"/>
              <w:bottom w:val="single" w:sz="2" w:space="0" w:color="auto"/>
            </w:tcBorders>
            <w:vAlign w:val="bottom"/>
          </w:tcPr>
          <w:p w:rsidR="0005497D" w:rsidRPr="0005497D" w:rsidRDefault="0005497D" w:rsidP="0005497D">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5497D">
              <w:rPr>
                <w:rFonts w:ascii="Arial Narrow" w:hAnsi="Arial Narrow"/>
                <w:spacing w:val="6"/>
              </w:rPr>
              <w:t>53.503</w:t>
            </w:r>
          </w:p>
        </w:tc>
      </w:tr>
      <w:tr w:rsidR="0005497D" w:rsidRPr="00EE69E0" w:rsidTr="00AA133D">
        <w:trPr>
          <w:trHeight w:val="255"/>
          <w:jc w:val="center"/>
        </w:trPr>
        <w:tc>
          <w:tcPr>
            <w:tcW w:w="2081" w:type="dxa"/>
            <w:tcBorders>
              <w:top w:val="single" w:sz="2" w:space="0" w:color="auto"/>
              <w:bottom w:val="single" w:sz="4" w:space="0" w:color="auto"/>
            </w:tcBorders>
            <w:shd w:val="clear" w:color="auto" w:fill="8DB3E2" w:themeFill="text2" w:themeFillTint="66"/>
            <w:noWrap/>
            <w:vAlign w:val="center"/>
          </w:tcPr>
          <w:p w:rsidR="0005497D" w:rsidRPr="00EE69E0" w:rsidRDefault="0005497D" w:rsidP="006860D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EE69E0">
              <w:rPr>
                <w:rFonts w:ascii="Arial" w:hAnsi="Arial" w:cs="Arial"/>
                <w:spacing w:val="6"/>
                <w:sz w:val="18"/>
                <w:szCs w:val="18"/>
              </w:rPr>
              <w:t>Total</w:t>
            </w:r>
          </w:p>
        </w:tc>
        <w:tc>
          <w:tcPr>
            <w:tcW w:w="6746" w:type="dxa"/>
            <w:tcBorders>
              <w:top w:val="single" w:sz="2" w:space="0" w:color="auto"/>
              <w:bottom w:val="single" w:sz="4" w:space="0" w:color="auto"/>
            </w:tcBorders>
            <w:shd w:val="clear" w:color="auto" w:fill="8DB3E2" w:themeFill="text2" w:themeFillTint="66"/>
            <w:vAlign w:val="bottom"/>
          </w:tcPr>
          <w:p w:rsidR="0005497D" w:rsidRPr="0005497D" w:rsidRDefault="0005497D" w:rsidP="0005497D">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05497D">
              <w:rPr>
                <w:rFonts w:ascii="Arial Narrow" w:hAnsi="Arial Narrow"/>
                <w:spacing w:val="6"/>
              </w:rPr>
              <w:t>381.773</w:t>
            </w:r>
          </w:p>
        </w:tc>
      </w:tr>
    </w:tbl>
    <w:p w:rsidR="00D33B14" w:rsidRDefault="00D33B14" w:rsidP="00A658E5">
      <w:pPr>
        <w:pStyle w:val="texto"/>
        <w:spacing w:before="120"/>
      </w:pPr>
      <w:r>
        <w:t>Del análisis del cuadro anterior destacamos los siguientes aspectos:</w:t>
      </w:r>
    </w:p>
    <w:p w:rsidR="00D33B14" w:rsidRDefault="00D33B14" w:rsidP="00D33B14">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rFonts w:cs="Arial"/>
          <w:spacing w:val="6"/>
          <w:sz w:val="26"/>
          <w:szCs w:val="24"/>
        </w:rPr>
        <w:t>La recaudación en vía de apremio en el periodo 2008-2017 asciende a 381,77 millones de euros</w:t>
      </w:r>
      <w:r w:rsidRPr="00D33B14">
        <w:rPr>
          <w:rFonts w:cs="Arial"/>
          <w:spacing w:val="6"/>
          <w:sz w:val="26"/>
          <w:szCs w:val="24"/>
        </w:rPr>
        <w:t>.</w:t>
      </w:r>
      <w:r>
        <w:rPr>
          <w:rFonts w:cs="Arial"/>
          <w:spacing w:val="6"/>
          <w:sz w:val="26"/>
          <w:szCs w:val="24"/>
        </w:rPr>
        <w:t xml:space="preserve"> Esta es la cantidad que como mínimo se ha recaud</w:t>
      </w:r>
      <w:r>
        <w:rPr>
          <w:rFonts w:cs="Arial"/>
          <w:spacing w:val="6"/>
          <w:sz w:val="26"/>
          <w:szCs w:val="24"/>
        </w:rPr>
        <w:t>a</w:t>
      </w:r>
      <w:r>
        <w:rPr>
          <w:rFonts w:cs="Arial"/>
          <w:spacing w:val="6"/>
          <w:sz w:val="26"/>
          <w:szCs w:val="24"/>
        </w:rPr>
        <w:t xml:space="preserve">do debido a las actuaciones de control tributario realizadas; </w:t>
      </w:r>
      <w:r w:rsidR="00DE5003">
        <w:rPr>
          <w:rFonts w:cs="Arial"/>
          <w:spacing w:val="6"/>
          <w:sz w:val="26"/>
          <w:szCs w:val="24"/>
        </w:rPr>
        <w:t xml:space="preserve">para obtener </w:t>
      </w:r>
      <w:r>
        <w:rPr>
          <w:rFonts w:cs="Arial"/>
          <w:spacing w:val="6"/>
          <w:sz w:val="26"/>
          <w:szCs w:val="24"/>
        </w:rPr>
        <w:t>el i</w:t>
      </w:r>
      <w:r>
        <w:rPr>
          <w:rFonts w:cs="Arial"/>
          <w:spacing w:val="6"/>
          <w:sz w:val="26"/>
          <w:szCs w:val="24"/>
        </w:rPr>
        <w:t>m</w:t>
      </w:r>
      <w:r>
        <w:rPr>
          <w:rFonts w:cs="Arial"/>
          <w:spacing w:val="6"/>
          <w:sz w:val="26"/>
          <w:szCs w:val="24"/>
        </w:rPr>
        <w:t xml:space="preserve">porte </w:t>
      </w:r>
      <w:r w:rsidR="00DE5003">
        <w:rPr>
          <w:rFonts w:cs="Arial"/>
          <w:spacing w:val="6"/>
          <w:sz w:val="26"/>
          <w:szCs w:val="24"/>
        </w:rPr>
        <w:t>total</w:t>
      </w:r>
      <w:r>
        <w:rPr>
          <w:rFonts w:cs="Arial"/>
          <w:spacing w:val="6"/>
          <w:sz w:val="26"/>
          <w:szCs w:val="24"/>
        </w:rPr>
        <w:t xml:space="preserve"> </w:t>
      </w:r>
      <w:r w:rsidR="00DE5003">
        <w:rPr>
          <w:rFonts w:cs="Arial"/>
          <w:spacing w:val="6"/>
          <w:sz w:val="26"/>
          <w:szCs w:val="24"/>
        </w:rPr>
        <w:t>d</w:t>
      </w:r>
      <w:r>
        <w:rPr>
          <w:rFonts w:cs="Arial"/>
          <w:spacing w:val="6"/>
          <w:sz w:val="26"/>
          <w:szCs w:val="24"/>
        </w:rPr>
        <w:t>erivado de dichas actuaciones</w:t>
      </w:r>
      <w:r w:rsidR="004B4D50">
        <w:rPr>
          <w:rFonts w:cs="Arial"/>
          <w:spacing w:val="6"/>
          <w:sz w:val="26"/>
          <w:szCs w:val="24"/>
        </w:rPr>
        <w:t>,</w:t>
      </w:r>
      <w:r>
        <w:rPr>
          <w:rFonts w:cs="Arial"/>
          <w:spacing w:val="6"/>
          <w:sz w:val="26"/>
          <w:szCs w:val="24"/>
        </w:rPr>
        <w:t xml:space="preserve"> </w:t>
      </w:r>
      <w:r w:rsidR="00DE5003">
        <w:rPr>
          <w:rFonts w:cs="Arial"/>
          <w:spacing w:val="6"/>
          <w:sz w:val="26"/>
          <w:szCs w:val="24"/>
        </w:rPr>
        <w:t>habría que añadir a la cifra indicada los i</w:t>
      </w:r>
      <w:r>
        <w:rPr>
          <w:rFonts w:cs="Arial"/>
          <w:spacing w:val="6"/>
          <w:sz w:val="26"/>
          <w:szCs w:val="24"/>
        </w:rPr>
        <w:t>mportes</w:t>
      </w:r>
      <w:r w:rsidR="00DE5003">
        <w:rPr>
          <w:rFonts w:cs="Arial"/>
          <w:spacing w:val="6"/>
          <w:sz w:val="26"/>
          <w:szCs w:val="24"/>
        </w:rPr>
        <w:t xml:space="preserve"> </w:t>
      </w:r>
      <w:r>
        <w:rPr>
          <w:rFonts w:cs="Arial"/>
          <w:spacing w:val="6"/>
          <w:sz w:val="26"/>
          <w:szCs w:val="24"/>
        </w:rPr>
        <w:t>recaudados por vía ordinaria</w:t>
      </w:r>
      <w:r w:rsidR="00904024">
        <w:rPr>
          <w:rFonts w:cs="Arial"/>
          <w:spacing w:val="6"/>
          <w:sz w:val="26"/>
          <w:szCs w:val="24"/>
        </w:rPr>
        <w:t>.</w:t>
      </w:r>
      <w:r w:rsidR="00DE5003">
        <w:rPr>
          <w:rFonts w:cs="Arial"/>
          <w:spacing w:val="6"/>
          <w:sz w:val="26"/>
          <w:szCs w:val="24"/>
        </w:rPr>
        <w:t xml:space="preserve"> </w:t>
      </w:r>
      <w:r w:rsidR="00904024">
        <w:rPr>
          <w:rFonts w:cs="Arial"/>
          <w:spacing w:val="6"/>
          <w:sz w:val="26"/>
          <w:szCs w:val="24"/>
        </w:rPr>
        <w:t>S</w:t>
      </w:r>
      <w:r w:rsidR="00DE5003">
        <w:rPr>
          <w:rFonts w:cs="Arial"/>
          <w:spacing w:val="6"/>
          <w:sz w:val="26"/>
          <w:szCs w:val="24"/>
        </w:rPr>
        <w:t>in embargo, no es posible identif</w:t>
      </w:r>
      <w:r w:rsidR="00DE5003">
        <w:rPr>
          <w:rFonts w:cs="Arial"/>
          <w:spacing w:val="6"/>
          <w:sz w:val="26"/>
          <w:szCs w:val="24"/>
        </w:rPr>
        <w:t>i</w:t>
      </w:r>
      <w:r w:rsidR="00DE5003">
        <w:rPr>
          <w:rFonts w:cs="Arial"/>
          <w:spacing w:val="6"/>
          <w:sz w:val="26"/>
          <w:szCs w:val="24"/>
        </w:rPr>
        <w:t>car esta cantidad ya que las aplicaciones informáticas no lo permiten</w:t>
      </w:r>
      <w:r>
        <w:rPr>
          <w:rFonts w:cs="Arial"/>
          <w:spacing w:val="6"/>
          <w:sz w:val="26"/>
          <w:szCs w:val="24"/>
        </w:rPr>
        <w:t>.</w:t>
      </w:r>
    </w:p>
    <w:p w:rsidR="00B01865" w:rsidRPr="00D33B14" w:rsidRDefault="00D33B14" w:rsidP="00D33B14">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Pr>
          <w:rFonts w:cs="Arial"/>
          <w:spacing w:val="6"/>
          <w:sz w:val="26"/>
          <w:szCs w:val="24"/>
        </w:rPr>
        <w:t>C</w:t>
      </w:r>
      <w:r w:rsidR="00EE69E0" w:rsidRPr="00D33B14">
        <w:rPr>
          <w:rFonts w:cs="Arial"/>
          <w:spacing w:val="6"/>
          <w:sz w:val="26"/>
          <w:szCs w:val="24"/>
        </w:rPr>
        <w:t>omo ya hemos reiterado, debido a los problemas existentes entre las apl</w:t>
      </w:r>
      <w:r w:rsidR="00EE69E0" w:rsidRPr="00D33B14">
        <w:rPr>
          <w:rFonts w:cs="Arial"/>
          <w:spacing w:val="6"/>
          <w:sz w:val="26"/>
          <w:szCs w:val="24"/>
        </w:rPr>
        <w:t>i</w:t>
      </w:r>
      <w:r w:rsidR="00EE69E0" w:rsidRPr="00D33B14">
        <w:rPr>
          <w:rFonts w:cs="Arial"/>
          <w:spacing w:val="6"/>
          <w:sz w:val="26"/>
          <w:szCs w:val="24"/>
        </w:rPr>
        <w:t>caciones informáticas, no podemos identificar el año correspondiente a las a</w:t>
      </w:r>
      <w:r w:rsidR="00EE69E0" w:rsidRPr="00D33B14">
        <w:rPr>
          <w:rFonts w:cs="Arial"/>
          <w:spacing w:val="6"/>
          <w:sz w:val="26"/>
          <w:szCs w:val="24"/>
        </w:rPr>
        <w:t>c</w:t>
      </w:r>
      <w:r w:rsidR="00EE69E0" w:rsidRPr="00D33B14">
        <w:rPr>
          <w:rFonts w:cs="Arial"/>
          <w:spacing w:val="6"/>
          <w:sz w:val="26"/>
          <w:szCs w:val="24"/>
        </w:rPr>
        <w:t>tuaciones de los cobros indicados</w:t>
      </w:r>
      <w:r w:rsidR="004B4D50">
        <w:rPr>
          <w:rFonts w:cs="Arial"/>
          <w:spacing w:val="6"/>
          <w:sz w:val="26"/>
          <w:szCs w:val="24"/>
        </w:rPr>
        <w:t xml:space="preserve"> en el cuadro anterior</w:t>
      </w:r>
      <w:r w:rsidR="00EE69E0" w:rsidRPr="00D33B14">
        <w:rPr>
          <w:rFonts w:cs="Arial"/>
          <w:spacing w:val="6"/>
          <w:sz w:val="26"/>
          <w:szCs w:val="24"/>
        </w:rPr>
        <w:t xml:space="preserve">, </w:t>
      </w:r>
      <w:r w:rsidR="004B4D50">
        <w:rPr>
          <w:rFonts w:cs="Arial"/>
          <w:spacing w:val="6"/>
          <w:sz w:val="26"/>
          <w:szCs w:val="24"/>
        </w:rPr>
        <w:t>ni</w:t>
      </w:r>
      <w:r w:rsidR="00EE69E0" w:rsidRPr="00D33B14">
        <w:rPr>
          <w:rFonts w:cs="Arial"/>
          <w:spacing w:val="6"/>
          <w:sz w:val="26"/>
          <w:szCs w:val="24"/>
        </w:rPr>
        <w:t xml:space="preserve"> podemos saber cuá</w:t>
      </w:r>
      <w:r w:rsidR="00EE69E0" w:rsidRPr="00D33B14">
        <w:rPr>
          <w:rFonts w:cs="Arial"/>
          <w:spacing w:val="6"/>
          <w:sz w:val="26"/>
          <w:szCs w:val="24"/>
        </w:rPr>
        <w:t>n</w:t>
      </w:r>
      <w:r w:rsidR="00EE69E0" w:rsidRPr="00D33B14">
        <w:rPr>
          <w:rFonts w:cs="Arial"/>
          <w:spacing w:val="6"/>
          <w:sz w:val="26"/>
          <w:szCs w:val="24"/>
        </w:rPr>
        <w:t>to importe queda pendiente de cobro de los ingresos devengados originados por las actuaciones de cada año.</w:t>
      </w:r>
      <w:r w:rsidRPr="00D33B14">
        <w:rPr>
          <w:rFonts w:cs="Arial"/>
          <w:spacing w:val="6"/>
          <w:sz w:val="26"/>
          <w:szCs w:val="24"/>
        </w:rPr>
        <w:t xml:space="preserve"> </w:t>
      </w:r>
    </w:p>
    <w:p w:rsidR="00B01865" w:rsidRPr="00B01865" w:rsidRDefault="00B01865" w:rsidP="00B01865">
      <w:pPr>
        <w:spacing w:before="240" w:after="12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Tasas, precios públicos y otros ingresos</w:t>
      </w:r>
      <w:bookmarkEnd w:id="95"/>
    </w:p>
    <w:p w:rsidR="00B01865" w:rsidRPr="00B01865" w:rsidRDefault="00B01865" w:rsidP="0076518A">
      <w:pPr>
        <w:pStyle w:val="texto"/>
        <w:rPr>
          <w:lang w:val="es-ES"/>
        </w:rPr>
      </w:pPr>
      <w:r w:rsidRPr="00B01865">
        <w:rPr>
          <w:lang w:val="es-ES"/>
        </w:rPr>
        <w:t>Las tasas, precios públicos y otros ingresos reconocidos netos en el año 2017 ascendieron a 118,72 millones de euros y el porcentaje de recaudación ascendió al 74 por ciento. Representan el tres por ciento del total de derechos del ejerc</w:t>
      </w:r>
      <w:r w:rsidRPr="00B01865">
        <w:rPr>
          <w:lang w:val="es-ES"/>
        </w:rPr>
        <w:t>i</w:t>
      </w:r>
      <w:r w:rsidRPr="00B01865">
        <w:rPr>
          <w:lang w:val="es-ES"/>
        </w:rPr>
        <w:t>cio y corresponden a los siguientes conceptos:</w:t>
      </w:r>
    </w:p>
    <w:p w:rsidR="00B01865" w:rsidRPr="00B01865" w:rsidRDefault="00B01865" w:rsidP="00B01865">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lang w:val="es-ES"/>
        </w:rPr>
      </w:pPr>
      <w:r w:rsidRPr="00B01865">
        <w:rPr>
          <w:rFonts w:ascii="Arial" w:hAnsi="Arial"/>
          <w:spacing w:val="6"/>
          <w:sz w:val="17"/>
          <w:szCs w:val="17"/>
          <w:lang w:val="es-ES"/>
        </w:rPr>
        <w:t>(en miles de euros)</w:t>
      </w:r>
    </w:p>
    <w:tbl>
      <w:tblPr>
        <w:tblW w:w="8780" w:type="dxa"/>
        <w:jc w:val="center"/>
        <w:tblCellMar>
          <w:left w:w="70" w:type="dxa"/>
          <w:right w:w="70" w:type="dxa"/>
        </w:tblCellMar>
        <w:tblLook w:val="04A0" w:firstRow="1" w:lastRow="0" w:firstColumn="1" w:lastColumn="0" w:noHBand="0" w:noVBand="1"/>
      </w:tblPr>
      <w:tblGrid>
        <w:gridCol w:w="3352"/>
        <w:gridCol w:w="1141"/>
        <w:gridCol w:w="1257"/>
        <w:gridCol w:w="1257"/>
        <w:gridCol w:w="146"/>
        <w:gridCol w:w="1627"/>
      </w:tblGrid>
      <w:tr w:rsidR="00B01865" w:rsidRPr="00B01865" w:rsidTr="0076518A">
        <w:trPr>
          <w:trHeight w:val="255"/>
          <w:jc w:val="center"/>
        </w:trPr>
        <w:tc>
          <w:tcPr>
            <w:tcW w:w="3352"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6"/>
                <w:szCs w:val="16"/>
              </w:rPr>
            </w:pPr>
            <w:r w:rsidRPr="00B01865">
              <w:rPr>
                <w:rFonts w:ascii="Arial" w:hAnsi="Arial"/>
                <w:spacing w:val="6"/>
                <w:sz w:val="16"/>
                <w:szCs w:val="16"/>
              </w:rPr>
              <w:t>Tasas, precios públicos y otros ingresos</w:t>
            </w:r>
          </w:p>
        </w:tc>
        <w:tc>
          <w:tcPr>
            <w:tcW w:w="1141"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B01865">
              <w:rPr>
                <w:rFonts w:ascii="Arial" w:hAnsi="Arial"/>
                <w:spacing w:val="6"/>
                <w:sz w:val="16"/>
                <w:szCs w:val="16"/>
              </w:rPr>
              <w:t>Derechos</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B01865">
              <w:rPr>
                <w:rFonts w:ascii="Arial" w:hAnsi="Arial"/>
                <w:spacing w:val="6"/>
                <w:sz w:val="16"/>
                <w:szCs w:val="16"/>
              </w:rPr>
              <w:t xml:space="preserve"> reconocidos</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B01865">
              <w:rPr>
                <w:rFonts w:ascii="Arial" w:hAnsi="Arial"/>
                <w:spacing w:val="6"/>
                <w:sz w:val="16"/>
                <w:szCs w:val="16"/>
              </w:rPr>
              <w:t>netos 2017</w:t>
            </w:r>
          </w:p>
        </w:tc>
        <w:tc>
          <w:tcPr>
            <w:tcW w:w="1257"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B01865">
              <w:rPr>
                <w:rFonts w:ascii="Arial" w:hAnsi="Arial"/>
                <w:spacing w:val="6"/>
                <w:sz w:val="16"/>
                <w:szCs w:val="16"/>
              </w:rPr>
              <w:t>Recaudación neta</w:t>
            </w:r>
          </w:p>
        </w:tc>
        <w:tc>
          <w:tcPr>
            <w:tcW w:w="1257"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B01865">
              <w:rPr>
                <w:rFonts w:ascii="Arial" w:hAnsi="Arial"/>
                <w:spacing w:val="6"/>
                <w:sz w:val="16"/>
                <w:szCs w:val="16"/>
              </w:rPr>
              <w:t xml:space="preserve">Porcentaje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B01865">
              <w:rPr>
                <w:rFonts w:ascii="Arial" w:hAnsi="Arial"/>
                <w:spacing w:val="6"/>
                <w:sz w:val="16"/>
                <w:szCs w:val="16"/>
              </w:rPr>
              <w:t>Recaudación</w:t>
            </w:r>
          </w:p>
        </w:tc>
        <w:tc>
          <w:tcPr>
            <w:tcW w:w="14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
        </w:tc>
        <w:tc>
          <w:tcPr>
            <w:tcW w:w="1627"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B01865">
              <w:rPr>
                <w:rFonts w:ascii="Arial" w:hAnsi="Arial"/>
                <w:spacing w:val="6"/>
                <w:sz w:val="16"/>
                <w:szCs w:val="16"/>
              </w:rPr>
              <w:t xml:space="preserve">% variación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B01865">
              <w:rPr>
                <w:rFonts w:ascii="Arial" w:hAnsi="Arial"/>
                <w:spacing w:val="6"/>
                <w:sz w:val="16"/>
                <w:szCs w:val="16"/>
              </w:rPr>
              <w:t xml:space="preserve">Der. </w:t>
            </w:r>
            <w:proofErr w:type="spellStart"/>
            <w:r w:rsidRPr="00B01865">
              <w:rPr>
                <w:rFonts w:ascii="Arial" w:hAnsi="Arial"/>
                <w:spacing w:val="6"/>
                <w:sz w:val="16"/>
                <w:szCs w:val="16"/>
              </w:rPr>
              <w:t>Recon</w:t>
            </w:r>
            <w:proofErr w:type="spellEnd"/>
            <w:r w:rsidRPr="00B01865">
              <w:rPr>
                <w:rFonts w:ascii="Arial" w:hAnsi="Arial"/>
                <w:spacing w:val="6"/>
                <w:sz w:val="16"/>
                <w:szCs w:val="16"/>
              </w:rPr>
              <w:t xml:space="preserve">. Netos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B01865">
              <w:rPr>
                <w:rFonts w:ascii="Arial" w:hAnsi="Arial"/>
                <w:spacing w:val="6"/>
                <w:sz w:val="16"/>
                <w:szCs w:val="16"/>
              </w:rPr>
              <w:t>2017/2016</w:t>
            </w:r>
          </w:p>
        </w:tc>
      </w:tr>
      <w:tr w:rsidR="00B01865" w:rsidRPr="00B01865" w:rsidTr="0076518A">
        <w:trPr>
          <w:trHeight w:val="198"/>
          <w:jc w:val="center"/>
        </w:trPr>
        <w:tc>
          <w:tcPr>
            <w:tcW w:w="3352" w:type="dxa"/>
            <w:tcBorders>
              <w:top w:val="single" w:sz="4"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sidRPr="00B01865">
              <w:rPr>
                <w:rFonts w:ascii="Arial Narrow" w:hAnsi="Arial Narrow"/>
                <w:spacing w:val="6"/>
                <w:sz w:val="18"/>
                <w:szCs w:val="18"/>
              </w:rPr>
              <w:t xml:space="preserve">Tasas </w:t>
            </w:r>
          </w:p>
        </w:tc>
        <w:tc>
          <w:tcPr>
            <w:tcW w:w="1141" w:type="dxa"/>
            <w:tcBorders>
              <w:top w:val="single" w:sz="4"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01865">
              <w:rPr>
                <w:rFonts w:ascii="Arial Narrow" w:hAnsi="Arial Narrow"/>
                <w:spacing w:val="6"/>
                <w:sz w:val="18"/>
                <w:szCs w:val="18"/>
              </w:rPr>
              <w:t>12.797</w:t>
            </w:r>
          </w:p>
        </w:tc>
        <w:tc>
          <w:tcPr>
            <w:tcW w:w="1257" w:type="dxa"/>
            <w:tcBorders>
              <w:top w:val="single" w:sz="4"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01865">
              <w:rPr>
                <w:rFonts w:ascii="Arial Narrow" w:hAnsi="Arial Narrow"/>
                <w:spacing w:val="6"/>
                <w:sz w:val="18"/>
                <w:szCs w:val="18"/>
              </w:rPr>
              <w:t>12.485</w:t>
            </w:r>
          </w:p>
        </w:tc>
        <w:tc>
          <w:tcPr>
            <w:tcW w:w="1257" w:type="dxa"/>
            <w:tcBorders>
              <w:top w:val="single" w:sz="4"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01865">
              <w:rPr>
                <w:rFonts w:ascii="Arial Narrow" w:hAnsi="Arial Narrow"/>
                <w:spacing w:val="6"/>
                <w:sz w:val="18"/>
                <w:szCs w:val="18"/>
              </w:rPr>
              <w:t>98</w:t>
            </w:r>
          </w:p>
        </w:tc>
        <w:tc>
          <w:tcPr>
            <w:tcW w:w="146" w:type="dxa"/>
            <w:tcBorders>
              <w:top w:val="single" w:sz="4"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1627" w:type="dxa"/>
            <w:tcBorders>
              <w:top w:val="single" w:sz="4" w:space="0" w:color="auto"/>
              <w:left w:val="nil"/>
              <w:bottom w:val="single" w:sz="2" w:space="0" w:color="auto"/>
              <w:right w:val="nil"/>
            </w:tcBorders>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01865">
              <w:rPr>
                <w:rFonts w:ascii="Arial Narrow" w:hAnsi="Arial Narrow"/>
                <w:spacing w:val="6"/>
                <w:sz w:val="18"/>
                <w:szCs w:val="18"/>
              </w:rPr>
              <w:t>4</w:t>
            </w:r>
          </w:p>
        </w:tc>
      </w:tr>
      <w:tr w:rsidR="00B01865" w:rsidRPr="00B01865" w:rsidTr="0076518A">
        <w:trPr>
          <w:trHeight w:val="198"/>
          <w:jc w:val="center"/>
        </w:trPr>
        <w:tc>
          <w:tcPr>
            <w:tcW w:w="3352"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sidRPr="00B01865">
              <w:rPr>
                <w:rFonts w:ascii="Arial Narrow" w:hAnsi="Arial Narrow"/>
                <w:spacing w:val="6"/>
                <w:sz w:val="18"/>
                <w:szCs w:val="18"/>
              </w:rPr>
              <w:t>Precios públicos</w:t>
            </w:r>
          </w:p>
        </w:tc>
        <w:tc>
          <w:tcPr>
            <w:tcW w:w="1141" w:type="dxa"/>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01865">
              <w:rPr>
                <w:rFonts w:ascii="Arial Narrow" w:hAnsi="Arial Narrow"/>
                <w:spacing w:val="6"/>
                <w:sz w:val="18"/>
                <w:szCs w:val="18"/>
              </w:rPr>
              <w:t>51.223</w:t>
            </w:r>
          </w:p>
        </w:tc>
        <w:tc>
          <w:tcPr>
            <w:tcW w:w="1257" w:type="dxa"/>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01865">
              <w:rPr>
                <w:rFonts w:ascii="Arial Narrow" w:hAnsi="Arial Narrow"/>
                <w:spacing w:val="6"/>
                <w:sz w:val="18"/>
                <w:szCs w:val="18"/>
              </w:rPr>
              <w:t>39.562</w:t>
            </w:r>
          </w:p>
        </w:tc>
        <w:tc>
          <w:tcPr>
            <w:tcW w:w="1257" w:type="dxa"/>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01865">
              <w:rPr>
                <w:rFonts w:ascii="Arial Narrow" w:hAnsi="Arial Narrow"/>
                <w:spacing w:val="6"/>
                <w:sz w:val="18"/>
                <w:szCs w:val="18"/>
              </w:rPr>
              <w:t>77</w:t>
            </w:r>
          </w:p>
        </w:tc>
        <w:tc>
          <w:tcPr>
            <w:tcW w:w="14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1627" w:type="dxa"/>
            <w:tcBorders>
              <w:top w:val="single" w:sz="2" w:space="0" w:color="auto"/>
              <w:left w:val="nil"/>
              <w:bottom w:val="single" w:sz="2" w:space="0" w:color="auto"/>
              <w:right w:val="nil"/>
            </w:tcBorders>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01865">
              <w:rPr>
                <w:rFonts w:ascii="Arial Narrow" w:hAnsi="Arial Narrow"/>
                <w:spacing w:val="6"/>
                <w:sz w:val="18"/>
                <w:szCs w:val="18"/>
              </w:rPr>
              <w:t>-3</w:t>
            </w:r>
          </w:p>
        </w:tc>
      </w:tr>
      <w:tr w:rsidR="00B01865" w:rsidRPr="00B01865" w:rsidTr="0076518A">
        <w:trPr>
          <w:trHeight w:val="198"/>
          <w:jc w:val="center"/>
        </w:trPr>
        <w:tc>
          <w:tcPr>
            <w:tcW w:w="3352"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sidRPr="00B01865">
              <w:rPr>
                <w:rFonts w:ascii="Arial Narrow" w:hAnsi="Arial Narrow"/>
                <w:spacing w:val="6"/>
                <w:sz w:val="18"/>
                <w:szCs w:val="18"/>
              </w:rPr>
              <w:t>Venta de bienes</w:t>
            </w:r>
          </w:p>
        </w:tc>
        <w:tc>
          <w:tcPr>
            <w:tcW w:w="1141" w:type="dxa"/>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01865">
              <w:rPr>
                <w:rFonts w:ascii="Arial Narrow" w:hAnsi="Arial Narrow"/>
                <w:spacing w:val="6"/>
                <w:sz w:val="18"/>
                <w:szCs w:val="18"/>
              </w:rPr>
              <w:t>1.826</w:t>
            </w:r>
          </w:p>
        </w:tc>
        <w:tc>
          <w:tcPr>
            <w:tcW w:w="1257" w:type="dxa"/>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01865">
              <w:rPr>
                <w:rFonts w:ascii="Arial Narrow" w:hAnsi="Arial Narrow"/>
                <w:spacing w:val="6"/>
                <w:sz w:val="18"/>
                <w:szCs w:val="18"/>
              </w:rPr>
              <w:t>1.650</w:t>
            </w:r>
          </w:p>
        </w:tc>
        <w:tc>
          <w:tcPr>
            <w:tcW w:w="1257" w:type="dxa"/>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01865">
              <w:rPr>
                <w:rFonts w:ascii="Arial Narrow" w:hAnsi="Arial Narrow"/>
                <w:spacing w:val="6"/>
                <w:sz w:val="18"/>
                <w:szCs w:val="18"/>
              </w:rPr>
              <w:t>90</w:t>
            </w:r>
          </w:p>
        </w:tc>
        <w:tc>
          <w:tcPr>
            <w:tcW w:w="14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1627" w:type="dxa"/>
            <w:tcBorders>
              <w:top w:val="single" w:sz="2" w:space="0" w:color="auto"/>
              <w:left w:val="nil"/>
              <w:bottom w:val="single" w:sz="2" w:space="0" w:color="auto"/>
              <w:right w:val="nil"/>
            </w:tcBorders>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01865">
              <w:rPr>
                <w:rFonts w:ascii="Arial Narrow" w:hAnsi="Arial Narrow"/>
                <w:spacing w:val="6"/>
                <w:sz w:val="18"/>
                <w:szCs w:val="18"/>
              </w:rPr>
              <w:t>-13</w:t>
            </w:r>
          </w:p>
        </w:tc>
      </w:tr>
      <w:tr w:rsidR="00B01865" w:rsidRPr="00B01865" w:rsidTr="0076518A">
        <w:trPr>
          <w:trHeight w:val="198"/>
          <w:jc w:val="center"/>
        </w:trPr>
        <w:tc>
          <w:tcPr>
            <w:tcW w:w="3352" w:type="dxa"/>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sidRPr="00B01865">
              <w:rPr>
                <w:rFonts w:ascii="Arial Narrow" w:hAnsi="Arial Narrow"/>
                <w:spacing w:val="6"/>
                <w:sz w:val="18"/>
                <w:szCs w:val="18"/>
              </w:rPr>
              <w:t>Reintegro de operaciones</w:t>
            </w:r>
          </w:p>
        </w:tc>
        <w:tc>
          <w:tcPr>
            <w:tcW w:w="1141" w:type="dxa"/>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01865">
              <w:rPr>
                <w:rFonts w:ascii="Arial Narrow" w:hAnsi="Arial Narrow"/>
                <w:spacing w:val="6"/>
                <w:sz w:val="18"/>
                <w:szCs w:val="18"/>
              </w:rPr>
              <w:t>10.712</w:t>
            </w:r>
          </w:p>
        </w:tc>
        <w:tc>
          <w:tcPr>
            <w:tcW w:w="1257" w:type="dxa"/>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01865">
              <w:rPr>
                <w:rFonts w:ascii="Arial Narrow" w:hAnsi="Arial Narrow"/>
                <w:spacing w:val="6"/>
                <w:sz w:val="18"/>
                <w:szCs w:val="18"/>
              </w:rPr>
              <w:t>8.471</w:t>
            </w:r>
          </w:p>
        </w:tc>
        <w:tc>
          <w:tcPr>
            <w:tcW w:w="1257" w:type="dxa"/>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01865">
              <w:rPr>
                <w:rFonts w:ascii="Arial Narrow" w:hAnsi="Arial Narrow"/>
                <w:spacing w:val="6"/>
                <w:sz w:val="18"/>
                <w:szCs w:val="18"/>
              </w:rPr>
              <w:t>79</w:t>
            </w:r>
          </w:p>
        </w:tc>
        <w:tc>
          <w:tcPr>
            <w:tcW w:w="146" w:type="dxa"/>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1627" w:type="dxa"/>
            <w:tcBorders>
              <w:top w:val="single" w:sz="2" w:space="0" w:color="auto"/>
              <w:left w:val="nil"/>
              <w:bottom w:val="single" w:sz="2" w:space="0" w:color="auto"/>
              <w:right w:val="nil"/>
            </w:tcBorders>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01865">
              <w:rPr>
                <w:rFonts w:ascii="Arial Narrow" w:hAnsi="Arial Narrow"/>
                <w:spacing w:val="6"/>
                <w:sz w:val="18"/>
                <w:szCs w:val="18"/>
              </w:rPr>
              <w:t>19</w:t>
            </w:r>
          </w:p>
        </w:tc>
      </w:tr>
      <w:tr w:rsidR="00B01865" w:rsidRPr="00B01865" w:rsidTr="0076518A">
        <w:trPr>
          <w:trHeight w:val="198"/>
          <w:jc w:val="center"/>
        </w:trPr>
        <w:tc>
          <w:tcPr>
            <w:tcW w:w="3352" w:type="dxa"/>
            <w:tcBorders>
              <w:top w:val="single" w:sz="2" w:space="0" w:color="auto"/>
              <w:left w:val="nil"/>
              <w:bottom w:val="single" w:sz="4"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sz w:val="18"/>
                <w:szCs w:val="18"/>
              </w:rPr>
            </w:pPr>
            <w:r w:rsidRPr="00B01865">
              <w:rPr>
                <w:rFonts w:ascii="Arial Narrow" w:hAnsi="Arial Narrow"/>
                <w:spacing w:val="6"/>
                <w:sz w:val="18"/>
                <w:szCs w:val="18"/>
              </w:rPr>
              <w:t>Otros ingresos</w:t>
            </w:r>
          </w:p>
        </w:tc>
        <w:tc>
          <w:tcPr>
            <w:tcW w:w="1141" w:type="dxa"/>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01865">
              <w:rPr>
                <w:rFonts w:ascii="Arial Narrow" w:hAnsi="Arial Narrow"/>
                <w:spacing w:val="6"/>
                <w:sz w:val="18"/>
                <w:szCs w:val="18"/>
              </w:rPr>
              <w:t>47.443</w:t>
            </w:r>
          </w:p>
        </w:tc>
        <w:tc>
          <w:tcPr>
            <w:tcW w:w="1257" w:type="dxa"/>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01865">
              <w:rPr>
                <w:rFonts w:ascii="Arial Narrow" w:hAnsi="Arial Narrow"/>
                <w:spacing w:val="6"/>
                <w:sz w:val="18"/>
                <w:szCs w:val="18"/>
              </w:rPr>
              <w:t>18.410</w:t>
            </w:r>
          </w:p>
        </w:tc>
        <w:tc>
          <w:tcPr>
            <w:tcW w:w="1257" w:type="dxa"/>
            <w:tcBorders>
              <w:top w:val="single" w:sz="2" w:space="0" w:color="auto"/>
              <w:left w:val="nil"/>
              <w:bottom w:val="single" w:sz="4"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01865">
              <w:rPr>
                <w:rFonts w:ascii="Arial Narrow" w:hAnsi="Arial Narrow"/>
                <w:spacing w:val="6"/>
                <w:sz w:val="18"/>
                <w:szCs w:val="18"/>
              </w:rPr>
              <w:t>39</w:t>
            </w:r>
          </w:p>
        </w:tc>
        <w:tc>
          <w:tcPr>
            <w:tcW w:w="146" w:type="dxa"/>
            <w:tcBorders>
              <w:top w:val="single" w:sz="2" w:space="0" w:color="auto"/>
              <w:left w:val="nil"/>
              <w:bottom w:val="single" w:sz="4"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p>
        </w:tc>
        <w:tc>
          <w:tcPr>
            <w:tcW w:w="1627" w:type="dxa"/>
            <w:tcBorders>
              <w:top w:val="single" w:sz="2" w:space="0" w:color="auto"/>
              <w:left w:val="nil"/>
              <w:bottom w:val="single" w:sz="4" w:space="0" w:color="auto"/>
              <w:right w:val="nil"/>
            </w:tcBorders>
            <w:vAlign w:val="bottom"/>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sz w:val="18"/>
                <w:szCs w:val="18"/>
              </w:rPr>
            </w:pPr>
            <w:r w:rsidRPr="00B01865">
              <w:rPr>
                <w:rFonts w:ascii="Arial Narrow" w:hAnsi="Arial Narrow"/>
                <w:spacing w:val="6"/>
                <w:sz w:val="18"/>
                <w:szCs w:val="18"/>
              </w:rPr>
              <w:t>11</w:t>
            </w:r>
          </w:p>
        </w:tc>
      </w:tr>
      <w:tr w:rsidR="00B01865" w:rsidRPr="00B01865" w:rsidTr="0076518A">
        <w:trPr>
          <w:trHeight w:val="255"/>
          <w:jc w:val="center"/>
        </w:trPr>
        <w:tc>
          <w:tcPr>
            <w:tcW w:w="3352" w:type="dxa"/>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6"/>
                <w:szCs w:val="16"/>
              </w:rPr>
            </w:pPr>
            <w:r w:rsidRPr="00B01865">
              <w:rPr>
                <w:rFonts w:ascii="Arial" w:hAnsi="Arial"/>
                <w:spacing w:val="6"/>
                <w:sz w:val="16"/>
                <w:szCs w:val="16"/>
              </w:rPr>
              <w:t xml:space="preserve">Total tasas, </w:t>
            </w:r>
            <w:proofErr w:type="spellStart"/>
            <w:r w:rsidRPr="00B01865">
              <w:rPr>
                <w:rFonts w:ascii="Arial" w:hAnsi="Arial"/>
                <w:spacing w:val="6"/>
                <w:sz w:val="16"/>
                <w:szCs w:val="16"/>
              </w:rPr>
              <w:t>prec</w:t>
            </w:r>
            <w:proofErr w:type="spellEnd"/>
            <w:r w:rsidRPr="00B01865">
              <w:rPr>
                <w:rFonts w:ascii="Arial" w:hAnsi="Arial"/>
                <w:spacing w:val="6"/>
                <w:sz w:val="16"/>
                <w:szCs w:val="16"/>
              </w:rPr>
              <w:t xml:space="preserve">. </w:t>
            </w:r>
            <w:proofErr w:type="spellStart"/>
            <w:r w:rsidRPr="00B01865">
              <w:rPr>
                <w:rFonts w:ascii="Arial" w:hAnsi="Arial"/>
                <w:spacing w:val="6"/>
                <w:sz w:val="16"/>
                <w:szCs w:val="16"/>
              </w:rPr>
              <w:t>públic</w:t>
            </w:r>
            <w:proofErr w:type="spellEnd"/>
            <w:r w:rsidRPr="00B01865">
              <w:rPr>
                <w:rFonts w:ascii="Arial" w:hAnsi="Arial"/>
                <w:spacing w:val="6"/>
                <w:sz w:val="16"/>
                <w:szCs w:val="16"/>
              </w:rPr>
              <w:t>. y otros ingresos</w:t>
            </w:r>
          </w:p>
        </w:tc>
        <w:tc>
          <w:tcPr>
            <w:tcW w:w="1141"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B01865">
              <w:rPr>
                <w:rFonts w:ascii="Arial" w:hAnsi="Arial"/>
                <w:spacing w:val="6"/>
                <w:sz w:val="16"/>
                <w:szCs w:val="16"/>
              </w:rPr>
              <w:t>124.001</w:t>
            </w:r>
          </w:p>
        </w:tc>
        <w:tc>
          <w:tcPr>
            <w:tcW w:w="1257"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B01865">
              <w:rPr>
                <w:rFonts w:ascii="Arial" w:hAnsi="Arial"/>
                <w:spacing w:val="6"/>
                <w:sz w:val="16"/>
                <w:szCs w:val="16"/>
              </w:rPr>
              <w:fldChar w:fldCharType="begin"/>
            </w:r>
            <w:r w:rsidRPr="00B01865">
              <w:rPr>
                <w:rFonts w:ascii="Arial" w:hAnsi="Arial"/>
                <w:spacing w:val="6"/>
                <w:sz w:val="16"/>
                <w:szCs w:val="16"/>
              </w:rPr>
              <w:instrText xml:space="preserve"> =SUM(ABOVE) </w:instrText>
            </w:r>
            <w:r w:rsidRPr="00B01865">
              <w:rPr>
                <w:rFonts w:ascii="Arial" w:hAnsi="Arial"/>
                <w:spacing w:val="6"/>
                <w:sz w:val="16"/>
                <w:szCs w:val="16"/>
              </w:rPr>
              <w:fldChar w:fldCharType="end"/>
            </w:r>
            <w:r w:rsidRPr="00B01865">
              <w:rPr>
                <w:rFonts w:ascii="Arial" w:hAnsi="Arial"/>
                <w:spacing w:val="6"/>
                <w:sz w:val="16"/>
                <w:szCs w:val="16"/>
              </w:rPr>
              <w:t>80.578</w:t>
            </w:r>
          </w:p>
        </w:tc>
        <w:tc>
          <w:tcPr>
            <w:tcW w:w="1257"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B01865">
              <w:rPr>
                <w:rFonts w:ascii="Arial" w:hAnsi="Arial"/>
                <w:spacing w:val="6"/>
                <w:sz w:val="16"/>
                <w:szCs w:val="16"/>
              </w:rPr>
              <w:t>65</w:t>
            </w:r>
          </w:p>
        </w:tc>
        <w:tc>
          <w:tcPr>
            <w:tcW w:w="14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p>
        </w:tc>
        <w:tc>
          <w:tcPr>
            <w:tcW w:w="1627"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6"/>
                <w:szCs w:val="16"/>
              </w:rPr>
            </w:pPr>
            <w:r w:rsidRPr="00B01865">
              <w:rPr>
                <w:rFonts w:ascii="Arial" w:hAnsi="Arial"/>
                <w:spacing w:val="6"/>
                <w:sz w:val="16"/>
                <w:szCs w:val="16"/>
              </w:rPr>
              <w:t>4</w:t>
            </w:r>
          </w:p>
        </w:tc>
      </w:tr>
    </w:tbl>
    <w:p w:rsidR="00B01865" w:rsidRPr="00B01865" w:rsidRDefault="00B01865" w:rsidP="00C327E2">
      <w:pPr>
        <w:pStyle w:val="texto"/>
        <w:spacing w:before="240"/>
        <w:rPr>
          <w:lang w:val="es-ES"/>
        </w:rPr>
      </w:pPr>
      <w:r w:rsidRPr="00B01865">
        <w:rPr>
          <w:lang w:val="es-ES"/>
        </w:rPr>
        <w:lastRenderedPageBreak/>
        <w:t>Los ingresos por tasas ascendieron a 12,80 millones de euros, de los cuales 8,85 millones corresponden a las tasas derivadas de la actividad del juego. Al cierre del ejercicio 2017 se habían recaudado en un 9</w:t>
      </w:r>
      <w:r w:rsidR="002C1817">
        <w:rPr>
          <w:lang w:val="es-ES"/>
        </w:rPr>
        <w:t>8</w:t>
      </w:r>
      <w:r w:rsidRPr="00B01865">
        <w:rPr>
          <w:lang w:val="es-ES"/>
        </w:rPr>
        <w:t xml:space="preserve"> por ciento. </w:t>
      </w:r>
    </w:p>
    <w:p w:rsidR="00B01865" w:rsidRPr="00B01865" w:rsidRDefault="00B01865" w:rsidP="00C327E2">
      <w:pPr>
        <w:pStyle w:val="texto"/>
        <w:rPr>
          <w:lang w:val="es-ES"/>
        </w:rPr>
      </w:pPr>
      <w:r w:rsidRPr="00B01865">
        <w:rPr>
          <w:lang w:val="es-ES"/>
        </w:rPr>
        <w:t>Los ingresos por precios públicos devengados en 2017 ascendieron a 51,22 millones de euros, entre los que destacan los ingresos por prestación de serv</w:t>
      </w:r>
      <w:r w:rsidRPr="00B01865">
        <w:rPr>
          <w:lang w:val="es-ES"/>
        </w:rPr>
        <w:t>i</w:t>
      </w:r>
      <w:r w:rsidRPr="00B01865">
        <w:rPr>
          <w:lang w:val="es-ES"/>
        </w:rPr>
        <w:t>cios sociales con 38,69 millones.</w:t>
      </w:r>
    </w:p>
    <w:p w:rsidR="00B01865" w:rsidRPr="00B01865" w:rsidRDefault="00B01865" w:rsidP="00C327E2">
      <w:pPr>
        <w:pStyle w:val="texto"/>
        <w:rPr>
          <w:rFonts w:cs="Arial"/>
        </w:rPr>
      </w:pPr>
      <w:r w:rsidRPr="00B01865">
        <w:rPr>
          <w:lang w:val="es-ES"/>
        </w:rPr>
        <w:t xml:space="preserve">Los principales conceptos incluidos en la denominación de otros ingresos son los siguientes: </w:t>
      </w:r>
      <w:r w:rsidRPr="00B01865">
        <w:rPr>
          <w:rFonts w:cs="Arial"/>
        </w:rPr>
        <w:t>multas y sanciones con 23,05 millones, recargos con 10,66 millones e intereses de demora con 5,85 millones.</w:t>
      </w:r>
    </w:p>
    <w:p w:rsidR="00B01865" w:rsidRPr="00B01865" w:rsidRDefault="00B01865" w:rsidP="00B01865">
      <w:pPr>
        <w:tabs>
          <w:tab w:val="center" w:pos="2835"/>
          <w:tab w:val="center" w:pos="3969"/>
          <w:tab w:val="center" w:pos="5103"/>
          <w:tab w:val="center" w:pos="6237"/>
          <w:tab w:val="center" w:pos="7371"/>
        </w:tabs>
        <w:ind w:firstLine="284"/>
        <w:rPr>
          <w:spacing w:val="-3"/>
          <w:sz w:val="26"/>
          <w:szCs w:val="24"/>
        </w:rPr>
      </w:pPr>
      <w:r w:rsidRPr="00B01865">
        <w:rPr>
          <w:spacing w:val="-3"/>
          <w:sz w:val="26"/>
          <w:szCs w:val="24"/>
        </w:rPr>
        <w:t>Recomendamos:</w:t>
      </w:r>
    </w:p>
    <w:p w:rsidR="00DE5003" w:rsidRDefault="00DE5003"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rFonts w:cs="Arial"/>
          <w:i/>
          <w:spacing w:val="6"/>
          <w:sz w:val="26"/>
          <w:szCs w:val="24"/>
        </w:rPr>
        <w:t xml:space="preserve">Modificar la aplicación </w:t>
      </w:r>
      <w:proofErr w:type="spellStart"/>
      <w:r>
        <w:rPr>
          <w:rFonts w:cs="Arial"/>
          <w:i/>
          <w:spacing w:val="6"/>
          <w:sz w:val="26"/>
          <w:szCs w:val="24"/>
        </w:rPr>
        <w:t>CATyGT</w:t>
      </w:r>
      <w:proofErr w:type="spellEnd"/>
      <w:r>
        <w:rPr>
          <w:rFonts w:cs="Arial"/>
          <w:i/>
          <w:spacing w:val="6"/>
          <w:sz w:val="26"/>
          <w:szCs w:val="24"/>
        </w:rPr>
        <w:t xml:space="preserve"> de tal forma que proporcione inform</w:t>
      </w:r>
      <w:r>
        <w:rPr>
          <w:rFonts w:cs="Arial"/>
          <w:i/>
          <w:spacing w:val="6"/>
          <w:sz w:val="26"/>
          <w:szCs w:val="24"/>
        </w:rPr>
        <w:t>a</w:t>
      </w:r>
      <w:r>
        <w:rPr>
          <w:rFonts w:cs="Arial"/>
          <w:i/>
          <w:spacing w:val="6"/>
          <w:sz w:val="26"/>
          <w:szCs w:val="24"/>
        </w:rPr>
        <w:t>ción sobre la recaudación obtenida gracias a las actuaciones de control trib</w:t>
      </w:r>
      <w:r>
        <w:rPr>
          <w:rFonts w:cs="Arial"/>
          <w:i/>
          <w:spacing w:val="6"/>
          <w:sz w:val="26"/>
          <w:szCs w:val="24"/>
        </w:rPr>
        <w:t>u</w:t>
      </w:r>
      <w:r>
        <w:rPr>
          <w:rFonts w:cs="Arial"/>
          <w:i/>
          <w:spacing w:val="6"/>
          <w:sz w:val="26"/>
          <w:szCs w:val="24"/>
        </w:rPr>
        <w:t>tario realizadas.</w:t>
      </w:r>
    </w:p>
    <w:p w:rsidR="00B01865" w:rsidRPr="00EF5634"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EF5634">
        <w:rPr>
          <w:rFonts w:cs="Arial"/>
          <w:i/>
          <w:spacing w:val="6"/>
          <w:sz w:val="26"/>
          <w:szCs w:val="24"/>
        </w:rPr>
        <w:t>Dotar una provisión por las devoluciones de impuestos que no hayan sido reconocidas al final del ejercicio.</w:t>
      </w:r>
    </w:p>
    <w:p w:rsidR="00B01865" w:rsidRPr="00EF5634"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EF5634">
        <w:rPr>
          <w:rFonts w:cs="Arial"/>
          <w:i/>
          <w:spacing w:val="6"/>
          <w:sz w:val="26"/>
          <w:szCs w:val="24"/>
        </w:rPr>
        <w:t>Diseñar un proceso de validación automática de la coherencia de los datos introducidos en las autoliquidaciones sobre los códigos de actividad y de ge</w:t>
      </w:r>
      <w:r w:rsidRPr="00EF5634">
        <w:rPr>
          <w:rFonts w:cs="Arial"/>
          <w:i/>
          <w:spacing w:val="6"/>
          <w:sz w:val="26"/>
          <w:szCs w:val="24"/>
        </w:rPr>
        <w:t>s</w:t>
      </w:r>
      <w:r w:rsidRPr="00EF5634">
        <w:rPr>
          <w:rFonts w:cs="Arial"/>
          <w:i/>
          <w:spacing w:val="6"/>
          <w:sz w:val="26"/>
          <w:szCs w:val="24"/>
        </w:rPr>
        <w:t xml:space="preserve">tión con los tipos y reducciones del impuesto de gases </w:t>
      </w:r>
      <w:proofErr w:type="spellStart"/>
      <w:r w:rsidRPr="00EF5634">
        <w:rPr>
          <w:rFonts w:cs="Arial"/>
          <w:i/>
          <w:spacing w:val="6"/>
          <w:sz w:val="26"/>
          <w:szCs w:val="24"/>
        </w:rPr>
        <w:t>fluorados</w:t>
      </w:r>
      <w:proofErr w:type="spellEnd"/>
      <w:r w:rsidRPr="00EF5634">
        <w:rPr>
          <w:rFonts w:cs="Arial"/>
          <w:i/>
          <w:spacing w:val="6"/>
          <w:sz w:val="26"/>
          <w:szCs w:val="24"/>
        </w:rPr>
        <w:t>.</w:t>
      </w:r>
    </w:p>
    <w:p w:rsidR="00B01865" w:rsidRPr="00EF5634"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EF5634">
        <w:rPr>
          <w:rFonts w:cs="Arial"/>
          <w:i/>
          <w:spacing w:val="6"/>
          <w:sz w:val="26"/>
          <w:szCs w:val="24"/>
        </w:rPr>
        <w:t>Completar el intercambio de información relacionada con las declaraci</w:t>
      </w:r>
      <w:r w:rsidRPr="00EF5634">
        <w:rPr>
          <w:rFonts w:cs="Arial"/>
          <w:i/>
          <w:spacing w:val="6"/>
          <w:sz w:val="26"/>
          <w:szCs w:val="24"/>
        </w:rPr>
        <w:t>o</w:t>
      </w:r>
      <w:r w:rsidRPr="00EF5634">
        <w:rPr>
          <w:rFonts w:cs="Arial"/>
          <w:i/>
          <w:spacing w:val="6"/>
          <w:sz w:val="26"/>
          <w:szCs w:val="24"/>
        </w:rPr>
        <w:t xml:space="preserve">nes sobre el impuesto sobre gases </w:t>
      </w:r>
      <w:proofErr w:type="spellStart"/>
      <w:r w:rsidRPr="00EF5634">
        <w:rPr>
          <w:rFonts w:cs="Arial"/>
          <w:i/>
          <w:spacing w:val="6"/>
          <w:sz w:val="26"/>
          <w:szCs w:val="24"/>
        </w:rPr>
        <w:t>fluorados</w:t>
      </w:r>
      <w:proofErr w:type="spellEnd"/>
      <w:r w:rsidRPr="00EF5634">
        <w:rPr>
          <w:rFonts w:cs="Arial"/>
          <w:i/>
          <w:spacing w:val="6"/>
          <w:sz w:val="26"/>
          <w:szCs w:val="24"/>
        </w:rPr>
        <w:t xml:space="preserve"> en BUDANET con la Agencia Tr</w:t>
      </w:r>
      <w:r w:rsidRPr="00EF5634">
        <w:rPr>
          <w:rFonts w:cs="Arial"/>
          <w:i/>
          <w:spacing w:val="6"/>
          <w:sz w:val="26"/>
          <w:szCs w:val="24"/>
        </w:rPr>
        <w:t>i</w:t>
      </w:r>
      <w:r w:rsidRPr="00EF5634">
        <w:rPr>
          <w:rFonts w:cs="Arial"/>
          <w:i/>
          <w:spacing w:val="6"/>
          <w:sz w:val="26"/>
          <w:szCs w:val="24"/>
        </w:rPr>
        <w:t>butaria del Estado.</w:t>
      </w:r>
    </w:p>
    <w:p w:rsidR="00B01865" w:rsidRPr="00EF5634"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EF5634">
        <w:rPr>
          <w:rFonts w:cs="Arial"/>
          <w:i/>
          <w:spacing w:val="6"/>
          <w:sz w:val="26"/>
          <w:szCs w:val="24"/>
        </w:rPr>
        <w:t>Incluir en la memoria de las Cuentas Generales un análisis más exhaustivo sobre la aportaci</w:t>
      </w:r>
      <w:r w:rsidR="002C1817">
        <w:rPr>
          <w:rFonts w:cs="Arial"/>
          <w:i/>
          <w:spacing w:val="6"/>
          <w:sz w:val="26"/>
          <w:szCs w:val="24"/>
        </w:rPr>
        <w:t>ón a los objetivos establecidos de los beneficios fiscales.</w:t>
      </w:r>
    </w:p>
    <w:p w:rsidR="00B01865" w:rsidRPr="00EF5634" w:rsidRDefault="00B01865" w:rsidP="00EF5634">
      <w:pPr>
        <w:pStyle w:val="atitulo2"/>
        <w:spacing w:before="240"/>
        <w:rPr>
          <w:bCs w:val="0"/>
          <w:iCs w:val="0"/>
        </w:rPr>
      </w:pPr>
      <w:bookmarkStart w:id="96" w:name="_Toc494270391"/>
      <w:bookmarkStart w:id="97" w:name="_Toc525907447"/>
      <w:bookmarkStart w:id="98" w:name="_Toc530034675"/>
      <w:r w:rsidRPr="00EF5634">
        <w:rPr>
          <w:bCs w:val="0"/>
          <w:iCs w:val="0"/>
        </w:rPr>
        <w:t>V.1</w:t>
      </w:r>
      <w:r w:rsidR="001C37BF">
        <w:rPr>
          <w:bCs w:val="0"/>
          <w:iCs w:val="0"/>
        </w:rPr>
        <w:t>0</w:t>
      </w:r>
      <w:r w:rsidRPr="00EF5634">
        <w:rPr>
          <w:bCs w:val="0"/>
          <w:iCs w:val="0"/>
        </w:rPr>
        <w:t xml:space="preserve">. </w:t>
      </w:r>
      <w:bookmarkEnd w:id="96"/>
      <w:r w:rsidRPr="00EF5634">
        <w:rPr>
          <w:bCs w:val="0"/>
          <w:iCs w:val="0"/>
        </w:rPr>
        <w:t>Otros ingresos</w:t>
      </w:r>
      <w:bookmarkEnd w:id="97"/>
      <w:bookmarkEnd w:id="98"/>
      <w:r w:rsidRPr="00EF5634">
        <w:rPr>
          <w:bCs w:val="0"/>
          <w:iCs w:val="0"/>
        </w:rPr>
        <w:t xml:space="preserve"> </w:t>
      </w:r>
    </w:p>
    <w:p w:rsidR="00B01865" w:rsidRPr="00B01865" w:rsidRDefault="00B01865" w:rsidP="00B01865">
      <w:pPr>
        <w:spacing w:before="240" w:after="12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Enajenación de inversiones reales</w:t>
      </w:r>
    </w:p>
    <w:p w:rsidR="00B01865" w:rsidRPr="00B01865" w:rsidRDefault="00B01865" w:rsidP="00EF5634">
      <w:pPr>
        <w:pStyle w:val="texto"/>
        <w:rPr>
          <w:lang w:val="es-ES"/>
        </w:rPr>
      </w:pPr>
      <w:r w:rsidRPr="00B01865">
        <w:rPr>
          <w:lang w:val="es-ES"/>
        </w:rPr>
        <w:t>Los derechos reconocidos por enajenación de inversiones reales ascendieron a 282.792 euros y se corresponden en su totalidad con ventas de terrenos.</w:t>
      </w:r>
    </w:p>
    <w:p w:rsidR="00B01865" w:rsidRPr="00B01865" w:rsidRDefault="00B01865" w:rsidP="00EF5634">
      <w:pPr>
        <w:pStyle w:val="texto"/>
        <w:rPr>
          <w:lang w:val="es-ES"/>
        </w:rPr>
      </w:pPr>
      <w:r w:rsidRPr="00B01865">
        <w:rPr>
          <w:lang w:val="es-ES"/>
        </w:rPr>
        <w:t>Hemos revisado la enajenación directa de una parcela de un polígono indu</w:t>
      </w:r>
      <w:r w:rsidRPr="00B01865">
        <w:rPr>
          <w:lang w:val="es-ES"/>
        </w:rPr>
        <w:t>s</w:t>
      </w:r>
      <w:r w:rsidRPr="00B01865">
        <w:rPr>
          <w:lang w:val="es-ES"/>
        </w:rPr>
        <w:t>trial propiedad de la ACFN que se encontraba en proceso de levantamiento de cargas que se realizó en 2014. El precio alcanzado fue de 406.250 euros (IVA excluido) teniendo que abonarse esta cantidad en ocho anualidades siendo las dos primeras de carencia.</w:t>
      </w:r>
    </w:p>
    <w:p w:rsidR="00B01865" w:rsidRPr="00B01865" w:rsidRDefault="00B01865" w:rsidP="00EF5634">
      <w:pPr>
        <w:pStyle w:val="texto"/>
        <w:rPr>
          <w:lang w:val="es-ES"/>
        </w:rPr>
      </w:pPr>
      <w:r w:rsidRPr="00B01865">
        <w:rPr>
          <w:lang w:val="es-ES"/>
        </w:rPr>
        <w:t>Además, hemos analizado los ingresos derivados de la reversión de un t</w:t>
      </w:r>
      <w:r w:rsidRPr="00B01865">
        <w:rPr>
          <w:lang w:val="es-ES"/>
        </w:rPr>
        <w:t>e</w:t>
      </w:r>
      <w:r w:rsidRPr="00B01865">
        <w:rPr>
          <w:lang w:val="es-ES"/>
        </w:rPr>
        <w:t xml:space="preserve">rreno que había sido expropiado previamente. </w:t>
      </w:r>
    </w:p>
    <w:p w:rsidR="00B01865" w:rsidRPr="00B01865" w:rsidRDefault="00B01865" w:rsidP="00EF5634">
      <w:pPr>
        <w:pStyle w:val="texto"/>
        <w:rPr>
          <w:lang w:val="es-ES"/>
        </w:rPr>
      </w:pPr>
      <w:r w:rsidRPr="00B01865">
        <w:rPr>
          <w:lang w:val="es-ES"/>
        </w:rPr>
        <w:t xml:space="preserve">Se ha comprobado que en la tramitación de los expedientes de enajenación se han cumplido, en general, los requisitos establecidos en la Ley Foral </w:t>
      </w:r>
      <w:r w:rsidRPr="00B01865">
        <w:rPr>
          <w:lang w:val="es-ES"/>
        </w:rPr>
        <w:lastRenderedPageBreak/>
        <w:t>14/2007, de 4 de abril, de Patrimonio de Navarra, y se ha cobrado el precio que correspondía, si bien hemos verificado que en el caso de la reversión del t</w:t>
      </w:r>
      <w:r w:rsidRPr="00B01865">
        <w:rPr>
          <w:lang w:val="es-ES"/>
        </w:rPr>
        <w:t>e</w:t>
      </w:r>
      <w:r w:rsidRPr="00B01865">
        <w:rPr>
          <w:lang w:val="es-ES"/>
        </w:rPr>
        <w:t>rreno no se dio de alta el terreno en su momento en el inventario y obviamente tampoco se dio de baja cuando el bien revirtió a la persona propietaria.</w:t>
      </w:r>
    </w:p>
    <w:p w:rsidR="00CF1188" w:rsidRDefault="00B01865" w:rsidP="00BC745B">
      <w:pPr>
        <w:pStyle w:val="texto"/>
        <w:rPr>
          <w:rFonts w:ascii="Arial" w:hAnsi="Arial"/>
          <w:i/>
          <w:iCs/>
          <w:color w:val="000000"/>
          <w:spacing w:val="10"/>
          <w:kern w:val="28"/>
          <w:sz w:val="25"/>
          <w:szCs w:val="26"/>
          <w:lang w:val="es-ES"/>
        </w:rPr>
      </w:pPr>
      <w:r w:rsidRPr="00EF5634">
        <w:rPr>
          <w:i/>
          <w:lang w:val="es-ES"/>
        </w:rPr>
        <w:t>Recomendamos establecer unos criterios de contabilización de altas y bajas de inmovilizado de acuerdo a la normativa contable vigente y registrarlas de acuerdo a los mismos.</w:t>
      </w:r>
    </w:p>
    <w:p w:rsidR="00B01865" w:rsidRPr="00B01865" w:rsidRDefault="00B01865" w:rsidP="00B01865">
      <w:pPr>
        <w:spacing w:before="240" w:after="12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Transferencias corrientes y de capital</w:t>
      </w:r>
    </w:p>
    <w:p w:rsidR="00EE69E0" w:rsidRDefault="00B01865" w:rsidP="00EE69E0">
      <w:pPr>
        <w:pStyle w:val="texto"/>
        <w:rPr>
          <w:lang w:val="es-ES"/>
        </w:rPr>
      </w:pPr>
      <w:r w:rsidRPr="00B01865">
        <w:rPr>
          <w:lang w:val="es-ES"/>
        </w:rPr>
        <w:t>Los ingresos por transferencias corrientes y de capital ascendieron a 178,37 y 10,35 millones de euros respectivamente, tal y como se muestra a continu</w:t>
      </w:r>
      <w:r w:rsidRPr="00B01865">
        <w:rPr>
          <w:lang w:val="es-ES"/>
        </w:rPr>
        <w:t>a</w:t>
      </w:r>
      <w:r w:rsidRPr="00B01865">
        <w:rPr>
          <w:lang w:val="es-ES"/>
        </w:rPr>
        <w:t>ción:</w:t>
      </w:r>
    </w:p>
    <w:tbl>
      <w:tblPr>
        <w:tblW w:w="8777" w:type="dxa"/>
        <w:jc w:val="center"/>
        <w:tblLayout w:type="fixed"/>
        <w:tblCellMar>
          <w:left w:w="70" w:type="dxa"/>
          <w:right w:w="70" w:type="dxa"/>
        </w:tblCellMar>
        <w:tblLook w:val="04A0" w:firstRow="1" w:lastRow="0" w:firstColumn="1" w:lastColumn="0" w:noHBand="0" w:noVBand="1"/>
      </w:tblPr>
      <w:tblGrid>
        <w:gridCol w:w="3844"/>
        <w:gridCol w:w="1137"/>
        <w:gridCol w:w="1392"/>
        <w:gridCol w:w="1138"/>
        <w:gridCol w:w="1266"/>
      </w:tblGrid>
      <w:tr w:rsidR="00B01865" w:rsidRPr="00B01865" w:rsidTr="00B01865">
        <w:trPr>
          <w:trHeight w:val="300"/>
          <w:jc w:val="center"/>
        </w:trPr>
        <w:tc>
          <w:tcPr>
            <w:tcW w:w="8777" w:type="dxa"/>
            <w:gridSpan w:val="5"/>
            <w:tcBorders>
              <w:left w:val="nil"/>
              <w:bottom w:val="nil"/>
              <w:right w:val="nil"/>
            </w:tcBorders>
            <w:shd w:val="clear" w:color="auto" w:fill="auto"/>
            <w:noWrap/>
            <w:vAlign w:val="bottom"/>
          </w:tcPr>
          <w:p w:rsidR="00B01865" w:rsidRPr="00B01865" w:rsidRDefault="00B01865" w:rsidP="00B01865">
            <w:pPr>
              <w:spacing w:after="0"/>
              <w:ind w:firstLine="0"/>
              <w:jc w:val="right"/>
              <w:rPr>
                <w:rFonts w:ascii="Arial" w:hAnsi="Arial" w:cs="Arial"/>
                <w:color w:val="000000"/>
                <w:sz w:val="17"/>
                <w:szCs w:val="17"/>
                <w:lang w:val="es-ES" w:eastAsia="es-ES"/>
              </w:rPr>
            </w:pPr>
            <w:r w:rsidRPr="00B01865">
              <w:rPr>
                <w:rFonts w:ascii="Arial" w:hAnsi="Arial" w:cs="Arial"/>
                <w:color w:val="000000"/>
                <w:sz w:val="17"/>
                <w:szCs w:val="17"/>
                <w:lang w:val="es-ES" w:eastAsia="es-ES"/>
              </w:rPr>
              <w:t>(en miles de euros)</w:t>
            </w:r>
          </w:p>
        </w:tc>
      </w:tr>
      <w:tr w:rsidR="00B01865" w:rsidRPr="00B01865" w:rsidTr="00B01865">
        <w:trPr>
          <w:trHeight w:val="198"/>
          <w:jc w:val="center"/>
        </w:trPr>
        <w:tc>
          <w:tcPr>
            <w:tcW w:w="3844" w:type="dxa"/>
            <w:tcBorders>
              <w:top w:val="single" w:sz="4" w:space="0" w:color="auto"/>
              <w:left w:val="nil"/>
              <w:bottom w:val="nil"/>
              <w:right w:val="nil"/>
            </w:tcBorders>
            <w:shd w:val="clear" w:color="000000" w:fill="8DB4E2"/>
            <w:noWrap/>
            <w:vAlign w:val="bottom"/>
            <w:hideMark/>
          </w:tcPr>
          <w:p w:rsidR="00B01865" w:rsidRPr="00B01865" w:rsidRDefault="00B01865" w:rsidP="00B01865">
            <w:pPr>
              <w:spacing w:after="0"/>
              <w:ind w:firstLine="0"/>
              <w:jc w:val="left"/>
              <w:rPr>
                <w:rFonts w:ascii="Arial" w:hAnsi="Arial" w:cs="Arial"/>
                <w:color w:val="000000"/>
                <w:sz w:val="18"/>
                <w:szCs w:val="18"/>
                <w:lang w:val="es-ES" w:eastAsia="es-ES"/>
              </w:rPr>
            </w:pPr>
          </w:p>
        </w:tc>
        <w:tc>
          <w:tcPr>
            <w:tcW w:w="2529" w:type="dxa"/>
            <w:gridSpan w:val="2"/>
            <w:tcBorders>
              <w:top w:val="single" w:sz="4" w:space="0" w:color="auto"/>
              <w:left w:val="nil"/>
              <w:bottom w:val="single" w:sz="2" w:space="0" w:color="auto"/>
              <w:right w:val="nil"/>
            </w:tcBorders>
            <w:shd w:val="clear" w:color="000000" w:fill="8DB4E2"/>
            <w:noWrap/>
            <w:vAlign w:val="bottom"/>
            <w:hideMark/>
          </w:tcPr>
          <w:p w:rsidR="00B01865" w:rsidRPr="00B01865" w:rsidRDefault="00B01865" w:rsidP="00B01865">
            <w:pPr>
              <w:spacing w:after="0"/>
              <w:ind w:right="-86" w:firstLine="0"/>
              <w:jc w:val="center"/>
              <w:rPr>
                <w:rFonts w:ascii="Arial" w:hAnsi="Arial" w:cs="Arial"/>
                <w:color w:val="000000"/>
                <w:sz w:val="18"/>
                <w:szCs w:val="18"/>
                <w:lang w:val="es-ES" w:eastAsia="es-ES"/>
              </w:rPr>
            </w:pPr>
            <w:r w:rsidRPr="00B01865">
              <w:rPr>
                <w:rFonts w:ascii="Arial" w:hAnsi="Arial" w:cs="Arial"/>
                <w:color w:val="000000"/>
                <w:sz w:val="18"/>
                <w:szCs w:val="18"/>
                <w:lang w:val="es-ES" w:eastAsia="es-ES"/>
              </w:rPr>
              <w:t>Derechos Reconocidos Netos</w:t>
            </w:r>
          </w:p>
        </w:tc>
        <w:tc>
          <w:tcPr>
            <w:tcW w:w="1138" w:type="dxa"/>
            <w:vMerge w:val="restart"/>
            <w:tcBorders>
              <w:top w:val="single" w:sz="4" w:space="0" w:color="auto"/>
              <w:left w:val="nil"/>
              <w:bottom w:val="single" w:sz="4" w:space="0" w:color="000000"/>
              <w:right w:val="nil"/>
            </w:tcBorders>
            <w:shd w:val="clear" w:color="000000" w:fill="8DB4E2"/>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 variación 2017/2016</w:t>
            </w:r>
          </w:p>
        </w:tc>
        <w:tc>
          <w:tcPr>
            <w:tcW w:w="1266" w:type="dxa"/>
            <w:vMerge w:val="restart"/>
            <w:tcBorders>
              <w:top w:val="single" w:sz="4" w:space="0" w:color="auto"/>
              <w:left w:val="nil"/>
              <w:bottom w:val="single" w:sz="4" w:space="0" w:color="000000"/>
              <w:right w:val="nil"/>
            </w:tcBorders>
            <w:shd w:val="clear" w:color="000000" w:fill="8DB4E2"/>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Recaudación Neta 2017</w:t>
            </w:r>
          </w:p>
        </w:tc>
      </w:tr>
      <w:tr w:rsidR="00B01865" w:rsidRPr="00B01865" w:rsidTr="00EF5634">
        <w:trPr>
          <w:trHeight w:val="198"/>
          <w:jc w:val="center"/>
        </w:trPr>
        <w:tc>
          <w:tcPr>
            <w:tcW w:w="3844" w:type="dxa"/>
            <w:tcBorders>
              <w:top w:val="nil"/>
              <w:left w:val="nil"/>
              <w:bottom w:val="single" w:sz="4" w:space="0" w:color="auto"/>
              <w:right w:val="nil"/>
            </w:tcBorders>
            <w:shd w:val="clear" w:color="000000" w:fill="8DB4E2"/>
            <w:noWrap/>
            <w:vAlign w:val="bottom"/>
            <w:hideMark/>
          </w:tcPr>
          <w:p w:rsidR="00B01865" w:rsidRPr="00B01865" w:rsidRDefault="00B01865" w:rsidP="00B01865">
            <w:pPr>
              <w:spacing w:after="0"/>
              <w:ind w:firstLine="0"/>
              <w:jc w:val="left"/>
              <w:rPr>
                <w:rFonts w:ascii="Arial" w:hAnsi="Arial" w:cs="Arial"/>
                <w:color w:val="000000"/>
                <w:sz w:val="18"/>
                <w:szCs w:val="18"/>
                <w:lang w:val="es-ES" w:eastAsia="es-ES"/>
              </w:rPr>
            </w:pPr>
          </w:p>
        </w:tc>
        <w:tc>
          <w:tcPr>
            <w:tcW w:w="1137" w:type="dxa"/>
            <w:tcBorders>
              <w:top w:val="single" w:sz="2" w:space="0" w:color="auto"/>
              <w:left w:val="nil"/>
              <w:bottom w:val="single" w:sz="4" w:space="0" w:color="auto"/>
              <w:right w:val="nil"/>
            </w:tcBorders>
            <w:shd w:val="clear" w:color="000000" w:fill="8DB4E2"/>
            <w:noWrap/>
            <w:vAlign w:val="bottom"/>
            <w:hideMark/>
          </w:tcPr>
          <w:p w:rsidR="00B01865" w:rsidRPr="00B01865" w:rsidRDefault="00B01865" w:rsidP="00B01865">
            <w:pPr>
              <w:spacing w:after="0"/>
              <w:ind w:right="122"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2016</w:t>
            </w:r>
          </w:p>
        </w:tc>
        <w:tc>
          <w:tcPr>
            <w:tcW w:w="1392" w:type="dxa"/>
            <w:tcBorders>
              <w:top w:val="single" w:sz="2" w:space="0" w:color="auto"/>
              <w:left w:val="nil"/>
              <w:bottom w:val="single" w:sz="4" w:space="0" w:color="auto"/>
              <w:right w:val="nil"/>
            </w:tcBorders>
            <w:shd w:val="clear" w:color="000000" w:fill="8DB4E2"/>
            <w:noWrap/>
            <w:vAlign w:val="bottom"/>
            <w:hideMark/>
          </w:tcPr>
          <w:p w:rsidR="00B01865" w:rsidRPr="00B01865" w:rsidRDefault="00B01865" w:rsidP="00B01865">
            <w:pPr>
              <w:spacing w:after="0"/>
              <w:ind w:right="122"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2017</w:t>
            </w:r>
          </w:p>
        </w:tc>
        <w:tc>
          <w:tcPr>
            <w:tcW w:w="1138" w:type="dxa"/>
            <w:vMerge/>
            <w:tcBorders>
              <w:top w:val="single" w:sz="4" w:space="0" w:color="auto"/>
              <w:left w:val="nil"/>
              <w:bottom w:val="single" w:sz="4" w:space="0" w:color="auto"/>
              <w:right w:val="nil"/>
            </w:tcBorders>
            <w:vAlign w:val="center"/>
            <w:hideMark/>
          </w:tcPr>
          <w:p w:rsidR="00B01865" w:rsidRPr="00B01865" w:rsidRDefault="00B01865" w:rsidP="00B01865">
            <w:pPr>
              <w:spacing w:after="0"/>
              <w:ind w:firstLine="0"/>
              <w:jc w:val="left"/>
              <w:rPr>
                <w:rFonts w:ascii="Arial" w:hAnsi="Arial" w:cs="Arial"/>
                <w:color w:val="000000"/>
                <w:sz w:val="18"/>
                <w:szCs w:val="18"/>
                <w:lang w:val="es-ES" w:eastAsia="es-ES"/>
              </w:rPr>
            </w:pPr>
          </w:p>
        </w:tc>
        <w:tc>
          <w:tcPr>
            <w:tcW w:w="1266" w:type="dxa"/>
            <w:vMerge/>
            <w:tcBorders>
              <w:top w:val="single" w:sz="4" w:space="0" w:color="auto"/>
              <w:left w:val="nil"/>
              <w:bottom w:val="single" w:sz="4" w:space="0" w:color="auto"/>
              <w:right w:val="nil"/>
            </w:tcBorders>
            <w:vAlign w:val="center"/>
            <w:hideMark/>
          </w:tcPr>
          <w:p w:rsidR="00B01865" w:rsidRPr="00B01865" w:rsidRDefault="00B01865" w:rsidP="00B01865">
            <w:pPr>
              <w:spacing w:after="0"/>
              <w:ind w:firstLine="0"/>
              <w:jc w:val="left"/>
              <w:rPr>
                <w:rFonts w:ascii="Arial" w:hAnsi="Arial" w:cs="Arial"/>
                <w:color w:val="000000"/>
                <w:sz w:val="18"/>
                <w:szCs w:val="18"/>
                <w:lang w:val="es-ES" w:eastAsia="es-ES"/>
              </w:rPr>
            </w:pPr>
          </w:p>
        </w:tc>
      </w:tr>
      <w:tr w:rsidR="00B01865" w:rsidRPr="00B01865" w:rsidTr="00EF5634">
        <w:trPr>
          <w:trHeight w:val="198"/>
          <w:jc w:val="center"/>
        </w:trPr>
        <w:tc>
          <w:tcPr>
            <w:tcW w:w="3844"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proofErr w:type="spellStart"/>
            <w:r w:rsidRPr="00B01865">
              <w:rPr>
                <w:rFonts w:ascii="Arial Narrow" w:hAnsi="Arial Narrow"/>
                <w:color w:val="000000"/>
                <w:lang w:val="es-ES" w:eastAsia="es-ES"/>
              </w:rPr>
              <w:t>Transf</w:t>
            </w:r>
            <w:proofErr w:type="spellEnd"/>
            <w:r w:rsidRPr="00B01865">
              <w:rPr>
                <w:rFonts w:ascii="Arial Narrow" w:hAnsi="Arial Narrow"/>
                <w:color w:val="000000"/>
                <w:lang w:val="es-ES" w:eastAsia="es-ES"/>
              </w:rPr>
              <w:t>. corrientes de la Administración del Estado</w:t>
            </w:r>
          </w:p>
        </w:tc>
        <w:tc>
          <w:tcPr>
            <w:tcW w:w="1137"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32.792</w:t>
            </w:r>
          </w:p>
        </w:tc>
        <w:tc>
          <w:tcPr>
            <w:tcW w:w="1392"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168.667</w:t>
            </w:r>
          </w:p>
        </w:tc>
        <w:tc>
          <w:tcPr>
            <w:tcW w:w="1138"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414</w:t>
            </w:r>
          </w:p>
        </w:tc>
        <w:tc>
          <w:tcPr>
            <w:tcW w:w="1266"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143.769</w:t>
            </w:r>
          </w:p>
        </w:tc>
      </w:tr>
      <w:tr w:rsidR="00B01865" w:rsidRPr="00B01865" w:rsidTr="00B01865">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Transferencias corrientes de fundaciones</w:t>
            </w:r>
          </w:p>
        </w:tc>
        <w:tc>
          <w:tcPr>
            <w:tcW w:w="113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1.147</w:t>
            </w:r>
          </w:p>
        </w:tc>
        <w:tc>
          <w:tcPr>
            <w:tcW w:w="1392"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3</w:t>
            </w:r>
          </w:p>
        </w:tc>
        <w:tc>
          <w:tcPr>
            <w:tcW w:w="1138"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-100</w:t>
            </w:r>
          </w:p>
        </w:tc>
        <w:tc>
          <w:tcPr>
            <w:tcW w:w="1266"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w:t>
            </w:r>
          </w:p>
        </w:tc>
      </w:tr>
      <w:tr w:rsidR="00B01865" w:rsidRPr="00B01865" w:rsidTr="00B01865">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 xml:space="preserve">T. </w:t>
            </w:r>
            <w:proofErr w:type="spellStart"/>
            <w:r w:rsidRPr="00B01865">
              <w:rPr>
                <w:rFonts w:ascii="Arial Narrow" w:hAnsi="Arial Narrow"/>
                <w:color w:val="000000"/>
                <w:lang w:val="es-ES" w:eastAsia="es-ES"/>
              </w:rPr>
              <w:t>ctes</w:t>
            </w:r>
            <w:proofErr w:type="spellEnd"/>
            <w:r w:rsidRPr="00B01865">
              <w:rPr>
                <w:rFonts w:ascii="Arial Narrow" w:hAnsi="Arial Narrow"/>
                <w:color w:val="000000"/>
                <w:lang w:val="es-ES" w:eastAsia="es-ES"/>
              </w:rPr>
              <w:t>. de empre. públicas y otros entes públicos</w:t>
            </w:r>
          </w:p>
        </w:tc>
        <w:tc>
          <w:tcPr>
            <w:tcW w:w="113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2.472</w:t>
            </w:r>
          </w:p>
        </w:tc>
        <w:tc>
          <w:tcPr>
            <w:tcW w:w="1392"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152</w:t>
            </w:r>
          </w:p>
        </w:tc>
        <w:tc>
          <w:tcPr>
            <w:tcW w:w="1138"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-94</w:t>
            </w:r>
          </w:p>
        </w:tc>
        <w:tc>
          <w:tcPr>
            <w:tcW w:w="1266"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152</w:t>
            </w:r>
          </w:p>
        </w:tc>
      </w:tr>
      <w:tr w:rsidR="00B01865" w:rsidRPr="00B01865" w:rsidTr="00B01865">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Transferencias corrientes de entidades locales</w:t>
            </w:r>
          </w:p>
        </w:tc>
        <w:tc>
          <w:tcPr>
            <w:tcW w:w="113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365</w:t>
            </w:r>
          </w:p>
        </w:tc>
        <w:tc>
          <w:tcPr>
            <w:tcW w:w="1392"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365</w:t>
            </w:r>
          </w:p>
        </w:tc>
        <w:tc>
          <w:tcPr>
            <w:tcW w:w="1138"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0</w:t>
            </w:r>
          </w:p>
        </w:tc>
        <w:tc>
          <w:tcPr>
            <w:tcW w:w="1266"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365</w:t>
            </w:r>
          </w:p>
        </w:tc>
      </w:tr>
      <w:tr w:rsidR="00B01865" w:rsidRPr="00B01865" w:rsidTr="00B01865">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Transferencias corrientes de empresas privadas</w:t>
            </w:r>
          </w:p>
        </w:tc>
        <w:tc>
          <w:tcPr>
            <w:tcW w:w="113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4.532</w:t>
            </w:r>
          </w:p>
        </w:tc>
        <w:tc>
          <w:tcPr>
            <w:tcW w:w="1392"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94</w:t>
            </w:r>
          </w:p>
        </w:tc>
        <w:tc>
          <w:tcPr>
            <w:tcW w:w="1138"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-98</w:t>
            </w:r>
          </w:p>
        </w:tc>
        <w:tc>
          <w:tcPr>
            <w:tcW w:w="1266"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94</w:t>
            </w:r>
          </w:p>
        </w:tc>
      </w:tr>
      <w:tr w:rsidR="00B01865" w:rsidRPr="00B01865" w:rsidTr="00B01865">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 xml:space="preserve">T. </w:t>
            </w:r>
            <w:proofErr w:type="spellStart"/>
            <w:r w:rsidRPr="00B01865">
              <w:rPr>
                <w:rFonts w:ascii="Arial Narrow" w:hAnsi="Arial Narrow"/>
                <w:color w:val="000000"/>
                <w:lang w:val="es-ES" w:eastAsia="es-ES"/>
              </w:rPr>
              <w:t>ctes</w:t>
            </w:r>
            <w:proofErr w:type="spellEnd"/>
            <w:r w:rsidRPr="00B01865">
              <w:rPr>
                <w:rFonts w:ascii="Arial Narrow" w:hAnsi="Arial Narrow"/>
                <w:color w:val="000000"/>
                <w:lang w:val="es-ES" w:eastAsia="es-ES"/>
              </w:rPr>
              <w:t xml:space="preserve">. de familias e </w:t>
            </w:r>
            <w:proofErr w:type="spellStart"/>
            <w:r w:rsidRPr="00B01865">
              <w:rPr>
                <w:rFonts w:ascii="Arial Narrow" w:hAnsi="Arial Narrow"/>
                <w:color w:val="000000"/>
                <w:lang w:val="es-ES" w:eastAsia="es-ES"/>
              </w:rPr>
              <w:t>instit</w:t>
            </w:r>
            <w:proofErr w:type="spellEnd"/>
            <w:r w:rsidRPr="00B01865">
              <w:rPr>
                <w:rFonts w:ascii="Arial Narrow" w:hAnsi="Arial Narrow"/>
                <w:color w:val="000000"/>
                <w:lang w:val="es-ES" w:eastAsia="es-ES"/>
              </w:rPr>
              <w:t>. sin fines de lucro</w:t>
            </w:r>
          </w:p>
        </w:tc>
        <w:tc>
          <w:tcPr>
            <w:tcW w:w="113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10</w:t>
            </w:r>
          </w:p>
        </w:tc>
        <w:tc>
          <w:tcPr>
            <w:tcW w:w="1392"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290</w:t>
            </w:r>
          </w:p>
        </w:tc>
        <w:tc>
          <w:tcPr>
            <w:tcW w:w="1138"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2800</w:t>
            </w:r>
          </w:p>
        </w:tc>
        <w:tc>
          <w:tcPr>
            <w:tcW w:w="1266"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290</w:t>
            </w:r>
          </w:p>
        </w:tc>
      </w:tr>
      <w:tr w:rsidR="00B01865" w:rsidRPr="00B01865" w:rsidTr="00B01865">
        <w:trPr>
          <w:trHeight w:val="198"/>
          <w:jc w:val="center"/>
        </w:trPr>
        <w:tc>
          <w:tcPr>
            <w:tcW w:w="3844"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Transferencias corrientes del exterior</w:t>
            </w:r>
          </w:p>
        </w:tc>
        <w:tc>
          <w:tcPr>
            <w:tcW w:w="1137"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6.346</w:t>
            </w:r>
          </w:p>
        </w:tc>
        <w:tc>
          <w:tcPr>
            <w:tcW w:w="1392"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8.797</w:t>
            </w:r>
          </w:p>
        </w:tc>
        <w:tc>
          <w:tcPr>
            <w:tcW w:w="1138"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39</w:t>
            </w:r>
          </w:p>
        </w:tc>
        <w:tc>
          <w:tcPr>
            <w:tcW w:w="1266"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8.632</w:t>
            </w:r>
          </w:p>
        </w:tc>
      </w:tr>
      <w:tr w:rsidR="00B01865" w:rsidRPr="00B01865" w:rsidTr="00EF5634">
        <w:trPr>
          <w:trHeight w:val="255"/>
          <w:jc w:val="center"/>
        </w:trPr>
        <w:tc>
          <w:tcPr>
            <w:tcW w:w="3844" w:type="dxa"/>
            <w:tcBorders>
              <w:top w:val="single" w:sz="4" w:space="0" w:color="auto"/>
              <w:left w:val="nil"/>
              <w:bottom w:val="single" w:sz="4" w:space="0" w:color="auto"/>
              <w:right w:val="nil"/>
            </w:tcBorders>
            <w:shd w:val="clear" w:color="000000" w:fill="8DB4E2"/>
            <w:noWrap/>
            <w:vAlign w:val="center"/>
            <w:hideMark/>
          </w:tcPr>
          <w:p w:rsidR="00B01865" w:rsidRPr="00B01865" w:rsidRDefault="00B01865" w:rsidP="00B01865">
            <w:pPr>
              <w:spacing w:after="0"/>
              <w:ind w:firstLine="0"/>
              <w:jc w:val="left"/>
              <w:rPr>
                <w:rFonts w:ascii="Arial" w:hAnsi="Arial" w:cs="Arial"/>
                <w:color w:val="000000"/>
                <w:sz w:val="18"/>
                <w:szCs w:val="18"/>
                <w:lang w:val="es-ES" w:eastAsia="es-ES"/>
              </w:rPr>
            </w:pPr>
            <w:r w:rsidRPr="00B01865">
              <w:rPr>
                <w:rFonts w:ascii="Arial" w:hAnsi="Arial" w:cs="Arial"/>
                <w:color w:val="000000"/>
                <w:sz w:val="18"/>
                <w:szCs w:val="18"/>
                <w:lang w:val="es-ES" w:eastAsia="es-ES"/>
              </w:rPr>
              <w:t>Total transferencias corrientes</w:t>
            </w:r>
          </w:p>
        </w:tc>
        <w:tc>
          <w:tcPr>
            <w:tcW w:w="1137" w:type="dxa"/>
            <w:tcBorders>
              <w:top w:val="single" w:sz="4" w:space="0" w:color="auto"/>
              <w:left w:val="nil"/>
              <w:bottom w:val="single" w:sz="4" w:space="0" w:color="auto"/>
              <w:right w:val="nil"/>
            </w:tcBorders>
            <w:shd w:val="clear" w:color="000000" w:fill="8DB4E2"/>
            <w:noWrap/>
            <w:vAlign w:val="center"/>
            <w:hideMark/>
          </w:tcPr>
          <w:p w:rsidR="00B01865" w:rsidRPr="00B01865" w:rsidRDefault="00B01865" w:rsidP="00B01865">
            <w:pPr>
              <w:spacing w:after="0"/>
              <w:ind w:right="122"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47.664</w:t>
            </w:r>
          </w:p>
        </w:tc>
        <w:tc>
          <w:tcPr>
            <w:tcW w:w="1392" w:type="dxa"/>
            <w:tcBorders>
              <w:top w:val="single" w:sz="4" w:space="0" w:color="auto"/>
              <w:left w:val="nil"/>
              <w:bottom w:val="single" w:sz="4" w:space="0" w:color="auto"/>
              <w:right w:val="nil"/>
            </w:tcBorders>
            <w:shd w:val="clear" w:color="000000" w:fill="8DB4E2"/>
            <w:noWrap/>
            <w:vAlign w:val="center"/>
            <w:hideMark/>
          </w:tcPr>
          <w:p w:rsidR="00B01865" w:rsidRPr="00B01865" w:rsidRDefault="00B01865" w:rsidP="00B01865">
            <w:pPr>
              <w:spacing w:after="0"/>
              <w:ind w:right="122"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178.368</w:t>
            </w:r>
          </w:p>
        </w:tc>
        <w:tc>
          <w:tcPr>
            <w:tcW w:w="1138" w:type="dxa"/>
            <w:tcBorders>
              <w:top w:val="single" w:sz="4" w:space="0" w:color="auto"/>
              <w:left w:val="nil"/>
              <w:bottom w:val="single" w:sz="4" w:space="0" w:color="auto"/>
              <w:right w:val="nil"/>
            </w:tcBorders>
            <w:shd w:val="clear" w:color="000000" w:fill="8DB4E2"/>
            <w:noWrap/>
            <w:vAlign w:val="center"/>
            <w:hideMark/>
          </w:tcPr>
          <w:p w:rsidR="00B01865" w:rsidRPr="00B01865" w:rsidRDefault="00B01865" w:rsidP="00B01865">
            <w:pPr>
              <w:spacing w:after="0"/>
              <w:ind w:right="122"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274</w:t>
            </w:r>
          </w:p>
        </w:tc>
        <w:tc>
          <w:tcPr>
            <w:tcW w:w="1266" w:type="dxa"/>
            <w:tcBorders>
              <w:top w:val="single" w:sz="4" w:space="0" w:color="auto"/>
              <w:left w:val="nil"/>
              <w:bottom w:val="single" w:sz="4" w:space="0" w:color="auto"/>
              <w:right w:val="nil"/>
            </w:tcBorders>
            <w:shd w:val="clear" w:color="000000" w:fill="8DB4E2"/>
            <w:noWrap/>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153.305</w:t>
            </w:r>
          </w:p>
        </w:tc>
      </w:tr>
      <w:tr w:rsidR="00B01865" w:rsidRPr="00B01865" w:rsidTr="00B01865">
        <w:trPr>
          <w:trHeight w:val="198"/>
          <w:jc w:val="center"/>
        </w:trPr>
        <w:tc>
          <w:tcPr>
            <w:tcW w:w="3844"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proofErr w:type="spellStart"/>
            <w:r w:rsidRPr="00B01865">
              <w:rPr>
                <w:rFonts w:ascii="Arial Narrow" w:hAnsi="Arial Narrow"/>
                <w:color w:val="000000"/>
                <w:lang w:val="es-ES" w:eastAsia="es-ES"/>
              </w:rPr>
              <w:t>Transf</w:t>
            </w:r>
            <w:proofErr w:type="spellEnd"/>
            <w:r w:rsidRPr="00B01865">
              <w:rPr>
                <w:rFonts w:ascii="Arial Narrow" w:hAnsi="Arial Narrow"/>
                <w:color w:val="000000"/>
                <w:lang w:val="es-ES" w:eastAsia="es-ES"/>
              </w:rPr>
              <w:t>. de capital de la Administración del Estado</w:t>
            </w:r>
          </w:p>
        </w:tc>
        <w:tc>
          <w:tcPr>
            <w:tcW w:w="1137"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387</w:t>
            </w:r>
          </w:p>
        </w:tc>
        <w:tc>
          <w:tcPr>
            <w:tcW w:w="1392"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530</w:t>
            </w:r>
          </w:p>
        </w:tc>
        <w:tc>
          <w:tcPr>
            <w:tcW w:w="1138"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37</w:t>
            </w:r>
          </w:p>
        </w:tc>
        <w:tc>
          <w:tcPr>
            <w:tcW w:w="1266" w:type="dxa"/>
            <w:tcBorders>
              <w:top w:val="single" w:sz="4"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530</w:t>
            </w:r>
          </w:p>
        </w:tc>
      </w:tr>
      <w:tr w:rsidR="00B01865" w:rsidRPr="00B01865" w:rsidTr="00B01865">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 xml:space="preserve">T. cap. de </w:t>
            </w:r>
            <w:proofErr w:type="spellStart"/>
            <w:r w:rsidRPr="00B01865">
              <w:rPr>
                <w:rFonts w:ascii="Arial Narrow" w:hAnsi="Arial Narrow"/>
                <w:color w:val="000000"/>
                <w:lang w:val="es-ES" w:eastAsia="es-ES"/>
              </w:rPr>
              <w:t>empres</w:t>
            </w:r>
            <w:proofErr w:type="spellEnd"/>
            <w:r w:rsidRPr="00B01865">
              <w:rPr>
                <w:rFonts w:ascii="Arial Narrow" w:hAnsi="Arial Narrow"/>
                <w:color w:val="000000"/>
                <w:lang w:val="es-ES" w:eastAsia="es-ES"/>
              </w:rPr>
              <w:t>. públicas y otros entes públicos</w:t>
            </w:r>
          </w:p>
        </w:tc>
        <w:tc>
          <w:tcPr>
            <w:tcW w:w="113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14.555</w:t>
            </w:r>
          </w:p>
        </w:tc>
        <w:tc>
          <w:tcPr>
            <w:tcW w:w="1392"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2</w:t>
            </w:r>
          </w:p>
        </w:tc>
        <w:tc>
          <w:tcPr>
            <w:tcW w:w="1138"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-100</w:t>
            </w:r>
          </w:p>
        </w:tc>
        <w:tc>
          <w:tcPr>
            <w:tcW w:w="1266"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w:t>
            </w:r>
          </w:p>
        </w:tc>
      </w:tr>
      <w:tr w:rsidR="00B01865" w:rsidRPr="00B01865" w:rsidTr="00B01865">
        <w:trPr>
          <w:trHeight w:val="198"/>
          <w:jc w:val="center"/>
        </w:trPr>
        <w:tc>
          <w:tcPr>
            <w:tcW w:w="3844"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Transferencias de capital de entidades locales</w:t>
            </w:r>
          </w:p>
        </w:tc>
        <w:tc>
          <w:tcPr>
            <w:tcW w:w="1137"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24</w:t>
            </w:r>
          </w:p>
        </w:tc>
        <w:tc>
          <w:tcPr>
            <w:tcW w:w="1392"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774</w:t>
            </w:r>
          </w:p>
        </w:tc>
        <w:tc>
          <w:tcPr>
            <w:tcW w:w="1138"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3125</w:t>
            </w:r>
          </w:p>
        </w:tc>
        <w:tc>
          <w:tcPr>
            <w:tcW w:w="1266" w:type="dxa"/>
            <w:tcBorders>
              <w:top w:val="single" w:sz="2" w:space="0" w:color="auto"/>
              <w:left w:val="nil"/>
              <w:bottom w:val="single" w:sz="2"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754</w:t>
            </w:r>
          </w:p>
        </w:tc>
      </w:tr>
      <w:tr w:rsidR="00B01865" w:rsidRPr="00B01865" w:rsidTr="00B01865">
        <w:trPr>
          <w:trHeight w:val="198"/>
          <w:jc w:val="center"/>
        </w:trPr>
        <w:tc>
          <w:tcPr>
            <w:tcW w:w="3844"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Transferencias de capital del exterior</w:t>
            </w:r>
          </w:p>
        </w:tc>
        <w:tc>
          <w:tcPr>
            <w:tcW w:w="1137"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6.958</w:t>
            </w:r>
          </w:p>
        </w:tc>
        <w:tc>
          <w:tcPr>
            <w:tcW w:w="1392"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9.045</w:t>
            </w:r>
          </w:p>
        </w:tc>
        <w:tc>
          <w:tcPr>
            <w:tcW w:w="1138"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right="122" w:firstLine="0"/>
              <w:jc w:val="right"/>
              <w:rPr>
                <w:rFonts w:ascii="Arial Narrow" w:hAnsi="Arial Narrow"/>
                <w:color w:val="000000"/>
                <w:lang w:val="es-ES" w:eastAsia="es-ES"/>
              </w:rPr>
            </w:pPr>
            <w:r w:rsidRPr="00B01865">
              <w:rPr>
                <w:rFonts w:ascii="Arial Narrow" w:hAnsi="Arial Narrow"/>
                <w:color w:val="000000"/>
                <w:lang w:val="es-ES" w:eastAsia="es-ES"/>
              </w:rPr>
              <w:t>30</w:t>
            </w:r>
          </w:p>
        </w:tc>
        <w:tc>
          <w:tcPr>
            <w:tcW w:w="1266" w:type="dxa"/>
            <w:tcBorders>
              <w:top w:val="single" w:sz="2" w:space="0" w:color="auto"/>
              <w:left w:val="nil"/>
              <w:bottom w:val="single" w:sz="4" w:space="0" w:color="auto"/>
              <w:right w:val="nil"/>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7.436</w:t>
            </w:r>
          </w:p>
        </w:tc>
      </w:tr>
      <w:tr w:rsidR="00B01865" w:rsidRPr="00B01865" w:rsidTr="00EF5634">
        <w:trPr>
          <w:trHeight w:val="255"/>
          <w:jc w:val="center"/>
        </w:trPr>
        <w:tc>
          <w:tcPr>
            <w:tcW w:w="3844" w:type="dxa"/>
            <w:tcBorders>
              <w:top w:val="single" w:sz="4" w:space="0" w:color="auto"/>
              <w:left w:val="nil"/>
              <w:bottom w:val="single" w:sz="4" w:space="0" w:color="auto"/>
              <w:right w:val="nil"/>
            </w:tcBorders>
            <w:shd w:val="clear" w:color="000000" w:fill="8DB4E2"/>
            <w:noWrap/>
            <w:vAlign w:val="center"/>
            <w:hideMark/>
          </w:tcPr>
          <w:p w:rsidR="00B01865" w:rsidRPr="00B01865" w:rsidRDefault="00B01865" w:rsidP="00B01865">
            <w:pPr>
              <w:spacing w:after="0"/>
              <w:ind w:firstLine="0"/>
              <w:jc w:val="left"/>
              <w:rPr>
                <w:rFonts w:ascii="Arial" w:hAnsi="Arial" w:cs="Arial"/>
                <w:color w:val="000000"/>
                <w:sz w:val="18"/>
                <w:szCs w:val="18"/>
                <w:lang w:val="es-ES" w:eastAsia="es-ES"/>
              </w:rPr>
            </w:pPr>
            <w:r w:rsidRPr="00B01865">
              <w:rPr>
                <w:rFonts w:ascii="Arial" w:hAnsi="Arial" w:cs="Arial"/>
                <w:color w:val="000000"/>
                <w:sz w:val="18"/>
                <w:szCs w:val="18"/>
                <w:lang w:val="es-ES" w:eastAsia="es-ES"/>
              </w:rPr>
              <w:t>Total transferencias de capital</w:t>
            </w:r>
          </w:p>
        </w:tc>
        <w:tc>
          <w:tcPr>
            <w:tcW w:w="1137" w:type="dxa"/>
            <w:tcBorders>
              <w:top w:val="single" w:sz="4" w:space="0" w:color="auto"/>
              <w:left w:val="nil"/>
              <w:bottom w:val="single" w:sz="4" w:space="0" w:color="auto"/>
              <w:right w:val="nil"/>
            </w:tcBorders>
            <w:shd w:val="clear" w:color="000000" w:fill="8DB4E2"/>
            <w:noWrap/>
            <w:vAlign w:val="center"/>
            <w:hideMark/>
          </w:tcPr>
          <w:p w:rsidR="00B01865" w:rsidRPr="00B01865" w:rsidRDefault="00B01865" w:rsidP="00B01865">
            <w:pPr>
              <w:spacing w:after="0"/>
              <w:ind w:right="136"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21.925</w:t>
            </w:r>
          </w:p>
        </w:tc>
        <w:tc>
          <w:tcPr>
            <w:tcW w:w="1392" w:type="dxa"/>
            <w:tcBorders>
              <w:top w:val="single" w:sz="4" w:space="0" w:color="auto"/>
              <w:left w:val="nil"/>
              <w:bottom w:val="single" w:sz="4" w:space="0" w:color="auto"/>
              <w:right w:val="nil"/>
            </w:tcBorders>
            <w:shd w:val="clear" w:color="000000" w:fill="8DB4E2"/>
            <w:noWrap/>
            <w:vAlign w:val="center"/>
            <w:hideMark/>
          </w:tcPr>
          <w:p w:rsidR="00B01865" w:rsidRPr="00B01865" w:rsidRDefault="00B01865" w:rsidP="00B01865">
            <w:pPr>
              <w:spacing w:after="0"/>
              <w:ind w:right="136"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10.351</w:t>
            </w:r>
          </w:p>
        </w:tc>
        <w:tc>
          <w:tcPr>
            <w:tcW w:w="1138" w:type="dxa"/>
            <w:tcBorders>
              <w:top w:val="single" w:sz="4" w:space="0" w:color="auto"/>
              <w:left w:val="nil"/>
              <w:bottom w:val="single" w:sz="4" w:space="0" w:color="auto"/>
              <w:right w:val="nil"/>
            </w:tcBorders>
            <w:shd w:val="clear" w:color="000000" w:fill="8DB4E2"/>
            <w:noWrap/>
            <w:vAlign w:val="center"/>
            <w:hideMark/>
          </w:tcPr>
          <w:p w:rsidR="00B01865" w:rsidRPr="00B01865" w:rsidRDefault="00B01865" w:rsidP="00B01865">
            <w:pPr>
              <w:spacing w:after="0"/>
              <w:ind w:right="122"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-53</w:t>
            </w:r>
          </w:p>
        </w:tc>
        <w:tc>
          <w:tcPr>
            <w:tcW w:w="1266" w:type="dxa"/>
            <w:tcBorders>
              <w:top w:val="single" w:sz="4" w:space="0" w:color="auto"/>
              <w:left w:val="nil"/>
              <w:bottom w:val="single" w:sz="4" w:space="0" w:color="auto"/>
              <w:right w:val="nil"/>
            </w:tcBorders>
            <w:shd w:val="clear" w:color="000000" w:fill="8DB4E2"/>
            <w:noWrap/>
            <w:vAlign w:val="center"/>
            <w:hideMark/>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8.719</w:t>
            </w:r>
          </w:p>
        </w:tc>
      </w:tr>
    </w:tbl>
    <w:p w:rsidR="00B01865" w:rsidRPr="00B01865" w:rsidRDefault="00B01865" w:rsidP="00EF5634">
      <w:pPr>
        <w:pStyle w:val="texto"/>
        <w:spacing w:before="240"/>
        <w:rPr>
          <w:lang w:val="es-ES"/>
        </w:rPr>
      </w:pPr>
      <w:r w:rsidRPr="00B01865">
        <w:rPr>
          <w:lang w:val="es-ES"/>
        </w:rPr>
        <w:t>Las transferencias corrientes se incrementaron un 274 por ciento y las de c</w:t>
      </w:r>
      <w:r w:rsidRPr="00B01865">
        <w:rPr>
          <w:lang w:val="es-ES"/>
        </w:rPr>
        <w:t>a</w:t>
      </w:r>
      <w:r w:rsidRPr="00B01865">
        <w:rPr>
          <w:lang w:val="es-ES"/>
        </w:rPr>
        <w:t>pital disminuyeron un 53 por ciento respecto a 2016. Destaca el aumento de las transferencias corrientes del Estado fruto de la actualización de la aportación del Convenio Económico descrita en el epígrafe V.</w:t>
      </w:r>
      <w:r w:rsidR="00150CBF">
        <w:rPr>
          <w:lang w:val="es-ES"/>
        </w:rPr>
        <w:t>7</w:t>
      </w:r>
      <w:r w:rsidRPr="00B01865">
        <w:rPr>
          <w:lang w:val="es-ES"/>
        </w:rPr>
        <w:t>.2.</w:t>
      </w:r>
    </w:p>
    <w:p w:rsidR="00B01865" w:rsidRPr="00B01865" w:rsidRDefault="00B01865" w:rsidP="00EF5634">
      <w:pPr>
        <w:pStyle w:val="texto"/>
        <w:spacing w:after="240"/>
        <w:rPr>
          <w:lang w:val="es-ES"/>
        </w:rPr>
      </w:pPr>
      <w:r w:rsidRPr="00B01865">
        <w:rPr>
          <w:lang w:val="es-ES"/>
        </w:rPr>
        <w:t>Hemos revisado la ejecución de los ingresos referidos a las transferencias de capital de entidades locales que se compone de los siguientes conceptos:</w:t>
      </w:r>
    </w:p>
    <w:tbl>
      <w:tblPr>
        <w:tblStyle w:val="Tablaconcuadrcula3"/>
        <w:tblW w:w="8791" w:type="dxa"/>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1"/>
        <w:gridCol w:w="2090"/>
        <w:gridCol w:w="2090"/>
      </w:tblGrid>
      <w:tr w:rsidR="00B01865" w:rsidRPr="00B01865" w:rsidTr="00EF5634">
        <w:trPr>
          <w:trHeight w:val="255"/>
        </w:trPr>
        <w:tc>
          <w:tcPr>
            <w:tcW w:w="4611"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rPr>
                <w:rFonts w:ascii="Times New Roman" w:hAnsi="Times New Roman"/>
                <w:spacing w:val="6"/>
                <w:sz w:val="26"/>
                <w:szCs w:val="24"/>
                <w:lang w:val="es-ES"/>
              </w:rPr>
            </w:pPr>
          </w:p>
        </w:tc>
        <w:tc>
          <w:tcPr>
            <w:tcW w:w="2090" w:type="dxa"/>
            <w:tcBorders>
              <w:top w:val="single" w:sz="4" w:space="0" w:color="auto"/>
              <w:bottom w:val="single" w:sz="4" w:space="0" w:color="auto"/>
            </w:tcBorders>
            <w:shd w:val="clear" w:color="auto" w:fill="8DB3E2" w:themeFill="text2" w:themeFillTint="66"/>
            <w:vAlign w:val="center"/>
          </w:tcPr>
          <w:p w:rsidR="00EF5634" w:rsidRDefault="00B01865" w:rsidP="00EF5634">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lang w:val="es-ES"/>
              </w:rPr>
            </w:pPr>
            <w:r w:rsidRPr="00B01865">
              <w:rPr>
                <w:rFonts w:ascii="Arial" w:hAnsi="Arial" w:cs="Arial"/>
                <w:spacing w:val="6"/>
                <w:sz w:val="18"/>
                <w:szCs w:val="18"/>
                <w:lang w:val="es-ES"/>
              </w:rPr>
              <w:t xml:space="preserve">Derechos Reconocidos </w:t>
            </w:r>
          </w:p>
          <w:p w:rsidR="00B01865" w:rsidRPr="00B01865" w:rsidRDefault="00B01865" w:rsidP="00EF5634">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lang w:val="es-ES"/>
              </w:rPr>
            </w:pPr>
            <w:r w:rsidRPr="00B01865">
              <w:rPr>
                <w:rFonts w:ascii="Arial" w:hAnsi="Arial" w:cs="Arial"/>
                <w:spacing w:val="6"/>
                <w:sz w:val="18"/>
                <w:szCs w:val="18"/>
                <w:lang w:val="es-ES"/>
              </w:rPr>
              <w:t>Netos</w:t>
            </w:r>
          </w:p>
        </w:tc>
        <w:tc>
          <w:tcPr>
            <w:tcW w:w="2090" w:type="dxa"/>
            <w:tcBorders>
              <w:top w:val="single" w:sz="4" w:space="0" w:color="auto"/>
              <w:bottom w:val="single" w:sz="4" w:space="0" w:color="auto"/>
            </w:tcBorders>
            <w:shd w:val="clear" w:color="auto" w:fill="8DB3E2" w:themeFill="text2" w:themeFillTint="66"/>
            <w:vAlign w:val="center"/>
          </w:tcPr>
          <w:p w:rsidR="00B01865" w:rsidRPr="00B01865" w:rsidRDefault="00B01865" w:rsidP="00EF5634">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lang w:val="es-ES"/>
              </w:rPr>
            </w:pPr>
            <w:r w:rsidRPr="00B01865">
              <w:rPr>
                <w:rFonts w:ascii="Arial" w:hAnsi="Arial" w:cs="Arial"/>
                <w:spacing w:val="6"/>
                <w:sz w:val="18"/>
                <w:szCs w:val="18"/>
                <w:lang w:val="es-ES"/>
              </w:rPr>
              <w:t>Recaudación Neta</w:t>
            </w:r>
          </w:p>
        </w:tc>
      </w:tr>
      <w:tr w:rsidR="00B01865" w:rsidRPr="00B01865" w:rsidTr="00EF5634">
        <w:trPr>
          <w:trHeight w:val="198"/>
        </w:trPr>
        <w:tc>
          <w:tcPr>
            <w:tcW w:w="4611" w:type="dxa"/>
            <w:tcBorders>
              <w:top w:val="single" w:sz="4" w:space="0" w:color="auto"/>
              <w:bottom w:val="single" w:sz="2" w:space="0" w:color="auto"/>
            </w:tcBorders>
            <w:vAlign w:val="center"/>
          </w:tcPr>
          <w:p w:rsidR="00B01865" w:rsidRPr="00B01865" w:rsidRDefault="00B01865" w:rsidP="00B01865">
            <w:pPr>
              <w:spacing w:after="0"/>
              <w:ind w:firstLine="0"/>
              <w:jc w:val="left"/>
              <w:rPr>
                <w:rFonts w:ascii="Arial Narrow" w:hAnsi="Arial Narrow"/>
                <w:color w:val="000000"/>
                <w:sz w:val="20"/>
                <w:szCs w:val="20"/>
                <w:lang w:val="es-ES" w:eastAsia="es-ES"/>
              </w:rPr>
            </w:pPr>
            <w:r w:rsidRPr="00B01865">
              <w:rPr>
                <w:rFonts w:ascii="Arial Narrow" w:eastAsia="Times New Roman" w:hAnsi="Arial Narrow" w:cs="Times New Roman"/>
                <w:color w:val="000000"/>
                <w:sz w:val="20"/>
                <w:szCs w:val="20"/>
                <w:lang w:val="es-ES" w:eastAsia="es-ES"/>
              </w:rPr>
              <w:t>Inversiones infraestructuras en regadío en comunales</w:t>
            </w:r>
          </w:p>
        </w:tc>
        <w:tc>
          <w:tcPr>
            <w:tcW w:w="2090" w:type="dxa"/>
            <w:tcBorders>
              <w:top w:val="single" w:sz="4" w:space="0" w:color="auto"/>
              <w:bottom w:val="single" w:sz="2" w:space="0" w:color="auto"/>
            </w:tcBorders>
            <w:vAlign w:val="bottom"/>
          </w:tcPr>
          <w:p w:rsidR="00B01865" w:rsidRPr="00B01865" w:rsidRDefault="00B01865" w:rsidP="00EF5634">
            <w:pPr>
              <w:spacing w:after="0"/>
              <w:ind w:left="-127"/>
              <w:jc w:val="right"/>
              <w:rPr>
                <w:rFonts w:ascii="Arial Narrow" w:eastAsia="Times New Roman" w:hAnsi="Arial Narrow" w:cs="Times New Roman"/>
                <w:color w:val="000000"/>
                <w:sz w:val="20"/>
                <w:szCs w:val="20"/>
                <w:lang w:val="es-ES" w:eastAsia="es-ES"/>
              </w:rPr>
            </w:pPr>
            <w:r w:rsidRPr="00B01865">
              <w:rPr>
                <w:rFonts w:ascii="Arial Narrow" w:eastAsia="Times New Roman" w:hAnsi="Arial Narrow" w:cs="Times New Roman"/>
                <w:color w:val="000000"/>
                <w:sz w:val="20"/>
                <w:szCs w:val="20"/>
                <w:lang w:val="es-ES" w:eastAsia="es-ES"/>
              </w:rPr>
              <w:t>753.809</w:t>
            </w:r>
          </w:p>
        </w:tc>
        <w:tc>
          <w:tcPr>
            <w:tcW w:w="2090" w:type="dxa"/>
            <w:tcBorders>
              <w:top w:val="single" w:sz="4" w:space="0" w:color="auto"/>
              <w:bottom w:val="single" w:sz="2" w:space="0" w:color="auto"/>
            </w:tcBorders>
            <w:vAlign w:val="center"/>
          </w:tcPr>
          <w:p w:rsidR="00B01865" w:rsidRPr="00B01865" w:rsidRDefault="00B01865" w:rsidP="00EF5634">
            <w:pPr>
              <w:tabs>
                <w:tab w:val="center" w:pos="2835"/>
                <w:tab w:val="center" w:pos="3969"/>
                <w:tab w:val="center" w:pos="5103"/>
                <w:tab w:val="center" w:pos="6237"/>
                <w:tab w:val="center" w:pos="7371"/>
              </w:tabs>
              <w:spacing w:after="0"/>
              <w:ind w:left="-127" w:firstLine="0"/>
              <w:jc w:val="right"/>
              <w:rPr>
                <w:rFonts w:ascii="Arial Narrow" w:hAnsi="Arial Narrow"/>
                <w:spacing w:val="6"/>
                <w:sz w:val="20"/>
                <w:lang w:val="es-ES"/>
              </w:rPr>
            </w:pPr>
            <w:r w:rsidRPr="00B01865">
              <w:rPr>
                <w:rFonts w:ascii="Arial Narrow" w:hAnsi="Arial Narrow"/>
                <w:spacing w:val="6"/>
                <w:sz w:val="20"/>
                <w:lang w:val="es-ES"/>
              </w:rPr>
              <w:t>753.809</w:t>
            </w:r>
          </w:p>
        </w:tc>
      </w:tr>
      <w:tr w:rsidR="00B01865" w:rsidRPr="00B01865" w:rsidTr="00EF5634">
        <w:trPr>
          <w:trHeight w:val="198"/>
        </w:trPr>
        <w:tc>
          <w:tcPr>
            <w:tcW w:w="4611" w:type="dxa"/>
            <w:tcBorders>
              <w:top w:val="single" w:sz="2" w:space="0" w:color="auto"/>
              <w:bottom w:val="single" w:sz="4" w:space="0" w:color="auto"/>
            </w:tcBorders>
            <w:vAlign w:val="center"/>
          </w:tcPr>
          <w:p w:rsidR="00B01865" w:rsidRPr="00B01865" w:rsidRDefault="00B01865" w:rsidP="00B01865">
            <w:pPr>
              <w:spacing w:after="0"/>
              <w:ind w:firstLine="0"/>
              <w:jc w:val="left"/>
              <w:rPr>
                <w:rFonts w:ascii="Arial Narrow" w:hAnsi="Arial Narrow"/>
                <w:color w:val="000000"/>
                <w:sz w:val="20"/>
                <w:szCs w:val="20"/>
                <w:lang w:val="es-ES" w:eastAsia="es-ES"/>
              </w:rPr>
            </w:pPr>
            <w:r w:rsidRPr="00B01865">
              <w:rPr>
                <w:rFonts w:ascii="Arial Narrow" w:eastAsia="Times New Roman" w:hAnsi="Arial Narrow" w:cs="Times New Roman"/>
                <w:color w:val="000000"/>
                <w:sz w:val="20"/>
                <w:szCs w:val="20"/>
                <w:lang w:val="es-ES" w:eastAsia="es-ES"/>
              </w:rPr>
              <w:t>Mancomunidad Comarca Pamplona-Convenio tarjeta única</w:t>
            </w:r>
          </w:p>
        </w:tc>
        <w:tc>
          <w:tcPr>
            <w:tcW w:w="2090" w:type="dxa"/>
            <w:tcBorders>
              <w:top w:val="single" w:sz="2" w:space="0" w:color="auto"/>
              <w:bottom w:val="single" w:sz="4" w:space="0" w:color="auto"/>
            </w:tcBorders>
            <w:vAlign w:val="bottom"/>
          </w:tcPr>
          <w:p w:rsidR="00B01865" w:rsidRPr="00B01865" w:rsidRDefault="00B01865" w:rsidP="00EF5634">
            <w:pPr>
              <w:spacing w:after="0"/>
              <w:ind w:left="-127"/>
              <w:jc w:val="right"/>
              <w:rPr>
                <w:rFonts w:ascii="Arial Narrow" w:eastAsia="Times New Roman" w:hAnsi="Arial Narrow" w:cs="Times New Roman"/>
                <w:color w:val="000000"/>
                <w:sz w:val="20"/>
                <w:szCs w:val="20"/>
                <w:lang w:val="es-ES" w:eastAsia="es-ES"/>
              </w:rPr>
            </w:pPr>
            <w:r w:rsidRPr="00B01865">
              <w:rPr>
                <w:rFonts w:ascii="Arial Narrow" w:eastAsia="Times New Roman" w:hAnsi="Arial Narrow" w:cs="Times New Roman"/>
                <w:color w:val="000000"/>
                <w:sz w:val="20"/>
                <w:szCs w:val="20"/>
                <w:lang w:val="es-ES" w:eastAsia="es-ES"/>
              </w:rPr>
              <w:t>20.300</w:t>
            </w:r>
          </w:p>
        </w:tc>
        <w:tc>
          <w:tcPr>
            <w:tcW w:w="2090" w:type="dxa"/>
            <w:tcBorders>
              <w:top w:val="single" w:sz="2" w:space="0" w:color="auto"/>
              <w:bottom w:val="single" w:sz="4" w:space="0" w:color="auto"/>
            </w:tcBorders>
            <w:vAlign w:val="center"/>
          </w:tcPr>
          <w:p w:rsidR="00B01865" w:rsidRPr="00B01865" w:rsidRDefault="00B01865" w:rsidP="00EF5634">
            <w:pPr>
              <w:tabs>
                <w:tab w:val="center" w:pos="2835"/>
                <w:tab w:val="center" w:pos="3969"/>
                <w:tab w:val="center" w:pos="5103"/>
                <w:tab w:val="center" w:pos="6237"/>
                <w:tab w:val="center" w:pos="7371"/>
              </w:tabs>
              <w:spacing w:after="0"/>
              <w:ind w:left="-127" w:firstLine="0"/>
              <w:jc w:val="right"/>
              <w:rPr>
                <w:rFonts w:ascii="Arial Narrow" w:hAnsi="Arial Narrow"/>
                <w:spacing w:val="6"/>
                <w:sz w:val="20"/>
                <w:lang w:val="es-ES"/>
              </w:rPr>
            </w:pPr>
            <w:r w:rsidRPr="00B01865">
              <w:rPr>
                <w:rFonts w:ascii="Arial Narrow" w:hAnsi="Arial Narrow"/>
                <w:spacing w:val="6"/>
                <w:sz w:val="20"/>
                <w:lang w:val="es-ES"/>
              </w:rPr>
              <w:t>0</w:t>
            </w:r>
          </w:p>
        </w:tc>
      </w:tr>
      <w:tr w:rsidR="00B01865" w:rsidRPr="00B01865" w:rsidTr="00EF5634">
        <w:trPr>
          <w:trHeight w:val="255"/>
        </w:trPr>
        <w:tc>
          <w:tcPr>
            <w:tcW w:w="4611"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tabs>
                <w:tab w:val="center" w:pos="2835"/>
                <w:tab w:val="center" w:pos="3969"/>
                <w:tab w:val="center" w:pos="5103"/>
                <w:tab w:val="center" w:pos="6237"/>
                <w:tab w:val="center" w:pos="7371"/>
              </w:tabs>
              <w:spacing w:after="0"/>
              <w:ind w:firstLine="0"/>
              <w:jc w:val="left"/>
              <w:rPr>
                <w:rFonts w:ascii="Arial" w:hAnsi="Arial" w:cs="Arial"/>
                <w:spacing w:val="6"/>
                <w:sz w:val="18"/>
                <w:szCs w:val="18"/>
                <w:lang w:val="es-ES"/>
              </w:rPr>
            </w:pPr>
            <w:r w:rsidRPr="00B01865">
              <w:rPr>
                <w:rFonts w:ascii="Arial" w:hAnsi="Arial" w:cs="Arial"/>
                <w:spacing w:val="6"/>
                <w:sz w:val="18"/>
                <w:szCs w:val="18"/>
                <w:lang w:val="es-ES"/>
              </w:rPr>
              <w:t>Total transferencias capital de entidades locales</w:t>
            </w:r>
          </w:p>
        </w:tc>
        <w:tc>
          <w:tcPr>
            <w:tcW w:w="2090" w:type="dxa"/>
            <w:tcBorders>
              <w:top w:val="single" w:sz="4" w:space="0" w:color="auto"/>
              <w:bottom w:val="single" w:sz="4" w:space="0" w:color="auto"/>
            </w:tcBorders>
            <w:shd w:val="clear" w:color="auto" w:fill="8DB3E2" w:themeFill="text2" w:themeFillTint="66"/>
            <w:vAlign w:val="center"/>
          </w:tcPr>
          <w:p w:rsidR="00B01865" w:rsidRPr="00B01865" w:rsidRDefault="00B01865" w:rsidP="00EF5634">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lang w:val="es-ES"/>
              </w:rPr>
            </w:pPr>
            <w:r w:rsidRPr="00B01865">
              <w:rPr>
                <w:rFonts w:ascii="Arial" w:hAnsi="Arial" w:cs="Arial"/>
                <w:spacing w:val="6"/>
                <w:sz w:val="18"/>
                <w:szCs w:val="18"/>
                <w:lang w:val="es-ES"/>
              </w:rPr>
              <w:t>774.109</w:t>
            </w:r>
          </w:p>
        </w:tc>
        <w:tc>
          <w:tcPr>
            <w:tcW w:w="2090" w:type="dxa"/>
            <w:tcBorders>
              <w:top w:val="single" w:sz="4" w:space="0" w:color="auto"/>
              <w:bottom w:val="single" w:sz="4" w:space="0" w:color="auto"/>
            </w:tcBorders>
            <w:shd w:val="clear" w:color="auto" w:fill="8DB3E2" w:themeFill="text2" w:themeFillTint="66"/>
            <w:vAlign w:val="center"/>
          </w:tcPr>
          <w:p w:rsidR="00B01865" w:rsidRPr="00B01865" w:rsidRDefault="00B01865" w:rsidP="00EF5634">
            <w:pPr>
              <w:tabs>
                <w:tab w:val="center" w:pos="2835"/>
                <w:tab w:val="center" w:pos="3969"/>
                <w:tab w:val="center" w:pos="5103"/>
                <w:tab w:val="center" w:pos="6237"/>
                <w:tab w:val="center" w:pos="7371"/>
              </w:tabs>
              <w:spacing w:after="0"/>
              <w:ind w:left="-127" w:firstLine="0"/>
              <w:jc w:val="right"/>
              <w:rPr>
                <w:rFonts w:ascii="Arial" w:hAnsi="Arial" w:cs="Arial"/>
                <w:spacing w:val="6"/>
                <w:sz w:val="18"/>
                <w:szCs w:val="18"/>
                <w:lang w:val="es-ES"/>
              </w:rPr>
            </w:pPr>
            <w:r w:rsidRPr="00B01865">
              <w:rPr>
                <w:rFonts w:ascii="Arial" w:hAnsi="Arial" w:cs="Arial"/>
                <w:spacing w:val="6"/>
                <w:sz w:val="18"/>
                <w:szCs w:val="18"/>
                <w:lang w:val="es-ES"/>
              </w:rPr>
              <w:t>753.809</w:t>
            </w:r>
          </w:p>
        </w:tc>
      </w:tr>
    </w:tbl>
    <w:p w:rsidR="00B01865" w:rsidRPr="00B01865" w:rsidRDefault="00B01865" w:rsidP="00EF5634">
      <w:pPr>
        <w:pStyle w:val="texto"/>
        <w:spacing w:before="240"/>
        <w:rPr>
          <w:lang w:val="es-ES"/>
        </w:rPr>
      </w:pPr>
      <w:r w:rsidRPr="00B01865">
        <w:rPr>
          <w:lang w:val="es-ES"/>
        </w:rPr>
        <w:t xml:space="preserve">De la revisión efectuada concluimos que en la tramitación de los expedientes se ha seguido la normativa aplicable, se han recibido los importes en los plazos establecidos y han sido contabilizados adecuadamente. </w:t>
      </w:r>
    </w:p>
    <w:p w:rsidR="00CF1188" w:rsidRDefault="00B01865" w:rsidP="00BC745B">
      <w:pPr>
        <w:pStyle w:val="texto"/>
        <w:rPr>
          <w:rFonts w:ascii="Arial" w:hAnsi="Arial"/>
          <w:color w:val="000000"/>
          <w:spacing w:val="10"/>
          <w:kern w:val="28"/>
          <w:sz w:val="25"/>
          <w:szCs w:val="26"/>
        </w:rPr>
      </w:pPr>
      <w:r w:rsidRPr="00B01865">
        <w:rPr>
          <w:lang w:val="es-ES"/>
        </w:rPr>
        <w:lastRenderedPageBreak/>
        <w:t xml:space="preserve">En relación con la implantación de la tarjeta única, señalamos que ya se ha realizado su diseño, pero sigue pendiente la </w:t>
      </w:r>
      <w:r w:rsidRPr="00B01865">
        <w:t>implantación de la plataforma te</w:t>
      </w:r>
      <w:r w:rsidRPr="00B01865">
        <w:t>c</w:t>
      </w:r>
      <w:r w:rsidRPr="00B01865">
        <w:t>nológica que dé soporte a las necesidades actuales y futuras de este medio de pago común, por lo que aún no se ha podido comenzar a utilizar.</w:t>
      </w:r>
      <w:bookmarkStart w:id="99" w:name="_Toc494270392"/>
      <w:bookmarkStart w:id="100" w:name="_Toc525907448"/>
    </w:p>
    <w:p w:rsidR="00B01865" w:rsidRPr="00EF5634" w:rsidRDefault="00B01865" w:rsidP="00EF5634">
      <w:pPr>
        <w:pStyle w:val="atitulo2"/>
        <w:spacing w:before="240"/>
        <w:rPr>
          <w:bCs w:val="0"/>
          <w:iCs w:val="0"/>
        </w:rPr>
      </w:pPr>
      <w:bookmarkStart w:id="101" w:name="_Toc530034676"/>
      <w:r w:rsidRPr="00EF5634">
        <w:rPr>
          <w:bCs w:val="0"/>
          <w:iCs w:val="0"/>
        </w:rPr>
        <w:t>V.1</w:t>
      </w:r>
      <w:r w:rsidR="001C37BF">
        <w:rPr>
          <w:bCs w:val="0"/>
          <w:iCs w:val="0"/>
        </w:rPr>
        <w:t>1</w:t>
      </w:r>
      <w:r w:rsidRPr="00EF5634">
        <w:rPr>
          <w:bCs w:val="0"/>
          <w:iCs w:val="0"/>
        </w:rPr>
        <w:t>. Deudores</w:t>
      </w:r>
      <w:bookmarkEnd w:id="99"/>
      <w:r w:rsidRPr="00EF5634">
        <w:rPr>
          <w:bCs w:val="0"/>
          <w:iCs w:val="0"/>
        </w:rPr>
        <w:t xml:space="preserve"> y acreedores a corto plazo</w:t>
      </w:r>
      <w:bookmarkEnd w:id="100"/>
      <w:bookmarkEnd w:id="101"/>
    </w:p>
    <w:p w:rsidR="00B01865" w:rsidRPr="00B01865" w:rsidRDefault="00B01865" w:rsidP="00B01865">
      <w:pPr>
        <w:spacing w:before="240" w:after="12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Deudores</w:t>
      </w:r>
    </w:p>
    <w:p w:rsidR="00B01865" w:rsidRPr="00B01865" w:rsidRDefault="00B01865" w:rsidP="00EF5634">
      <w:pPr>
        <w:pStyle w:val="texto"/>
        <w:rPr>
          <w:lang w:val="es-ES"/>
        </w:rPr>
      </w:pPr>
      <w:r w:rsidRPr="00B01865">
        <w:rPr>
          <w:lang w:val="es-ES"/>
        </w:rPr>
        <w:t>El saldo de deudores a 31 de diciembre de 2017 asciende a 298,42 millones de euros y corresponde a:</w:t>
      </w:r>
    </w:p>
    <w:tbl>
      <w:tblPr>
        <w:tblW w:w="8840" w:type="dxa"/>
        <w:jc w:val="center"/>
        <w:tblBorders>
          <w:top w:val="single" w:sz="2" w:space="0" w:color="auto"/>
          <w:bottom w:val="single" w:sz="2" w:space="0" w:color="auto"/>
          <w:insideH w:val="single" w:sz="2" w:space="0" w:color="auto"/>
        </w:tblBorders>
        <w:tblLayout w:type="fixed"/>
        <w:tblCellMar>
          <w:left w:w="70" w:type="dxa"/>
          <w:right w:w="70" w:type="dxa"/>
        </w:tblCellMar>
        <w:tblLook w:val="04A0" w:firstRow="1" w:lastRow="0" w:firstColumn="1" w:lastColumn="0" w:noHBand="0" w:noVBand="1"/>
      </w:tblPr>
      <w:tblGrid>
        <w:gridCol w:w="4010"/>
        <w:gridCol w:w="1610"/>
        <w:gridCol w:w="1610"/>
        <w:gridCol w:w="1610"/>
      </w:tblGrid>
      <w:tr w:rsidR="00B01865" w:rsidRPr="00B01865" w:rsidTr="00EF5634">
        <w:trPr>
          <w:trHeight w:val="255"/>
          <w:jc w:val="center"/>
        </w:trPr>
        <w:tc>
          <w:tcPr>
            <w:tcW w:w="8840" w:type="dxa"/>
            <w:gridSpan w:val="4"/>
            <w:tcBorders>
              <w:top w:val="nil"/>
              <w:bottom w:val="single" w:sz="4"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sidRPr="00B01865">
              <w:rPr>
                <w:rFonts w:ascii="Arial" w:hAnsi="Arial"/>
                <w:spacing w:val="6"/>
                <w:sz w:val="17"/>
                <w:szCs w:val="17"/>
              </w:rPr>
              <w:t>(en miles de euros)</w:t>
            </w:r>
          </w:p>
        </w:tc>
      </w:tr>
      <w:tr w:rsidR="00B01865" w:rsidRPr="00B01865" w:rsidTr="00EF5634">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bookmarkStart w:id="102" w:name="_Toc305415966"/>
            <w:bookmarkStart w:id="103" w:name="_Toc305480484"/>
            <w:r w:rsidRPr="00B01865">
              <w:rPr>
                <w:rFonts w:ascii="Arial" w:hAnsi="Arial"/>
                <w:spacing w:val="6"/>
                <w:sz w:val="18"/>
                <w:szCs w:val="24"/>
              </w:rPr>
              <w:t>Deudores</w:t>
            </w:r>
          </w:p>
        </w:tc>
        <w:tc>
          <w:tcPr>
            <w:tcW w:w="1610" w:type="dxa"/>
            <w:tcBorders>
              <w:top w:val="single" w:sz="4" w:space="0" w:color="auto"/>
              <w:bottom w:val="single" w:sz="4" w:space="0" w:color="auto"/>
            </w:tcBorders>
            <w:shd w:val="clear" w:color="auto" w:fill="8DB3E2" w:themeFill="text2" w:themeFillTint="66"/>
            <w:vAlign w:val="center"/>
          </w:tcPr>
          <w:p w:rsidR="00B01865" w:rsidRPr="00B01865" w:rsidRDefault="00B01865" w:rsidP="00A53690">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31</w:t>
            </w:r>
            <w:r w:rsidR="00A53690">
              <w:rPr>
                <w:rFonts w:ascii="Arial" w:hAnsi="Arial"/>
                <w:spacing w:val="6"/>
                <w:sz w:val="18"/>
                <w:szCs w:val="24"/>
              </w:rPr>
              <w:t>/</w:t>
            </w:r>
            <w:r w:rsidRPr="00B01865">
              <w:rPr>
                <w:rFonts w:ascii="Arial" w:hAnsi="Arial"/>
                <w:spacing w:val="6"/>
                <w:sz w:val="18"/>
                <w:szCs w:val="24"/>
              </w:rPr>
              <w:t>12</w:t>
            </w:r>
            <w:r w:rsidR="00A53690">
              <w:rPr>
                <w:rFonts w:ascii="Arial" w:hAnsi="Arial"/>
                <w:spacing w:val="6"/>
                <w:sz w:val="18"/>
                <w:szCs w:val="24"/>
              </w:rPr>
              <w:t>/</w:t>
            </w:r>
            <w:r w:rsidRPr="00B01865">
              <w:rPr>
                <w:rFonts w:ascii="Arial" w:hAnsi="Arial"/>
                <w:spacing w:val="6"/>
                <w:sz w:val="18"/>
                <w:szCs w:val="24"/>
              </w:rPr>
              <w:t>2016</w:t>
            </w:r>
          </w:p>
        </w:tc>
        <w:tc>
          <w:tcPr>
            <w:tcW w:w="161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A53690">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31</w:t>
            </w:r>
            <w:r w:rsidR="00A53690">
              <w:rPr>
                <w:rFonts w:ascii="Arial" w:hAnsi="Arial"/>
                <w:spacing w:val="6"/>
                <w:sz w:val="18"/>
                <w:szCs w:val="24"/>
              </w:rPr>
              <w:t>/</w:t>
            </w:r>
            <w:r w:rsidRPr="00B01865">
              <w:rPr>
                <w:rFonts w:ascii="Arial" w:hAnsi="Arial"/>
                <w:spacing w:val="6"/>
                <w:sz w:val="18"/>
                <w:szCs w:val="24"/>
              </w:rPr>
              <w:t>12</w:t>
            </w:r>
            <w:r w:rsidR="00A53690">
              <w:rPr>
                <w:rFonts w:ascii="Arial" w:hAnsi="Arial"/>
                <w:spacing w:val="6"/>
                <w:sz w:val="18"/>
                <w:szCs w:val="24"/>
              </w:rPr>
              <w:t>/</w:t>
            </w:r>
            <w:r w:rsidRPr="00B01865">
              <w:rPr>
                <w:rFonts w:ascii="Arial" w:hAnsi="Arial"/>
                <w:spacing w:val="6"/>
                <w:sz w:val="18"/>
                <w:szCs w:val="24"/>
              </w:rPr>
              <w:t>2017</w:t>
            </w:r>
          </w:p>
        </w:tc>
        <w:tc>
          <w:tcPr>
            <w:tcW w:w="161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 variación 2017/2016</w:t>
            </w:r>
          </w:p>
        </w:tc>
      </w:tr>
      <w:tr w:rsidR="00B01865" w:rsidRPr="00B01865" w:rsidTr="00EF5634">
        <w:trPr>
          <w:trHeight w:val="198"/>
          <w:jc w:val="center"/>
        </w:trPr>
        <w:tc>
          <w:tcPr>
            <w:tcW w:w="4010" w:type="dxa"/>
            <w:tcBorders>
              <w:top w:val="single" w:sz="4" w:space="0" w:color="auto"/>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presupuestarios</w:t>
            </w:r>
          </w:p>
        </w:tc>
        <w:tc>
          <w:tcPr>
            <w:tcW w:w="1610" w:type="dxa"/>
            <w:tcBorders>
              <w:top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818.679</w:t>
            </w:r>
          </w:p>
        </w:tc>
        <w:tc>
          <w:tcPr>
            <w:tcW w:w="1610" w:type="dxa"/>
            <w:tcBorders>
              <w:top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804.755</w:t>
            </w:r>
          </w:p>
        </w:tc>
        <w:tc>
          <w:tcPr>
            <w:tcW w:w="1610" w:type="dxa"/>
            <w:tcBorders>
              <w:top w:val="single" w:sz="4" w:space="0" w:color="auto"/>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w:t>
            </w:r>
          </w:p>
        </w:tc>
      </w:tr>
      <w:tr w:rsidR="00B01865" w:rsidRPr="00B01865" w:rsidTr="00EF5634">
        <w:trPr>
          <w:trHeight w:val="198"/>
          <w:jc w:val="center"/>
        </w:trPr>
        <w:tc>
          <w:tcPr>
            <w:tcW w:w="4010" w:type="dxa"/>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no presupuestarios</w:t>
            </w:r>
          </w:p>
        </w:tc>
        <w:tc>
          <w:tcPr>
            <w:tcW w:w="1610" w:type="dxa"/>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144</w:t>
            </w:r>
          </w:p>
        </w:tc>
        <w:tc>
          <w:tcPr>
            <w:tcW w:w="1610" w:type="dxa"/>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108</w:t>
            </w:r>
          </w:p>
        </w:tc>
        <w:tc>
          <w:tcPr>
            <w:tcW w:w="1610" w:type="dxa"/>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-25</w:t>
            </w:r>
          </w:p>
        </w:tc>
      </w:tr>
      <w:tr w:rsidR="00B01865" w:rsidRPr="00B01865" w:rsidTr="00EF5634">
        <w:trPr>
          <w:trHeight w:val="198"/>
          <w:jc w:val="center"/>
        </w:trPr>
        <w:tc>
          <w:tcPr>
            <w:tcW w:w="4010" w:type="dxa"/>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por recursos de otros entes públicos</w:t>
            </w:r>
          </w:p>
        </w:tc>
        <w:tc>
          <w:tcPr>
            <w:tcW w:w="1610" w:type="dxa"/>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396</w:t>
            </w:r>
          </w:p>
        </w:tc>
        <w:tc>
          <w:tcPr>
            <w:tcW w:w="1610" w:type="dxa"/>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366</w:t>
            </w:r>
          </w:p>
        </w:tc>
        <w:tc>
          <w:tcPr>
            <w:tcW w:w="1610" w:type="dxa"/>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w:t>
            </w:r>
          </w:p>
        </w:tc>
      </w:tr>
      <w:tr w:rsidR="00B01865" w:rsidRPr="00B01865" w:rsidTr="00EF5634">
        <w:trPr>
          <w:trHeight w:val="198"/>
          <w:jc w:val="center"/>
        </w:trPr>
        <w:tc>
          <w:tcPr>
            <w:tcW w:w="4010" w:type="dxa"/>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Otros deudores</w:t>
            </w:r>
          </w:p>
        </w:tc>
        <w:tc>
          <w:tcPr>
            <w:tcW w:w="1610" w:type="dxa"/>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3.787</w:t>
            </w:r>
          </w:p>
        </w:tc>
        <w:tc>
          <w:tcPr>
            <w:tcW w:w="1610" w:type="dxa"/>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5.528</w:t>
            </w:r>
          </w:p>
        </w:tc>
        <w:tc>
          <w:tcPr>
            <w:tcW w:w="1610" w:type="dxa"/>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46</w:t>
            </w:r>
          </w:p>
        </w:tc>
      </w:tr>
      <w:tr w:rsidR="00B01865" w:rsidRPr="00B01865" w:rsidTr="00EF5634">
        <w:trPr>
          <w:trHeight w:val="198"/>
          <w:jc w:val="center"/>
        </w:trPr>
        <w:tc>
          <w:tcPr>
            <w:tcW w:w="4010" w:type="dxa"/>
            <w:tcBorders>
              <w:bottom w:val="single" w:sz="4" w:space="0" w:color="auto"/>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Provisión para insolvencias</w:t>
            </w:r>
          </w:p>
        </w:tc>
        <w:tc>
          <w:tcPr>
            <w:tcW w:w="1610" w:type="dxa"/>
            <w:tcBorders>
              <w:bottom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(485.473)</w:t>
            </w:r>
          </w:p>
        </w:tc>
        <w:tc>
          <w:tcPr>
            <w:tcW w:w="1610" w:type="dxa"/>
            <w:tcBorders>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(512.337)</w:t>
            </w:r>
          </w:p>
        </w:tc>
        <w:tc>
          <w:tcPr>
            <w:tcW w:w="1610" w:type="dxa"/>
            <w:tcBorders>
              <w:bottom w:val="single" w:sz="4" w:space="0" w:color="auto"/>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w:t>
            </w:r>
          </w:p>
        </w:tc>
      </w:tr>
      <w:tr w:rsidR="00B01865" w:rsidRPr="00B01865" w:rsidTr="00EF5634">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Total deudores</w:t>
            </w:r>
          </w:p>
        </w:tc>
        <w:tc>
          <w:tcPr>
            <w:tcW w:w="1610"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337.533</w:t>
            </w:r>
          </w:p>
        </w:tc>
        <w:tc>
          <w:tcPr>
            <w:tcW w:w="1610"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298.420</w:t>
            </w:r>
          </w:p>
        </w:tc>
        <w:tc>
          <w:tcPr>
            <w:tcW w:w="161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-12</w:t>
            </w:r>
          </w:p>
        </w:tc>
      </w:tr>
    </w:tbl>
    <w:p w:rsidR="00530A04" w:rsidRDefault="00B01865" w:rsidP="004B4D50">
      <w:pPr>
        <w:pStyle w:val="texto"/>
        <w:spacing w:before="240"/>
        <w:rPr>
          <w:lang w:val="es-ES"/>
        </w:rPr>
      </w:pPr>
      <w:r w:rsidRPr="00B01865">
        <w:rPr>
          <w:lang w:val="es-ES"/>
        </w:rPr>
        <w:t>Los deudores presupuestarios son el componente más significativo y se c</w:t>
      </w:r>
      <w:r w:rsidRPr="00B01865">
        <w:rPr>
          <w:lang w:val="es-ES"/>
        </w:rPr>
        <w:t>o</w:t>
      </w:r>
      <w:r w:rsidRPr="00B01865">
        <w:rPr>
          <w:lang w:val="es-ES"/>
        </w:rPr>
        <w:t xml:space="preserve">rresponden fundamentalmente con deudores tributarios en situación de gestión ordinaria, en vía de apremio o con aplazamiento de su deuda tributaria. </w:t>
      </w:r>
    </w:p>
    <w:p w:rsidR="00B01865" w:rsidRPr="00B01865" w:rsidRDefault="00B01865" w:rsidP="00EF5634">
      <w:pPr>
        <w:pStyle w:val="texto"/>
        <w:rPr>
          <w:lang w:val="es-ES"/>
        </w:rPr>
      </w:pPr>
      <w:r w:rsidRPr="00B01865">
        <w:rPr>
          <w:lang w:val="es-ES"/>
        </w:rPr>
        <w:t>A 31 de diciembre de 2017 su saldo era de 804,76 millones de euros y el 64 por ciento del mismo estaba provisionado por insolvencias (512,34 millones). Su composición es la siguiente:</w:t>
      </w:r>
    </w:p>
    <w:tbl>
      <w:tblPr>
        <w:tblW w:w="8808" w:type="dxa"/>
        <w:jc w:val="center"/>
        <w:tblLayout w:type="fixed"/>
        <w:tblCellMar>
          <w:left w:w="70" w:type="dxa"/>
          <w:right w:w="70" w:type="dxa"/>
        </w:tblCellMar>
        <w:tblLook w:val="0000" w:firstRow="0" w:lastRow="0" w:firstColumn="0" w:lastColumn="0" w:noHBand="0" w:noVBand="0"/>
      </w:tblPr>
      <w:tblGrid>
        <w:gridCol w:w="4160"/>
        <w:gridCol w:w="1549"/>
        <w:gridCol w:w="1549"/>
        <w:gridCol w:w="1550"/>
      </w:tblGrid>
      <w:tr w:rsidR="00B01865" w:rsidRPr="00B01865" w:rsidTr="00D31043">
        <w:trPr>
          <w:trHeight w:val="284"/>
          <w:jc w:val="center"/>
        </w:trPr>
        <w:tc>
          <w:tcPr>
            <w:tcW w:w="8808" w:type="dxa"/>
            <w:gridSpan w:val="4"/>
            <w:tcBorders>
              <w:bottom w:val="single" w:sz="4"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sidRPr="00B01865">
              <w:rPr>
                <w:rFonts w:ascii="Arial" w:hAnsi="Arial"/>
                <w:spacing w:val="6"/>
                <w:sz w:val="17"/>
                <w:szCs w:val="17"/>
              </w:rPr>
              <w:t>(en miles de euros)</w:t>
            </w:r>
          </w:p>
        </w:tc>
      </w:tr>
      <w:tr w:rsidR="00B01865" w:rsidRPr="00D31043" w:rsidTr="00D31043">
        <w:trPr>
          <w:trHeight w:val="255"/>
          <w:jc w:val="center"/>
        </w:trPr>
        <w:tc>
          <w:tcPr>
            <w:tcW w:w="4160" w:type="dxa"/>
            <w:tcBorders>
              <w:top w:val="single" w:sz="4" w:space="0" w:color="auto"/>
              <w:bottom w:val="single" w:sz="4" w:space="0" w:color="auto"/>
            </w:tcBorders>
            <w:shd w:val="clear" w:color="auto" w:fill="8DB3E2" w:themeFill="text2" w:themeFillTint="66"/>
            <w:noWrap/>
            <w:vAlign w:val="center"/>
          </w:tcPr>
          <w:p w:rsidR="00B01865" w:rsidRPr="00D31043"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D31043">
              <w:rPr>
                <w:rFonts w:ascii="Arial" w:hAnsi="Arial" w:cs="Arial"/>
                <w:spacing w:val="6"/>
                <w:sz w:val="18"/>
                <w:szCs w:val="18"/>
              </w:rPr>
              <w:t>Deudores presupuestarios</w:t>
            </w:r>
          </w:p>
        </w:tc>
        <w:tc>
          <w:tcPr>
            <w:tcW w:w="1549" w:type="dxa"/>
            <w:tcBorders>
              <w:top w:val="single" w:sz="4" w:space="0" w:color="auto"/>
              <w:bottom w:val="single" w:sz="4" w:space="0" w:color="auto"/>
            </w:tcBorders>
            <w:shd w:val="clear" w:color="auto" w:fill="8DB3E2" w:themeFill="text2" w:themeFillTint="66"/>
            <w:vAlign w:val="center"/>
          </w:tcPr>
          <w:p w:rsidR="00B01865" w:rsidRPr="00D31043" w:rsidRDefault="00B01865" w:rsidP="00A5369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D31043">
              <w:rPr>
                <w:rFonts w:ascii="Arial" w:hAnsi="Arial" w:cs="Arial"/>
                <w:spacing w:val="6"/>
                <w:sz w:val="18"/>
                <w:szCs w:val="18"/>
              </w:rPr>
              <w:t>31</w:t>
            </w:r>
            <w:r w:rsidR="00A53690">
              <w:rPr>
                <w:rFonts w:ascii="Arial" w:hAnsi="Arial" w:cs="Arial"/>
                <w:spacing w:val="6"/>
                <w:sz w:val="18"/>
                <w:szCs w:val="18"/>
              </w:rPr>
              <w:t>/</w:t>
            </w:r>
            <w:r w:rsidRPr="00D31043">
              <w:rPr>
                <w:rFonts w:ascii="Arial" w:hAnsi="Arial" w:cs="Arial"/>
                <w:spacing w:val="6"/>
                <w:sz w:val="18"/>
                <w:szCs w:val="18"/>
              </w:rPr>
              <w:t>12</w:t>
            </w:r>
            <w:r w:rsidR="00A53690">
              <w:rPr>
                <w:rFonts w:ascii="Arial" w:hAnsi="Arial" w:cs="Arial"/>
                <w:spacing w:val="6"/>
                <w:sz w:val="18"/>
                <w:szCs w:val="18"/>
              </w:rPr>
              <w:t>/</w:t>
            </w:r>
            <w:r w:rsidRPr="00D31043">
              <w:rPr>
                <w:rFonts w:ascii="Arial" w:hAnsi="Arial" w:cs="Arial"/>
                <w:spacing w:val="6"/>
                <w:sz w:val="18"/>
                <w:szCs w:val="18"/>
              </w:rPr>
              <w:t>2016</w:t>
            </w:r>
          </w:p>
        </w:tc>
        <w:tc>
          <w:tcPr>
            <w:tcW w:w="1549" w:type="dxa"/>
            <w:tcBorders>
              <w:top w:val="single" w:sz="4" w:space="0" w:color="auto"/>
              <w:bottom w:val="single" w:sz="4" w:space="0" w:color="auto"/>
            </w:tcBorders>
            <w:shd w:val="clear" w:color="auto" w:fill="8DB3E2" w:themeFill="text2" w:themeFillTint="66"/>
            <w:vAlign w:val="center"/>
          </w:tcPr>
          <w:p w:rsidR="00B01865" w:rsidRPr="00D31043" w:rsidRDefault="00B01865" w:rsidP="00A53690">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D31043">
              <w:rPr>
                <w:rFonts w:ascii="Arial" w:hAnsi="Arial" w:cs="Arial"/>
                <w:spacing w:val="6"/>
                <w:sz w:val="18"/>
                <w:szCs w:val="18"/>
              </w:rPr>
              <w:t>31</w:t>
            </w:r>
            <w:r w:rsidR="00A53690">
              <w:rPr>
                <w:rFonts w:ascii="Arial" w:hAnsi="Arial" w:cs="Arial"/>
                <w:spacing w:val="6"/>
                <w:sz w:val="18"/>
                <w:szCs w:val="18"/>
              </w:rPr>
              <w:t>/</w:t>
            </w:r>
            <w:r w:rsidRPr="00D31043">
              <w:rPr>
                <w:rFonts w:ascii="Arial" w:hAnsi="Arial" w:cs="Arial"/>
                <w:spacing w:val="6"/>
                <w:sz w:val="18"/>
                <w:szCs w:val="18"/>
              </w:rPr>
              <w:t>12</w:t>
            </w:r>
            <w:r w:rsidR="00A53690">
              <w:rPr>
                <w:rFonts w:ascii="Arial" w:hAnsi="Arial" w:cs="Arial"/>
                <w:spacing w:val="6"/>
                <w:sz w:val="18"/>
                <w:szCs w:val="18"/>
              </w:rPr>
              <w:t>/</w:t>
            </w:r>
            <w:r w:rsidRPr="00D31043">
              <w:rPr>
                <w:rFonts w:ascii="Arial" w:hAnsi="Arial" w:cs="Arial"/>
                <w:spacing w:val="6"/>
                <w:sz w:val="18"/>
                <w:szCs w:val="18"/>
              </w:rPr>
              <w:t>2017</w:t>
            </w:r>
          </w:p>
        </w:tc>
        <w:tc>
          <w:tcPr>
            <w:tcW w:w="1550" w:type="dxa"/>
            <w:tcBorders>
              <w:top w:val="single" w:sz="4" w:space="0" w:color="auto"/>
              <w:bottom w:val="single" w:sz="4" w:space="0" w:color="auto"/>
            </w:tcBorders>
            <w:shd w:val="clear" w:color="auto" w:fill="8DB3E2" w:themeFill="text2" w:themeFillTint="66"/>
            <w:vAlign w:val="center"/>
          </w:tcPr>
          <w:p w:rsidR="00B01865" w:rsidRPr="00D31043"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D31043">
              <w:rPr>
                <w:rFonts w:ascii="Arial" w:hAnsi="Arial" w:cs="Arial"/>
                <w:spacing w:val="6"/>
                <w:sz w:val="18"/>
                <w:szCs w:val="18"/>
              </w:rPr>
              <w:t xml:space="preserve">% variación </w:t>
            </w:r>
          </w:p>
          <w:p w:rsidR="00B01865" w:rsidRPr="00D31043"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D31043">
              <w:rPr>
                <w:rFonts w:ascii="Arial" w:hAnsi="Arial" w:cs="Arial"/>
                <w:spacing w:val="6"/>
                <w:sz w:val="18"/>
                <w:szCs w:val="18"/>
              </w:rPr>
              <w:t>2017/2016</w:t>
            </w:r>
          </w:p>
        </w:tc>
      </w:tr>
      <w:tr w:rsidR="00B01865" w:rsidRPr="00B01865" w:rsidTr="00D31043">
        <w:trPr>
          <w:trHeight w:val="198"/>
          <w:jc w:val="center"/>
        </w:trPr>
        <w:tc>
          <w:tcPr>
            <w:tcW w:w="4160"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en departamentos</w:t>
            </w:r>
          </w:p>
        </w:tc>
        <w:tc>
          <w:tcPr>
            <w:tcW w:w="1549"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55.692</w:t>
            </w:r>
          </w:p>
        </w:tc>
        <w:tc>
          <w:tcPr>
            <w:tcW w:w="1549"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37.011</w:t>
            </w:r>
          </w:p>
        </w:tc>
        <w:tc>
          <w:tcPr>
            <w:tcW w:w="1550"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-34</w:t>
            </w:r>
          </w:p>
        </w:tc>
      </w:tr>
      <w:tr w:rsidR="00B01865" w:rsidRPr="00B01865" w:rsidTr="00D31043">
        <w:trPr>
          <w:trHeight w:val="198"/>
          <w:jc w:val="center"/>
        </w:trPr>
        <w:tc>
          <w:tcPr>
            <w:tcW w:w="4160"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gestión ordinaria</w:t>
            </w:r>
          </w:p>
        </w:tc>
        <w:tc>
          <w:tcPr>
            <w:tcW w:w="1549"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125.454</w:t>
            </w:r>
          </w:p>
        </w:tc>
        <w:tc>
          <w:tcPr>
            <w:tcW w:w="1549"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141.045</w:t>
            </w:r>
          </w:p>
        </w:tc>
        <w:tc>
          <w:tcPr>
            <w:tcW w:w="1550"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12</w:t>
            </w:r>
          </w:p>
        </w:tc>
      </w:tr>
      <w:tr w:rsidR="00B01865" w:rsidRPr="00B01865" w:rsidTr="00D31043">
        <w:trPr>
          <w:trHeight w:val="198"/>
          <w:jc w:val="center"/>
        </w:trPr>
        <w:tc>
          <w:tcPr>
            <w:tcW w:w="4160"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con aplazamiento</w:t>
            </w:r>
          </w:p>
        </w:tc>
        <w:tc>
          <w:tcPr>
            <w:tcW w:w="1549"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146.403</w:t>
            </w:r>
          </w:p>
        </w:tc>
        <w:tc>
          <w:tcPr>
            <w:tcW w:w="1549"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91.307</w:t>
            </w:r>
          </w:p>
        </w:tc>
        <w:tc>
          <w:tcPr>
            <w:tcW w:w="1550" w:type="dxa"/>
            <w:tcBorders>
              <w:top w:val="single" w:sz="2"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-38</w:t>
            </w:r>
          </w:p>
        </w:tc>
      </w:tr>
      <w:tr w:rsidR="00B01865" w:rsidRPr="00B01865" w:rsidTr="00D31043">
        <w:trPr>
          <w:trHeight w:val="198"/>
          <w:jc w:val="center"/>
        </w:trPr>
        <w:tc>
          <w:tcPr>
            <w:tcW w:w="4160"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en vía de apremio</w:t>
            </w:r>
          </w:p>
        </w:tc>
        <w:tc>
          <w:tcPr>
            <w:tcW w:w="1549"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487.826</w:t>
            </w:r>
          </w:p>
        </w:tc>
        <w:tc>
          <w:tcPr>
            <w:tcW w:w="1549"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499.526</w:t>
            </w:r>
          </w:p>
        </w:tc>
        <w:tc>
          <w:tcPr>
            <w:tcW w:w="1550" w:type="dxa"/>
            <w:tcBorders>
              <w:top w:val="single" w:sz="2" w:space="0" w:color="auto"/>
              <w:bottom w:val="single" w:sz="2"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w:t>
            </w:r>
          </w:p>
        </w:tc>
      </w:tr>
      <w:tr w:rsidR="00B01865" w:rsidRPr="00B01865" w:rsidTr="00D31043">
        <w:trPr>
          <w:trHeight w:val="198"/>
          <w:jc w:val="center"/>
        </w:trPr>
        <w:tc>
          <w:tcPr>
            <w:tcW w:w="4160" w:type="dxa"/>
            <w:tcBorders>
              <w:top w:val="single" w:sz="2" w:space="0" w:color="auto"/>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Deudores situaciones especiales</w:t>
            </w:r>
          </w:p>
        </w:tc>
        <w:tc>
          <w:tcPr>
            <w:tcW w:w="1549" w:type="dxa"/>
            <w:tcBorders>
              <w:top w:val="single" w:sz="2" w:space="0" w:color="auto"/>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24.041</w:t>
            </w:r>
          </w:p>
        </w:tc>
        <w:tc>
          <w:tcPr>
            <w:tcW w:w="1549" w:type="dxa"/>
            <w:tcBorders>
              <w:top w:val="single" w:sz="2" w:space="0" w:color="auto"/>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39.718</w:t>
            </w:r>
          </w:p>
        </w:tc>
        <w:tc>
          <w:tcPr>
            <w:tcW w:w="1550" w:type="dxa"/>
            <w:tcBorders>
              <w:top w:val="single" w:sz="2" w:space="0" w:color="auto"/>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65</w:t>
            </w:r>
          </w:p>
        </w:tc>
      </w:tr>
      <w:tr w:rsidR="00B01865" w:rsidRPr="00D31043" w:rsidTr="00D31043">
        <w:trPr>
          <w:trHeight w:val="255"/>
          <w:jc w:val="center"/>
        </w:trPr>
        <w:tc>
          <w:tcPr>
            <w:tcW w:w="4160" w:type="dxa"/>
            <w:tcBorders>
              <w:top w:val="single" w:sz="4" w:space="0" w:color="auto"/>
              <w:bottom w:val="single" w:sz="4" w:space="0" w:color="auto"/>
            </w:tcBorders>
            <w:noWrap/>
            <w:vAlign w:val="center"/>
          </w:tcPr>
          <w:p w:rsidR="00B01865" w:rsidRPr="00D31043"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b/>
                <w:i/>
                <w:spacing w:val="6"/>
                <w:sz w:val="18"/>
                <w:szCs w:val="18"/>
              </w:rPr>
            </w:pPr>
            <w:r w:rsidRPr="00D31043">
              <w:rPr>
                <w:rFonts w:ascii="Arial" w:hAnsi="Arial" w:cs="Arial"/>
                <w:b/>
                <w:i/>
                <w:spacing w:val="6"/>
                <w:sz w:val="18"/>
                <w:szCs w:val="18"/>
              </w:rPr>
              <w:t>Deudores</w:t>
            </w:r>
          </w:p>
        </w:tc>
        <w:tc>
          <w:tcPr>
            <w:tcW w:w="1549" w:type="dxa"/>
            <w:tcBorders>
              <w:top w:val="single" w:sz="4" w:space="0" w:color="auto"/>
              <w:bottom w:val="single" w:sz="4" w:space="0" w:color="auto"/>
            </w:tcBorders>
            <w:noWrap/>
            <w:vAlign w:val="center"/>
          </w:tcPr>
          <w:p w:rsidR="00B01865" w:rsidRPr="00D31043"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i/>
                <w:spacing w:val="6"/>
                <w:sz w:val="18"/>
                <w:szCs w:val="18"/>
              </w:rPr>
            </w:pPr>
            <w:r w:rsidRPr="00D31043">
              <w:rPr>
                <w:rFonts w:ascii="Arial" w:hAnsi="Arial" w:cs="Arial"/>
                <w:b/>
                <w:i/>
                <w:spacing w:val="6"/>
                <w:sz w:val="18"/>
                <w:szCs w:val="18"/>
              </w:rPr>
              <w:t>839.416</w:t>
            </w:r>
          </w:p>
        </w:tc>
        <w:tc>
          <w:tcPr>
            <w:tcW w:w="1549" w:type="dxa"/>
            <w:tcBorders>
              <w:top w:val="single" w:sz="4" w:space="0" w:color="auto"/>
              <w:bottom w:val="single" w:sz="4" w:space="0" w:color="auto"/>
            </w:tcBorders>
            <w:noWrap/>
            <w:vAlign w:val="center"/>
          </w:tcPr>
          <w:p w:rsidR="00B01865" w:rsidRPr="00D31043"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i/>
                <w:spacing w:val="6"/>
                <w:sz w:val="18"/>
                <w:szCs w:val="18"/>
              </w:rPr>
            </w:pPr>
            <w:r w:rsidRPr="00D31043">
              <w:rPr>
                <w:rFonts w:ascii="Arial" w:hAnsi="Arial" w:cs="Arial"/>
                <w:b/>
                <w:i/>
                <w:spacing w:val="6"/>
                <w:sz w:val="18"/>
                <w:szCs w:val="18"/>
              </w:rPr>
              <w:t>808.607</w:t>
            </w:r>
          </w:p>
        </w:tc>
        <w:tc>
          <w:tcPr>
            <w:tcW w:w="1550" w:type="dxa"/>
            <w:tcBorders>
              <w:top w:val="single" w:sz="4" w:space="0" w:color="auto"/>
              <w:bottom w:val="single" w:sz="4" w:space="0" w:color="auto"/>
            </w:tcBorders>
            <w:noWrap/>
            <w:vAlign w:val="center"/>
          </w:tcPr>
          <w:p w:rsidR="00B01865" w:rsidRPr="00D31043"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b/>
                <w:i/>
                <w:spacing w:val="6"/>
                <w:sz w:val="18"/>
                <w:szCs w:val="18"/>
              </w:rPr>
            </w:pPr>
            <w:r w:rsidRPr="00D31043">
              <w:rPr>
                <w:rFonts w:ascii="Arial" w:hAnsi="Arial" w:cs="Arial"/>
                <w:b/>
                <w:i/>
                <w:spacing w:val="6"/>
                <w:sz w:val="18"/>
                <w:szCs w:val="18"/>
              </w:rPr>
              <w:t>-4</w:t>
            </w:r>
          </w:p>
        </w:tc>
      </w:tr>
      <w:tr w:rsidR="00B01865" w:rsidRPr="00B01865" w:rsidTr="00D31043">
        <w:trPr>
          <w:trHeight w:val="198"/>
          <w:jc w:val="center"/>
        </w:trPr>
        <w:tc>
          <w:tcPr>
            <w:tcW w:w="4160"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Intereses y recargos no devengados</w:t>
            </w:r>
          </w:p>
        </w:tc>
        <w:tc>
          <w:tcPr>
            <w:tcW w:w="1549"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(17.180)</w:t>
            </w:r>
          </w:p>
        </w:tc>
        <w:tc>
          <w:tcPr>
            <w:tcW w:w="1549"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(2.237)</w:t>
            </w:r>
          </w:p>
        </w:tc>
        <w:tc>
          <w:tcPr>
            <w:tcW w:w="1550"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-87</w:t>
            </w:r>
          </w:p>
        </w:tc>
      </w:tr>
      <w:tr w:rsidR="00B01865" w:rsidRPr="00B01865" w:rsidTr="00D31043">
        <w:trPr>
          <w:trHeight w:val="198"/>
          <w:jc w:val="center"/>
        </w:trPr>
        <w:tc>
          <w:tcPr>
            <w:tcW w:w="4160" w:type="dxa"/>
            <w:tcBorders>
              <w:top w:val="single" w:sz="2" w:space="0" w:color="auto"/>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Cobros y remesas pendientes aplicación</w:t>
            </w:r>
          </w:p>
        </w:tc>
        <w:tc>
          <w:tcPr>
            <w:tcW w:w="1549" w:type="dxa"/>
            <w:tcBorders>
              <w:top w:val="single" w:sz="2" w:space="0" w:color="auto"/>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(3.557)</w:t>
            </w:r>
          </w:p>
        </w:tc>
        <w:tc>
          <w:tcPr>
            <w:tcW w:w="1549" w:type="dxa"/>
            <w:tcBorders>
              <w:top w:val="single" w:sz="2" w:space="0" w:color="auto"/>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(1.615)</w:t>
            </w:r>
          </w:p>
        </w:tc>
        <w:tc>
          <w:tcPr>
            <w:tcW w:w="1550" w:type="dxa"/>
            <w:tcBorders>
              <w:top w:val="single" w:sz="2" w:space="0" w:color="auto"/>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-55</w:t>
            </w:r>
          </w:p>
        </w:tc>
      </w:tr>
      <w:tr w:rsidR="00B01865" w:rsidRPr="00D31043" w:rsidTr="00D31043">
        <w:trPr>
          <w:trHeight w:val="255"/>
          <w:jc w:val="center"/>
        </w:trPr>
        <w:tc>
          <w:tcPr>
            <w:tcW w:w="4160" w:type="dxa"/>
            <w:tcBorders>
              <w:top w:val="single" w:sz="4" w:space="0" w:color="auto"/>
              <w:bottom w:val="single" w:sz="4" w:space="0" w:color="auto"/>
            </w:tcBorders>
            <w:shd w:val="clear" w:color="auto" w:fill="8DB3E2" w:themeFill="text2" w:themeFillTint="66"/>
            <w:noWrap/>
            <w:vAlign w:val="center"/>
          </w:tcPr>
          <w:p w:rsidR="00B01865" w:rsidRPr="00D31043"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D31043">
              <w:rPr>
                <w:rFonts w:ascii="Arial" w:hAnsi="Arial" w:cs="Arial"/>
                <w:spacing w:val="6"/>
                <w:sz w:val="18"/>
                <w:szCs w:val="18"/>
              </w:rPr>
              <w:t>Total deudores presupuestarios</w:t>
            </w:r>
          </w:p>
        </w:tc>
        <w:tc>
          <w:tcPr>
            <w:tcW w:w="1549" w:type="dxa"/>
            <w:tcBorders>
              <w:top w:val="single" w:sz="4" w:space="0" w:color="auto"/>
              <w:bottom w:val="single" w:sz="4" w:space="0" w:color="auto"/>
            </w:tcBorders>
            <w:shd w:val="clear" w:color="auto" w:fill="8DB3E2" w:themeFill="text2" w:themeFillTint="66"/>
            <w:noWrap/>
            <w:vAlign w:val="center"/>
          </w:tcPr>
          <w:p w:rsidR="00B01865" w:rsidRPr="00D31043"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D31043">
              <w:rPr>
                <w:rFonts w:ascii="Arial" w:hAnsi="Arial" w:cs="Arial"/>
                <w:spacing w:val="6"/>
                <w:sz w:val="18"/>
                <w:szCs w:val="18"/>
              </w:rPr>
              <w:t>818.679</w:t>
            </w:r>
          </w:p>
        </w:tc>
        <w:tc>
          <w:tcPr>
            <w:tcW w:w="1549" w:type="dxa"/>
            <w:tcBorders>
              <w:top w:val="single" w:sz="4" w:space="0" w:color="auto"/>
              <w:bottom w:val="single" w:sz="4" w:space="0" w:color="auto"/>
            </w:tcBorders>
            <w:shd w:val="clear" w:color="auto" w:fill="8DB3E2" w:themeFill="text2" w:themeFillTint="66"/>
            <w:noWrap/>
            <w:vAlign w:val="center"/>
          </w:tcPr>
          <w:p w:rsidR="00B01865" w:rsidRPr="00D31043"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D31043">
              <w:rPr>
                <w:rFonts w:ascii="Arial" w:hAnsi="Arial" w:cs="Arial"/>
                <w:spacing w:val="6"/>
                <w:sz w:val="18"/>
                <w:szCs w:val="18"/>
              </w:rPr>
              <w:t>804.755</w:t>
            </w:r>
          </w:p>
        </w:tc>
        <w:tc>
          <w:tcPr>
            <w:tcW w:w="1550" w:type="dxa"/>
            <w:tcBorders>
              <w:top w:val="single" w:sz="4" w:space="0" w:color="auto"/>
              <w:bottom w:val="single" w:sz="4" w:space="0" w:color="auto"/>
            </w:tcBorders>
            <w:shd w:val="clear" w:color="auto" w:fill="8DB3E2" w:themeFill="text2" w:themeFillTint="66"/>
            <w:noWrap/>
            <w:vAlign w:val="center"/>
          </w:tcPr>
          <w:p w:rsidR="00B01865" w:rsidRPr="00D31043"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D31043">
              <w:rPr>
                <w:rFonts w:ascii="Arial" w:hAnsi="Arial" w:cs="Arial"/>
                <w:spacing w:val="6"/>
                <w:sz w:val="18"/>
                <w:szCs w:val="18"/>
              </w:rPr>
              <w:t>-2</w:t>
            </w:r>
          </w:p>
        </w:tc>
      </w:tr>
    </w:tbl>
    <w:p w:rsidR="00B01865" w:rsidRPr="00B01865" w:rsidRDefault="00B01865" w:rsidP="00D31043">
      <w:pPr>
        <w:pStyle w:val="texto"/>
        <w:spacing w:before="240"/>
        <w:rPr>
          <w:lang w:val="es-ES"/>
        </w:rPr>
      </w:pPr>
      <w:r w:rsidRPr="00B01865">
        <w:rPr>
          <w:lang w:val="es-ES"/>
        </w:rPr>
        <w:t>El saldo global de los deudores presupuestarios ha disminuido un dos por ciento (13,92 millones); destaca la reducción tanto de los deudores con aplaz</w:t>
      </w:r>
      <w:r w:rsidRPr="00B01865">
        <w:rPr>
          <w:lang w:val="es-ES"/>
        </w:rPr>
        <w:t>a</w:t>
      </w:r>
      <w:r w:rsidRPr="00B01865">
        <w:rPr>
          <w:lang w:val="es-ES"/>
        </w:rPr>
        <w:t>miento como la de los de departamentos por un total de 73,78 millones.</w:t>
      </w:r>
    </w:p>
    <w:p w:rsidR="00B01865" w:rsidRPr="00B01865" w:rsidRDefault="00B01865" w:rsidP="00D31043">
      <w:pPr>
        <w:pStyle w:val="texto"/>
        <w:rPr>
          <w:lang w:val="es-ES"/>
        </w:rPr>
      </w:pPr>
      <w:r w:rsidRPr="00B01865">
        <w:rPr>
          <w:lang w:val="es-ES"/>
        </w:rPr>
        <w:t xml:space="preserve">La gestión de la liquidación, recaudación y devolución de los tributos y de algunos otros ingresos de derecho público, tales como intereses y recargos, se realiza a través de la aplicación informática </w:t>
      </w:r>
      <w:proofErr w:type="spellStart"/>
      <w:r w:rsidRPr="00B01865">
        <w:rPr>
          <w:lang w:val="es-ES"/>
        </w:rPr>
        <w:t>CATyGT</w:t>
      </w:r>
      <w:proofErr w:type="spellEnd"/>
      <w:r w:rsidRPr="00B01865">
        <w:rPr>
          <w:lang w:val="es-ES"/>
        </w:rPr>
        <w:t xml:space="preserve">, cuya información se traspasa a SAPGE21. </w:t>
      </w:r>
    </w:p>
    <w:p w:rsidR="00B01865" w:rsidRPr="00B01865" w:rsidRDefault="00B01865" w:rsidP="00D31043">
      <w:pPr>
        <w:pStyle w:val="texto"/>
        <w:rPr>
          <w:lang w:val="es-ES"/>
        </w:rPr>
      </w:pPr>
      <w:r w:rsidRPr="00B01865">
        <w:rPr>
          <w:lang w:val="es-ES"/>
        </w:rPr>
        <w:lastRenderedPageBreak/>
        <w:t>Como viene insistiendo esta Cámara en informes anteriores, la liquidación presupuestaria y el balance de situación no recogen correctamente toda la i</w:t>
      </w:r>
      <w:r w:rsidRPr="00B01865">
        <w:rPr>
          <w:lang w:val="es-ES"/>
        </w:rPr>
        <w:t>n</w:t>
      </w:r>
      <w:r w:rsidRPr="00B01865">
        <w:rPr>
          <w:lang w:val="es-ES"/>
        </w:rPr>
        <w:t xml:space="preserve">formación tributaria de </w:t>
      </w:r>
      <w:proofErr w:type="spellStart"/>
      <w:r w:rsidRPr="00B01865">
        <w:rPr>
          <w:lang w:val="es-ES"/>
        </w:rPr>
        <w:t>CATyGT</w:t>
      </w:r>
      <w:proofErr w:type="spellEnd"/>
      <w:r w:rsidRPr="00B01865">
        <w:rPr>
          <w:lang w:val="es-ES"/>
        </w:rPr>
        <w:t>. Así, no se distingue entre deudores de ejerc</w:t>
      </w:r>
      <w:r w:rsidRPr="00B01865">
        <w:rPr>
          <w:lang w:val="es-ES"/>
        </w:rPr>
        <w:t>i</w:t>
      </w:r>
      <w:r w:rsidRPr="00B01865">
        <w:rPr>
          <w:lang w:val="es-ES"/>
        </w:rPr>
        <w:t>cios corrientes y cerrados, ni se anulan los derechos reconocidos correspo</w:t>
      </w:r>
      <w:r w:rsidRPr="00B01865">
        <w:rPr>
          <w:lang w:val="es-ES"/>
        </w:rPr>
        <w:t>n</w:t>
      </w:r>
      <w:r w:rsidRPr="00B01865">
        <w:rPr>
          <w:lang w:val="es-ES"/>
        </w:rPr>
        <w:t>dientes a los deudores a los que se concede aplazamiento de la deuda, contr</w:t>
      </w:r>
      <w:r w:rsidRPr="00B01865">
        <w:rPr>
          <w:lang w:val="es-ES"/>
        </w:rPr>
        <w:t>a</w:t>
      </w:r>
      <w:r w:rsidRPr="00B01865">
        <w:rPr>
          <w:lang w:val="es-ES"/>
        </w:rPr>
        <w:t>riamente a los criterios establecidos en el PGCP vigente.</w:t>
      </w:r>
    </w:p>
    <w:p w:rsidR="00B01865" w:rsidRDefault="00B01865" w:rsidP="00D31043">
      <w:pPr>
        <w:pStyle w:val="texto"/>
        <w:rPr>
          <w:lang w:val="es-ES"/>
        </w:rPr>
      </w:pPr>
      <w:r w:rsidRPr="00B01865">
        <w:rPr>
          <w:lang w:val="es-ES"/>
        </w:rPr>
        <w:t>Los deudores no se recogen en el balance conforme a la clasificación est</w:t>
      </w:r>
      <w:r w:rsidRPr="00B01865">
        <w:rPr>
          <w:lang w:val="es-ES"/>
        </w:rPr>
        <w:t>a</w:t>
      </w:r>
      <w:r w:rsidRPr="00B01865">
        <w:rPr>
          <w:lang w:val="es-ES"/>
        </w:rPr>
        <w:t>blecida en el PGCP, ni tampoco los intereses y recargos no vencidos y los c</w:t>
      </w:r>
      <w:r w:rsidRPr="00B01865">
        <w:rPr>
          <w:lang w:val="es-ES"/>
        </w:rPr>
        <w:t>o</w:t>
      </w:r>
      <w:r w:rsidRPr="00B01865">
        <w:rPr>
          <w:lang w:val="es-ES"/>
        </w:rPr>
        <w:t>bros pendientes de aplicación, que se descuentan del saldo de deudores, y d</w:t>
      </w:r>
      <w:r w:rsidRPr="00B01865">
        <w:rPr>
          <w:lang w:val="es-ES"/>
        </w:rPr>
        <w:t>e</w:t>
      </w:r>
      <w:r w:rsidRPr="00B01865">
        <w:rPr>
          <w:lang w:val="es-ES"/>
        </w:rPr>
        <w:t>bieran registrarse en el pasivo del balance como ingresos anticipados y acre</w:t>
      </w:r>
      <w:r w:rsidRPr="00B01865">
        <w:rPr>
          <w:lang w:val="es-ES"/>
        </w:rPr>
        <w:t>e</w:t>
      </w:r>
      <w:r w:rsidRPr="00B01865">
        <w:rPr>
          <w:lang w:val="es-ES"/>
        </w:rPr>
        <w:t>dores, respectivamente.</w:t>
      </w:r>
    </w:p>
    <w:p w:rsidR="00530A04" w:rsidRDefault="002C1817" w:rsidP="00CF1188">
      <w:pPr>
        <w:pStyle w:val="texto"/>
        <w:rPr>
          <w:rFonts w:ascii="Arial" w:hAnsi="Arial"/>
          <w:i/>
          <w:iCs/>
          <w:color w:val="000000"/>
          <w:spacing w:val="10"/>
          <w:kern w:val="28"/>
          <w:sz w:val="25"/>
          <w:szCs w:val="26"/>
          <w:lang w:val="es-ES"/>
        </w:rPr>
      </w:pPr>
      <w:r w:rsidRPr="00B01865">
        <w:rPr>
          <w:lang w:val="es-ES"/>
        </w:rPr>
        <w:t xml:space="preserve">En cuanto al desglose de “otros deudores”, destaca la cuenta de operaciones a formalizar del </w:t>
      </w:r>
      <w:proofErr w:type="spellStart"/>
      <w:r w:rsidRPr="00B01865">
        <w:rPr>
          <w:lang w:val="es-ES"/>
        </w:rPr>
        <w:t>CATyGT</w:t>
      </w:r>
      <w:proofErr w:type="spellEnd"/>
      <w:r w:rsidRPr="00B01865">
        <w:rPr>
          <w:lang w:val="es-ES"/>
        </w:rPr>
        <w:t xml:space="preserve"> (cuenta de enlace entre </w:t>
      </w:r>
      <w:proofErr w:type="spellStart"/>
      <w:r w:rsidRPr="00B01865">
        <w:rPr>
          <w:lang w:val="es-ES"/>
        </w:rPr>
        <w:t>CATyGT</w:t>
      </w:r>
      <w:proofErr w:type="spellEnd"/>
      <w:r w:rsidRPr="00B01865">
        <w:rPr>
          <w:lang w:val="es-ES"/>
        </w:rPr>
        <w:t xml:space="preserve"> y contabilidad), con un saldo de 5,01 millones de euros. Tal y como ha advertido esta Cámara en anteriores informes, este importe no está debidamente soportado y no se c</w:t>
      </w:r>
      <w:r w:rsidRPr="00B01865">
        <w:rPr>
          <w:lang w:val="es-ES"/>
        </w:rPr>
        <w:t>o</w:t>
      </w:r>
      <w:r w:rsidRPr="00B01865">
        <w:rPr>
          <w:lang w:val="es-ES"/>
        </w:rPr>
        <w:t>nocen los motivos que han originado su incremento en 1,76 millones respecto al año anterior. El saldo de esta cuenta está totalmente provisionado.</w:t>
      </w:r>
    </w:p>
    <w:p w:rsidR="00B01865" w:rsidRPr="00B01865" w:rsidRDefault="00B01865" w:rsidP="00B01865">
      <w:pPr>
        <w:spacing w:before="240" w:after="12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Acreedores a corto plazo</w:t>
      </w:r>
    </w:p>
    <w:p w:rsidR="00B01865" w:rsidRPr="00B01865" w:rsidRDefault="00B01865" w:rsidP="00D31043">
      <w:pPr>
        <w:pStyle w:val="texto"/>
        <w:rPr>
          <w:lang w:val="es-ES"/>
        </w:rPr>
      </w:pPr>
      <w:r w:rsidRPr="00B01865">
        <w:rPr>
          <w:lang w:val="es-ES"/>
        </w:rPr>
        <w:t>El saldo de acreedores a corto plazo, sin incluir los correspondientes a las emisiones de obligaciones y otros valores negociables que ya han sido analiz</w:t>
      </w:r>
      <w:r w:rsidRPr="00B01865">
        <w:rPr>
          <w:lang w:val="es-ES"/>
        </w:rPr>
        <w:t>a</w:t>
      </w:r>
      <w:r w:rsidRPr="00B01865">
        <w:rPr>
          <w:lang w:val="es-ES"/>
        </w:rPr>
        <w:t>dos, a 31 de diciembre de 2017 asciende a 504,64 millones de euros y corre</w:t>
      </w:r>
      <w:r w:rsidRPr="00B01865">
        <w:rPr>
          <w:lang w:val="es-ES"/>
        </w:rPr>
        <w:t>s</w:t>
      </w:r>
      <w:r w:rsidRPr="00B01865">
        <w:rPr>
          <w:lang w:val="es-ES"/>
        </w:rPr>
        <w:t>ponde a:</w:t>
      </w:r>
    </w:p>
    <w:tbl>
      <w:tblPr>
        <w:tblW w:w="8840"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4010"/>
        <w:gridCol w:w="1477"/>
        <w:gridCol w:w="1519"/>
        <w:gridCol w:w="1834"/>
      </w:tblGrid>
      <w:tr w:rsidR="00B01865" w:rsidRPr="00B01865" w:rsidTr="00B01865">
        <w:trPr>
          <w:trHeight w:val="255"/>
          <w:jc w:val="center"/>
        </w:trPr>
        <w:tc>
          <w:tcPr>
            <w:tcW w:w="8840" w:type="dxa"/>
            <w:gridSpan w:val="4"/>
            <w:tcBorders>
              <w:top w:val="nil"/>
              <w:bottom w:val="single" w:sz="4"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sidRPr="00B01865">
              <w:rPr>
                <w:rFonts w:ascii="Arial" w:hAnsi="Arial"/>
                <w:spacing w:val="6"/>
                <w:sz w:val="17"/>
                <w:szCs w:val="17"/>
              </w:rPr>
              <w:t>(en miles de euros)</w:t>
            </w:r>
          </w:p>
        </w:tc>
      </w:tr>
      <w:tr w:rsidR="00B01865" w:rsidRPr="00B01865" w:rsidTr="00B01865">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B01865">
              <w:rPr>
                <w:rFonts w:ascii="Arial" w:hAnsi="Arial"/>
                <w:spacing w:val="6"/>
                <w:sz w:val="18"/>
                <w:szCs w:val="24"/>
              </w:rPr>
              <w:t>Acreedores a corto plazo</w:t>
            </w:r>
          </w:p>
        </w:tc>
        <w:tc>
          <w:tcPr>
            <w:tcW w:w="1477" w:type="dxa"/>
            <w:tcBorders>
              <w:top w:val="single" w:sz="4" w:space="0" w:color="auto"/>
              <w:bottom w:val="single" w:sz="4" w:space="0" w:color="auto"/>
            </w:tcBorders>
            <w:shd w:val="clear" w:color="auto" w:fill="8DB3E2" w:themeFill="text2" w:themeFillTint="66"/>
            <w:vAlign w:val="center"/>
          </w:tcPr>
          <w:p w:rsidR="00B01865" w:rsidRPr="00B01865" w:rsidRDefault="00B01865" w:rsidP="00A53690">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31</w:t>
            </w:r>
            <w:r w:rsidR="00A53690">
              <w:rPr>
                <w:rFonts w:ascii="Arial" w:hAnsi="Arial"/>
                <w:spacing w:val="6"/>
                <w:sz w:val="18"/>
                <w:szCs w:val="24"/>
              </w:rPr>
              <w:t>/</w:t>
            </w:r>
            <w:r w:rsidRPr="00B01865">
              <w:rPr>
                <w:rFonts w:ascii="Arial" w:hAnsi="Arial"/>
                <w:spacing w:val="6"/>
                <w:sz w:val="18"/>
                <w:szCs w:val="24"/>
              </w:rPr>
              <w:t>12</w:t>
            </w:r>
            <w:r w:rsidR="00A53690">
              <w:rPr>
                <w:rFonts w:ascii="Arial" w:hAnsi="Arial"/>
                <w:spacing w:val="6"/>
                <w:sz w:val="18"/>
                <w:szCs w:val="24"/>
              </w:rPr>
              <w:t>/</w:t>
            </w:r>
            <w:r w:rsidRPr="00B01865">
              <w:rPr>
                <w:rFonts w:ascii="Arial" w:hAnsi="Arial"/>
                <w:spacing w:val="6"/>
                <w:sz w:val="18"/>
                <w:szCs w:val="24"/>
              </w:rPr>
              <w:t>2016</w:t>
            </w:r>
          </w:p>
        </w:tc>
        <w:tc>
          <w:tcPr>
            <w:tcW w:w="1519"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A53690">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31</w:t>
            </w:r>
            <w:r w:rsidR="00A53690">
              <w:rPr>
                <w:rFonts w:ascii="Arial" w:hAnsi="Arial"/>
                <w:spacing w:val="6"/>
                <w:sz w:val="18"/>
                <w:szCs w:val="24"/>
              </w:rPr>
              <w:t>/</w:t>
            </w:r>
            <w:r w:rsidRPr="00B01865">
              <w:rPr>
                <w:rFonts w:ascii="Arial" w:hAnsi="Arial"/>
                <w:spacing w:val="6"/>
                <w:sz w:val="18"/>
                <w:szCs w:val="24"/>
              </w:rPr>
              <w:t>12</w:t>
            </w:r>
            <w:r w:rsidR="00A53690">
              <w:rPr>
                <w:rFonts w:ascii="Arial" w:hAnsi="Arial"/>
                <w:spacing w:val="6"/>
                <w:sz w:val="18"/>
                <w:szCs w:val="24"/>
              </w:rPr>
              <w:t>/</w:t>
            </w:r>
            <w:r w:rsidRPr="00B01865">
              <w:rPr>
                <w:rFonts w:ascii="Arial" w:hAnsi="Arial"/>
                <w:spacing w:val="6"/>
                <w:sz w:val="18"/>
                <w:szCs w:val="24"/>
              </w:rPr>
              <w:t>2017</w:t>
            </w:r>
          </w:p>
        </w:tc>
        <w:tc>
          <w:tcPr>
            <w:tcW w:w="1834"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 variación 2017/2016</w:t>
            </w:r>
          </w:p>
        </w:tc>
      </w:tr>
      <w:tr w:rsidR="00B01865" w:rsidRPr="00B01865" w:rsidTr="00B01865">
        <w:trPr>
          <w:trHeight w:val="198"/>
          <w:jc w:val="center"/>
        </w:trPr>
        <w:tc>
          <w:tcPr>
            <w:tcW w:w="4010" w:type="dxa"/>
            <w:tcBorders>
              <w:top w:val="single" w:sz="4" w:space="0" w:color="auto"/>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Acreedores presupuestarios</w:t>
            </w:r>
          </w:p>
        </w:tc>
        <w:tc>
          <w:tcPr>
            <w:tcW w:w="1477" w:type="dxa"/>
            <w:tcBorders>
              <w:top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459.311</w:t>
            </w:r>
          </w:p>
        </w:tc>
        <w:tc>
          <w:tcPr>
            <w:tcW w:w="1519" w:type="dxa"/>
            <w:tcBorders>
              <w:top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441.052</w:t>
            </w:r>
          </w:p>
        </w:tc>
        <w:tc>
          <w:tcPr>
            <w:tcW w:w="1834" w:type="dxa"/>
            <w:tcBorders>
              <w:top w:val="single" w:sz="4" w:space="0" w:color="auto"/>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w:t>
            </w:r>
          </w:p>
        </w:tc>
      </w:tr>
      <w:tr w:rsidR="00B01865" w:rsidRPr="00B01865" w:rsidTr="00B01865">
        <w:trPr>
          <w:trHeight w:val="198"/>
          <w:jc w:val="center"/>
        </w:trPr>
        <w:tc>
          <w:tcPr>
            <w:tcW w:w="4010" w:type="dxa"/>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 xml:space="preserve">Acreedores admón. </w:t>
            </w:r>
            <w:proofErr w:type="spellStart"/>
            <w:r w:rsidRPr="00B01865">
              <w:rPr>
                <w:rFonts w:ascii="Arial Narrow" w:hAnsi="Arial Narrow"/>
                <w:spacing w:val="6"/>
              </w:rPr>
              <w:t>rec.</w:t>
            </w:r>
            <w:proofErr w:type="spellEnd"/>
            <w:r w:rsidRPr="00B01865">
              <w:rPr>
                <w:rFonts w:ascii="Arial Narrow" w:hAnsi="Arial Narrow"/>
                <w:spacing w:val="6"/>
              </w:rPr>
              <w:t xml:space="preserve"> por cuenta de otras </w:t>
            </w:r>
            <w:proofErr w:type="spellStart"/>
            <w:r w:rsidRPr="00B01865">
              <w:rPr>
                <w:rFonts w:ascii="Arial Narrow" w:hAnsi="Arial Narrow"/>
                <w:spacing w:val="6"/>
              </w:rPr>
              <w:t>ent</w:t>
            </w:r>
            <w:proofErr w:type="spellEnd"/>
            <w:r w:rsidRPr="00B01865">
              <w:rPr>
                <w:rFonts w:ascii="Arial Narrow" w:hAnsi="Arial Narrow"/>
                <w:spacing w:val="6"/>
              </w:rPr>
              <w:t>.</w:t>
            </w:r>
          </w:p>
        </w:tc>
        <w:tc>
          <w:tcPr>
            <w:tcW w:w="1477" w:type="dxa"/>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5.664</w:t>
            </w:r>
          </w:p>
        </w:tc>
        <w:tc>
          <w:tcPr>
            <w:tcW w:w="1519" w:type="dxa"/>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6.838</w:t>
            </w:r>
          </w:p>
        </w:tc>
        <w:tc>
          <w:tcPr>
            <w:tcW w:w="1834" w:type="dxa"/>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21</w:t>
            </w:r>
          </w:p>
        </w:tc>
      </w:tr>
      <w:tr w:rsidR="00B01865" w:rsidRPr="00B01865" w:rsidTr="00B01865">
        <w:trPr>
          <w:trHeight w:val="198"/>
          <w:jc w:val="center"/>
        </w:trPr>
        <w:tc>
          <w:tcPr>
            <w:tcW w:w="4010" w:type="dxa"/>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Administraciones Públicas</w:t>
            </w:r>
          </w:p>
        </w:tc>
        <w:tc>
          <w:tcPr>
            <w:tcW w:w="1477" w:type="dxa"/>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3.212</w:t>
            </w:r>
          </w:p>
        </w:tc>
        <w:tc>
          <w:tcPr>
            <w:tcW w:w="1519" w:type="dxa"/>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3.459</w:t>
            </w:r>
          </w:p>
        </w:tc>
        <w:tc>
          <w:tcPr>
            <w:tcW w:w="1834" w:type="dxa"/>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w:t>
            </w:r>
          </w:p>
        </w:tc>
      </w:tr>
      <w:tr w:rsidR="00B01865" w:rsidRPr="00B01865" w:rsidTr="00B01865">
        <w:trPr>
          <w:trHeight w:val="198"/>
          <w:jc w:val="center"/>
        </w:trPr>
        <w:tc>
          <w:tcPr>
            <w:tcW w:w="4010" w:type="dxa"/>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Otros acreedores</w:t>
            </w:r>
          </w:p>
        </w:tc>
        <w:tc>
          <w:tcPr>
            <w:tcW w:w="1477" w:type="dxa"/>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58.333</w:t>
            </w:r>
          </w:p>
        </w:tc>
        <w:tc>
          <w:tcPr>
            <w:tcW w:w="1519" w:type="dxa"/>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50.418</w:t>
            </w:r>
          </w:p>
        </w:tc>
        <w:tc>
          <w:tcPr>
            <w:tcW w:w="1834" w:type="dxa"/>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-14</w:t>
            </w:r>
          </w:p>
        </w:tc>
      </w:tr>
      <w:tr w:rsidR="00B01865" w:rsidRPr="00B01865" w:rsidTr="00B01865">
        <w:trPr>
          <w:trHeight w:val="198"/>
          <w:jc w:val="center"/>
        </w:trPr>
        <w:tc>
          <w:tcPr>
            <w:tcW w:w="4010" w:type="dxa"/>
            <w:tcBorders>
              <w:bottom w:val="single" w:sz="4" w:space="0" w:color="auto"/>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Fianzas y depósitos a c/p</w:t>
            </w:r>
          </w:p>
        </w:tc>
        <w:tc>
          <w:tcPr>
            <w:tcW w:w="1477" w:type="dxa"/>
            <w:tcBorders>
              <w:bottom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21.766</w:t>
            </w:r>
          </w:p>
        </w:tc>
        <w:tc>
          <w:tcPr>
            <w:tcW w:w="1519" w:type="dxa"/>
            <w:tcBorders>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2.871</w:t>
            </w:r>
          </w:p>
        </w:tc>
        <w:tc>
          <w:tcPr>
            <w:tcW w:w="1834" w:type="dxa"/>
            <w:tcBorders>
              <w:bottom w:val="single" w:sz="4" w:space="0" w:color="auto"/>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-87</w:t>
            </w:r>
          </w:p>
        </w:tc>
      </w:tr>
      <w:tr w:rsidR="00B01865" w:rsidRPr="00B01865" w:rsidTr="00B01865">
        <w:trPr>
          <w:trHeight w:val="255"/>
          <w:jc w:val="center"/>
        </w:trPr>
        <w:tc>
          <w:tcPr>
            <w:tcW w:w="401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Total acreedores a corto plazo</w:t>
            </w:r>
          </w:p>
        </w:tc>
        <w:tc>
          <w:tcPr>
            <w:tcW w:w="1477"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548.286</w:t>
            </w:r>
          </w:p>
        </w:tc>
        <w:tc>
          <w:tcPr>
            <w:tcW w:w="1519"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504.638</w:t>
            </w:r>
          </w:p>
        </w:tc>
        <w:tc>
          <w:tcPr>
            <w:tcW w:w="1834"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sidRPr="00B01865">
              <w:rPr>
                <w:rFonts w:ascii="Arial" w:hAnsi="Arial" w:cs="Arial"/>
                <w:spacing w:val="6"/>
                <w:sz w:val="18"/>
                <w:szCs w:val="18"/>
              </w:rPr>
              <w:t>-8</w:t>
            </w:r>
          </w:p>
        </w:tc>
      </w:tr>
    </w:tbl>
    <w:p w:rsidR="00B01865" w:rsidRPr="00B01865" w:rsidRDefault="00B01865" w:rsidP="00D31043">
      <w:pPr>
        <w:pStyle w:val="texto"/>
        <w:spacing w:before="240"/>
        <w:rPr>
          <w:lang w:val="es-ES"/>
        </w:rPr>
      </w:pPr>
      <w:r w:rsidRPr="00B01865">
        <w:rPr>
          <w:lang w:val="es-ES"/>
        </w:rPr>
        <w:t>Estos acreedores han disminuido un ocho por ciento; el componente más r</w:t>
      </w:r>
      <w:r w:rsidRPr="00B01865">
        <w:rPr>
          <w:lang w:val="es-ES"/>
        </w:rPr>
        <w:t>e</w:t>
      </w:r>
      <w:r w:rsidRPr="00B01865">
        <w:rPr>
          <w:lang w:val="es-ES"/>
        </w:rPr>
        <w:t xml:space="preserve">levante son los acreedores presupuestarios que suponen el 87 por ciento sobre el total y que bajan un cuatro por ciento respecto a 2016 (18,26 millones), </w:t>
      </w:r>
      <w:r w:rsidRPr="00B01865">
        <w:rPr>
          <w:lang w:val="es-ES"/>
        </w:rPr>
        <w:tab/>
        <w:t>debido fundamentalmente al cambio de criterio contable mencionado en el ep</w:t>
      </w:r>
      <w:r w:rsidRPr="00B01865">
        <w:rPr>
          <w:lang w:val="es-ES"/>
        </w:rPr>
        <w:t>í</w:t>
      </w:r>
      <w:r w:rsidRPr="00B01865">
        <w:rPr>
          <w:lang w:val="es-ES"/>
        </w:rPr>
        <w:t>grafe III.1 de este informe. Esta modificación tiene su contrapartida en un i</w:t>
      </w:r>
      <w:r w:rsidRPr="00B01865">
        <w:rPr>
          <w:lang w:val="es-ES"/>
        </w:rPr>
        <w:t>n</w:t>
      </w:r>
      <w:r w:rsidRPr="00B01865">
        <w:rPr>
          <w:lang w:val="es-ES"/>
        </w:rPr>
        <w:t>cremento del saldo de la cuenta 413 que recoge los acreedores pendientes de aplicar al presupuesto de 13,34 millones de euros respecto a 2016 (134 por ciento).</w:t>
      </w:r>
    </w:p>
    <w:p w:rsidR="00B01865" w:rsidRPr="00B01865" w:rsidRDefault="00B01865" w:rsidP="00D31043">
      <w:pPr>
        <w:pStyle w:val="texto"/>
        <w:rPr>
          <w:lang w:val="es-ES"/>
        </w:rPr>
      </w:pPr>
      <w:r w:rsidRPr="00B01865">
        <w:rPr>
          <w:lang w:val="es-ES"/>
        </w:rPr>
        <w:t>Del cruce entre la información contenida en la memoria sobre el remanente de tesorería y la ejecución del SAP sobre los importes pendientes de pago de</w:t>
      </w:r>
      <w:r w:rsidR="002C1817">
        <w:rPr>
          <w:lang w:val="es-ES"/>
        </w:rPr>
        <w:t>l</w:t>
      </w:r>
      <w:r w:rsidRPr="00B01865">
        <w:rPr>
          <w:lang w:val="es-ES"/>
        </w:rPr>
        <w:t xml:space="preserve"> </w:t>
      </w:r>
      <w:r w:rsidRPr="00B01865">
        <w:rPr>
          <w:lang w:val="es-ES"/>
        </w:rPr>
        <w:lastRenderedPageBreak/>
        <w:t xml:space="preserve">ejercicio corriente y </w:t>
      </w:r>
      <w:r w:rsidR="002C1817">
        <w:rPr>
          <w:lang w:val="es-ES"/>
        </w:rPr>
        <w:t xml:space="preserve">ejercicios </w:t>
      </w:r>
      <w:r w:rsidRPr="00B01865">
        <w:rPr>
          <w:lang w:val="es-ES"/>
        </w:rPr>
        <w:t>cerrados observamos diferencias no significat</w:t>
      </w:r>
      <w:r w:rsidRPr="00B01865">
        <w:rPr>
          <w:lang w:val="es-ES"/>
        </w:rPr>
        <w:t>i</w:t>
      </w:r>
      <w:r w:rsidRPr="00B01865">
        <w:rPr>
          <w:lang w:val="es-ES"/>
        </w:rPr>
        <w:t>vas que derivan del siguiente problema informático: en ocasiones, el envío de los pagos de SAPGE21 para que sean abonados al correspondiente acreedor, se realiza a través de un usuario genérico (</w:t>
      </w:r>
      <w:proofErr w:type="spellStart"/>
      <w:r w:rsidRPr="00B01865">
        <w:rPr>
          <w:lang w:val="es-ES"/>
        </w:rPr>
        <w:t>sedate</w:t>
      </w:r>
      <w:proofErr w:type="spellEnd"/>
      <w:r w:rsidRPr="00B01865">
        <w:rPr>
          <w:lang w:val="es-ES"/>
        </w:rPr>
        <w:t>) que agrupa a varias personas; si el pago no llega al acreedor en cuestión, por cualquier problema en la cuenta bancaria, este usuario vuelve al sistema pero la información no se vuelca c</w:t>
      </w:r>
      <w:r w:rsidRPr="00B01865">
        <w:rPr>
          <w:lang w:val="es-ES"/>
        </w:rPr>
        <w:t>o</w:t>
      </w:r>
      <w:r w:rsidRPr="00B01865">
        <w:rPr>
          <w:lang w:val="es-ES"/>
        </w:rPr>
        <w:t>rrectamente.</w:t>
      </w:r>
    </w:p>
    <w:p w:rsidR="00B01865" w:rsidRPr="00B01865" w:rsidRDefault="00B01865" w:rsidP="00D31043">
      <w:pPr>
        <w:pStyle w:val="texto"/>
        <w:rPr>
          <w:lang w:val="es-ES"/>
        </w:rPr>
      </w:pPr>
      <w:r w:rsidRPr="00B01865">
        <w:rPr>
          <w:lang w:val="es-ES"/>
        </w:rPr>
        <w:t>Por otro lado, en el pasivo del balance y dentro de los acreedores presupue</w:t>
      </w:r>
      <w:r w:rsidRPr="00B01865">
        <w:rPr>
          <w:lang w:val="es-ES"/>
        </w:rPr>
        <w:t>s</w:t>
      </w:r>
      <w:r w:rsidRPr="00B01865">
        <w:rPr>
          <w:lang w:val="es-ES"/>
        </w:rPr>
        <w:t>tarios por devolución de impuestos y en otros acreedores, se registran los sa</w:t>
      </w:r>
      <w:r w:rsidRPr="00B01865">
        <w:rPr>
          <w:lang w:val="es-ES"/>
        </w:rPr>
        <w:t>l</w:t>
      </w:r>
      <w:r w:rsidRPr="00B01865">
        <w:rPr>
          <w:lang w:val="es-ES"/>
        </w:rPr>
        <w:t xml:space="preserve">dos acreedores de los deudores tributarios mediante un ajuste de la información del </w:t>
      </w:r>
      <w:proofErr w:type="spellStart"/>
      <w:r w:rsidRPr="00B01865">
        <w:rPr>
          <w:lang w:val="es-ES"/>
        </w:rPr>
        <w:t>CAT</w:t>
      </w:r>
      <w:r w:rsidR="00232E50">
        <w:rPr>
          <w:lang w:val="es-ES"/>
        </w:rPr>
        <w:t>y</w:t>
      </w:r>
      <w:r w:rsidRPr="00B01865">
        <w:rPr>
          <w:lang w:val="es-ES"/>
        </w:rPr>
        <w:t>GT</w:t>
      </w:r>
      <w:proofErr w:type="spellEnd"/>
      <w:r w:rsidRPr="00B01865">
        <w:rPr>
          <w:lang w:val="es-ES"/>
        </w:rPr>
        <w:t>. En 2017, el ajuste global ascendió a 305,76 millones de euros.</w:t>
      </w:r>
    </w:p>
    <w:p w:rsidR="00B01865" w:rsidRPr="00B01865" w:rsidRDefault="00B01865" w:rsidP="00D31043">
      <w:pPr>
        <w:pStyle w:val="texto"/>
        <w:rPr>
          <w:lang w:val="es-ES"/>
        </w:rPr>
      </w:pPr>
      <w:r w:rsidRPr="00B01865">
        <w:rPr>
          <w:lang w:val="es-ES"/>
        </w:rPr>
        <w:t>El balance de situación de las Cuentas Generales se obtiene a partir del b</w:t>
      </w:r>
      <w:r w:rsidRPr="00B01865">
        <w:rPr>
          <w:lang w:val="es-ES"/>
        </w:rPr>
        <w:t>a</w:t>
      </w:r>
      <w:r w:rsidRPr="00B01865">
        <w:rPr>
          <w:lang w:val="es-ES"/>
        </w:rPr>
        <w:t xml:space="preserve">lance de situación de la aplicación informática de contabilidad, practicando un ajuste extracontable con la información tributaria de </w:t>
      </w:r>
      <w:proofErr w:type="spellStart"/>
      <w:r w:rsidRPr="00B01865">
        <w:rPr>
          <w:lang w:val="es-ES"/>
        </w:rPr>
        <w:t>CATyGT</w:t>
      </w:r>
      <w:proofErr w:type="spellEnd"/>
      <w:r w:rsidRPr="00B01865">
        <w:rPr>
          <w:lang w:val="es-ES"/>
        </w:rPr>
        <w:t xml:space="preserve"> sobre deudores y acreedores.</w:t>
      </w:r>
    </w:p>
    <w:p w:rsidR="00B01865" w:rsidRPr="00B01865" w:rsidRDefault="00B01865" w:rsidP="00D31043">
      <w:pPr>
        <w:pStyle w:val="texto"/>
        <w:rPr>
          <w:lang w:val="es-ES"/>
        </w:rPr>
      </w:pPr>
      <w:r w:rsidRPr="00B01865">
        <w:rPr>
          <w:lang w:val="es-ES"/>
        </w:rPr>
        <w:t xml:space="preserve">Está previsto que en 2019 se aplique el nuevo enlace entre </w:t>
      </w:r>
      <w:proofErr w:type="spellStart"/>
      <w:r w:rsidRPr="00B01865">
        <w:rPr>
          <w:lang w:val="es-ES"/>
        </w:rPr>
        <w:t>CATyGT</w:t>
      </w:r>
      <w:proofErr w:type="spellEnd"/>
      <w:r w:rsidRPr="00B01865">
        <w:rPr>
          <w:lang w:val="es-ES"/>
        </w:rPr>
        <w:t xml:space="preserve"> y SAPGE21 para mejorar el traspaso de información entre ambas aplicaciones.</w:t>
      </w:r>
    </w:p>
    <w:p w:rsidR="00B01865" w:rsidRPr="00B01865" w:rsidRDefault="00B01865" w:rsidP="00D31043">
      <w:pPr>
        <w:pStyle w:val="texto"/>
        <w:rPr>
          <w:i/>
          <w:lang w:val="es-ES"/>
        </w:rPr>
      </w:pPr>
      <w:r w:rsidRPr="00B01865">
        <w:rPr>
          <w:lang w:val="es-ES"/>
        </w:rPr>
        <w:t>Recomendamos</w:t>
      </w:r>
      <w:r w:rsidRPr="00B01865">
        <w:rPr>
          <w:i/>
          <w:lang w:val="es-ES"/>
        </w:rPr>
        <w:t>:</w:t>
      </w:r>
    </w:p>
    <w:p w:rsidR="002C1817" w:rsidRPr="00B01865" w:rsidRDefault="002C1817" w:rsidP="002C1817">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B01865">
        <w:rPr>
          <w:rFonts w:cs="Arial"/>
          <w:i/>
          <w:spacing w:val="6"/>
          <w:sz w:val="26"/>
          <w:szCs w:val="24"/>
        </w:rPr>
        <w:t>Revisar los saldos de deudores tributarios no justificados y proceder, en su caso, a su regularización.</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B01865">
        <w:rPr>
          <w:rFonts w:cs="Arial"/>
          <w:i/>
          <w:spacing w:val="6"/>
          <w:sz w:val="26"/>
          <w:szCs w:val="24"/>
        </w:rPr>
        <w:t>Modificar el procedimiento de abono de los usuarios genéricos “</w:t>
      </w:r>
      <w:proofErr w:type="spellStart"/>
      <w:r w:rsidRPr="00B01865">
        <w:rPr>
          <w:rFonts w:cs="Arial"/>
          <w:i/>
          <w:spacing w:val="6"/>
          <w:sz w:val="26"/>
          <w:szCs w:val="24"/>
        </w:rPr>
        <w:t>sedate</w:t>
      </w:r>
      <w:proofErr w:type="spellEnd"/>
      <w:r w:rsidRPr="00B01865">
        <w:rPr>
          <w:rFonts w:cs="Arial"/>
          <w:i/>
          <w:spacing w:val="6"/>
          <w:sz w:val="26"/>
          <w:szCs w:val="24"/>
        </w:rPr>
        <w:t>” para evitar que se produzcan errores que afecten a la información proporci</w:t>
      </w:r>
      <w:r w:rsidRPr="00B01865">
        <w:rPr>
          <w:rFonts w:cs="Arial"/>
          <w:i/>
          <w:spacing w:val="6"/>
          <w:sz w:val="26"/>
          <w:szCs w:val="24"/>
        </w:rPr>
        <w:t>o</w:t>
      </w:r>
      <w:r w:rsidRPr="00B01865">
        <w:rPr>
          <w:rFonts w:cs="Arial"/>
          <w:i/>
          <w:spacing w:val="6"/>
          <w:sz w:val="26"/>
          <w:szCs w:val="24"/>
        </w:rPr>
        <w:t>nada en los estados contables.</w:t>
      </w:r>
    </w:p>
    <w:p w:rsidR="00B01865" w:rsidRPr="00672D5E" w:rsidRDefault="00B01865" w:rsidP="00672D5E">
      <w:pPr>
        <w:pStyle w:val="atitulo2"/>
        <w:spacing w:before="240"/>
        <w:rPr>
          <w:bCs w:val="0"/>
          <w:iCs w:val="0"/>
        </w:rPr>
      </w:pPr>
      <w:bookmarkStart w:id="104" w:name="_Toc494270393"/>
      <w:bookmarkStart w:id="105" w:name="_Toc525907449"/>
      <w:bookmarkStart w:id="106" w:name="_Toc530034677"/>
      <w:r w:rsidRPr="00672D5E">
        <w:rPr>
          <w:bCs w:val="0"/>
          <w:iCs w:val="0"/>
        </w:rPr>
        <w:t>V.1</w:t>
      </w:r>
      <w:r w:rsidR="001C37BF">
        <w:rPr>
          <w:bCs w:val="0"/>
          <w:iCs w:val="0"/>
        </w:rPr>
        <w:t>2</w:t>
      </w:r>
      <w:r w:rsidRPr="00672D5E">
        <w:rPr>
          <w:bCs w:val="0"/>
          <w:iCs w:val="0"/>
        </w:rPr>
        <w:t>. Tesorería</w:t>
      </w:r>
      <w:bookmarkEnd w:id="102"/>
      <w:bookmarkEnd w:id="103"/>
      <w:bookmarkEnd w:id="104"/>
      <w:bookmarkEnd w:id="105"/>
      <w:bookmarkEnd w:id="106"/>
    </w:p>
    <w:p w:rsidR="00B01865" w:rsidRPr="00B01865" w:rsidRDefault="00B01865" w:rsidP="00672D5E">
      <w:pPr>
        <w:pStyle w:val="texto"/>
        <w:rPr>
          <w:lang w:val="es-ES"/>
        </w:rPr>
      </w:pPr>
      <w:r w:rsidRPr="00B01865">
        <w:rPr>
          <w:lang w:val="es-ES"/>
        </w:rPr>
        <w:t>La tesorería existente a 31 de diciembre de 2017 ascendía a 631,14 millones de euros y se encontraba en los siguientes tipos de cuentas:</w:t>
      </w:r>
    </w:p>
    <w:tbl>
      <w:tblPr>
        <w:tblW w:w="4938"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703"/>
        <w:gridCol w:w="1705"/>
        <w:gridCol w:w="1705"/>
        <w:gridCol w:w="1705"/>
      </w:tblGrid>
      <w:tr w:rsidR="00B01865" w:rsidRPr="00B01865" w:rsidTr="00B01865">
        <w:trPr>
          <w:trHeight w:val="255"/>
          <w:jc w:val="center"/>
        </w:trPr>
        <w:tc>
          <w:tcPr>
            <w:tcW w:w="5000" w:type="pct"/>
            <w:gridSpan w:val="4"/>
            <w:tcBorders>
              <w:top w:val="nil"/>
              <w:left w:val="nil"/>
              <w:bottom w:val="single" w:sz="4" w:space="0" w:color="auto"/>
              <w:right w:val="nil"/>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sidRPr="00B01865">
              <w:rPr>
                <w:rFonts w:ascii="Arial" w:hAnsi="Arial"/>
                <w:spacing w:val="6"/>
                <w:sz w:val="17"/>
                <w:szCs w:val="17"/>
              </w:rPr>
              <w:t>(en miles de euros)</w:t>
            </w:r>
          </w:p>
        </w:tc>
      </w:tr>
      <w:tr w:rsidR="00B01865" w:rsidRPr="00B01865" w:rsidTr="00672D5E">
        <w:trPr>
          <w:trHeight w:val="255"/>
          <w:jc w:val="center"/>
        </w:trPr>
        <w:tc>
          <w:tcPr>
            <w:tcW w:w="2099" w:type="pct"/>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B01865">
              <w:rPr>
                <w:rFonts w:ascii="Arial" w:hAnsi="Arial"/>
                <w:spacing w:val="6"/>
                <w:sz w:val="18"/>
                <w:szCs w:val="18"/>
              </w:rPr>
              <w:t>Concepto</w:t>
            </w:r>
          </w:p>
        </w:tc>
        <w:tc>
          <w:tcPr>
            <w:tcW w:w="967" w:type="pct"/>
            <w:tcBorders>
              <w:top w:val="single" w:sz="4" w:space="0" w:color="auto"/>
              <w:left w:val="nil"/>
              <w:bottom w:val="single" w:sz="4" w:space="0" w:color="auto"/>
              <w:right w:val="nil"/>
            </w:tcBorders>
            <w:shd w:val="clear" w:color="auto" w:fill="8DB3E2" w:themeFill="text2" w:themeFillTint="66"/>
            <w:vAlign w:val="center"/>
            <w:hideMark/>
          </w:tcPr>
          <w:p w:rsidR="00672D5E" w:rsidRDefault="00B01865" w:rsidP="00672D5E">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 xml:space="preserve">Saldo a </w:t>
            </w:r>
          </w:p>
          <w:p w:rsidR="00B01865" w:rsidRPr="00B01865" w:rsidRDefault="00B01865" w:rsidP="00A53690">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31</w:t>
            </w:r>
            <w:r w:rsidR="00A53690">
              <w:rPr>
                <w:rFonts w:ascii="Arial" w:hAnsi="Arial"/>
                <w:spacing w:val="6"/>
                <w:sz w:val="18"/>
                <w:szCs w:val="18"/>
              </w:rPr>
              <w:t>/</w:t>
            </w:r>
            <w:r w:rsidRPr="00B01865">
              <w:rPr>
                <w:rFonts w:ascii="Arial" w:hAnsi="Arial"/>
                <w:spacing w:val="6"/>
                <w:sz w:val="18"/>
                <w:szCs w:val="18"/>
              </w:rPr>
              <w:t>12</w:t>
            </w:r>
            <w:r w:rsidR="00A53690">
              <w:rPr>
                <w:rFonts w:ascii="Arial" w:hAnsi="Arial"/>
                <w:spacing w:val="6"/>
                <w:sz w:val="18"/>
                <w:szCs w:val="18"/>
              </w:rPr>
              <w:t>/</w:t>
            </w:r>
            <w:r w:rsidRPr="00B01865">
              <w:rPr>
                <w:rFonts w:ascii="Arial" w:hAnsi="Arial"/>
                <w:spacing w:val="6"/>
                <w:sz w:val="18"/>
                <w:szCs w:val="18"/>
              </w:rPr>
              <w:t>2016</w:t>
            </w:r>
          </w:p>
        </w:tc>
        <w:tc>
          <w:tcPr>
            <w:tcW w:w="967" w:type="pct"/>
            <w:tcBorders>
              <w:top w:val="single" w:sz="4" w:space="0" w:color="auto"/>
              <w:left w:val="nil"/>
              <w:bottom w:val="single" w:sz="4" w:space="0" w:color="auto"/>
              <w:right w:val="nil"/>
            </w:tcBorders>
            <w:shd w:val="clear" w:color="auto" w:fill="8DB3E2" w:themeFill="text2" w:themeFillTint="66"/>
            <w:vAlign w:val="center"/>
            <w:hideMark/>
          </w:tcPr>
          <w:p w:rsidR="00672D5E" w:rsidRDefault="00B01865" w:rsidP="00672D5E">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 xml:space="preserve">Saldo a </w:t>
            </w:r>
          </w:p>
          <w:p w:rsidR="00B01865" w:rsidRPr="00B01865" w:rsidRDefault="00B01865" w:rsidP="00A53690">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31</w:t>
            </w:r>
            <w:r w:rsidR="00A53690">
              <w:rPr>
                <w:rFonts w:ascii="Arial" w:hAnsi="Arial"/>
                <w:spacing w:val="6"/>
                <w:sz w:val="18"/>
                <w:szCs w:val="18"/>
              </w:rPr>
              <w:t>/</w:t>
            </w:r>
            <w:r w:rsidRPr="00B01865">
              <w:rPr>
                <w:rFonts w:ascii="Arial" w:hAnsi="Arial"/>
                <w:spacing w:val="6"/>
                <w:sz w:val="18"/>
                <w:szCs w:val="18"/>
              </w:rPr>
              <w:t>12</w:t>
            </w:r>
            <w:r w:rsidR="00A53690">
              <w:rPr>
                <w:rFonts w:ascii="Arial" w:hAnsi="Arial"/>
                <w:spacing w:val="6"/>
                <w:sz w:val="18"/>
                <w:szCs w:val="18"/>
              </w:rPr>
              <w:t>/</w:t>
            </w:r>
            <w:r w:rsidRPr="00B01865">
              <w:rPr>
                <w:rFonts w:ascii="Arial" w:hAnsi="Arial"/>
                <w:spacing w:val="6"/>
                <w:sz w:val="18"/>
                <w:szCs w:val="18"/>
              </w:rPr>
              <w:t>2017</w:t>
            </w:r>
          </w:p>
        </w:tc>
        <w:tc>
          <w:tcPr>
            <w:tcW w:w="967" w:type="pct"/>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 variación 2017/2016</w:t>
            </w:r>
          </w:p>
        </w:tc>
      </w:tr>
      <w:tr w:rsidR="00B01865" w:rsidRPr="00B01865" w:rsidTr="00672D5E">
        <w:trPr>
          <w:trHeight w:val="227"/>
          <w:jc w:val="center"/>
        </w:trPr>
        <w:tc>
          <w:tcPr>
            <w:tcW w:w="2099" w:type="pct"/>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Cuentas financieras de inversión (fondos)</w:t>
            </w:r>
          </w:p>
        </w:tc>
        <w:tc>
          <w:tcPr>
            <w:tcW w:w="967" w:type="pct"/>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130.076</w:t>
            </w:r>
          </w:p>
        </w:tc>
        <w:tc>
          <w:tcPr>
            <w:tcW w:w="967" w:type="pct"/>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616.461</w:t>
            </w:r>
          </w:p>
        </w:tc>
        <w:tc>
          <w:tcPr>
            <w:tcW w:w="967" w:type="pct"/>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374</w:t>
            </w:r>
          </w:p>
        </w:tc>
      </w:tr>
      <w:tr w:rsidR="00B01865" w:rsidRPr="00B01865" w:rsidTr="00672D5E">
        <w:trPr>
          <w:trHeight w:val="227"/>
          <w:jc w:val="center"/>
        </w:trPr>
        <w:tc>
          <w:tcPr>
            <w:tcW w:w="2099" w:type="pct"/>
            <w:tcBorders>
              <w:top w:val="single" w:sz="2" w:space="0" w:color="auto"/>
              <w:left w:val="nil"/>
              <w:bottom w:val="single" w:sz="2" w:space="0" w:color="auto"/>
              <w:right w:val="nil"/>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Cuentas especiales de ingresos</w:t>
            </w:r>
          </w:p>
        </w:tc>
        <w:tc>
          <w:tcPr>
            <w:tcW w:w="967" w:type="pct"/>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9.877</w:t>
            </w:r>
          </w:p>
        </w:tc>
        <w:tc>
          <w:tcPr>
            <w:tcW w:w="967" w:type="pct"/>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13.331</w:t>
            </w:r>
          </w:p>
        </w:tc>
        <w:tc>
          <w:tcPr>
            <w:tcW w:w="967" w:type="pct"/>
            <w:tcBorders>
              <w:top w:val="single" w:sz="2" w:space="0" w:color="auto"/>
              <w:left w:val="nil"/>
              <w:bottom w:val="single" w:sz="2" w:space="0" w:color="auto"/>
              <w:right w:val="nil"/>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35</w:t>
            </w:r>
          </w:p>
        </w:tc>
      </w:tr>
      <w:tr w:rsidR="00B01865" w:rsidRPr="00B01865" w:rsidTr="00672D5E">
        <w:trPr>
          <w:trHeight w:val="227"/>
          <w:jc w:val="center"/>
        </w:trPr>
        <w:tc>
          <w:tcPr>
            <w:tcW w:w="2099" w:type="pct"/>
            <w:tcBorders>
              <w:top w:val="single" w:sz="2" w:space="0" w:color="auto"/>
              <w:left w:val="nil"/>
              <w:bottom w:val="single" w:sz="2" w:space="0" w:color="auto"/>
              <w:right w:val="nil"/>
            </w:tcBorders>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Cuentas corrientes operativas</w:t>
            </w:r>
          </w:p>
        </w:tc>
        <w:tc>
          <w:tcPr>
            <w:tcW w:w="967" w:type="pct"/>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1.010</w:t>
            </w:r>
          </w:p>
        </w:tc>
        <w:tc>
          <w:tcPr>
            <w:tcW w:w="967" w:type="pct"/>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1.344</w:t>
            </w:r>
          </w:p>
        </w:tc>
        <w:tc>
          <w:tcPr>
            <w:tcW w:w="967" w:type="pct"/>
            <w:tcBorders>
              <w:top w:val="single" w:sz="2" w:space="0" w:color="auto"/>
              <w:left w:val="nil"/>
              <w:bottom w:val="single" w:sz="2" w:space="0" w:color="auto"/>
              <w:right w:val="nil"/>
            </w:tcBorders>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35</w:t>
            </w:r>
          </w:p>
        </w:tc>
      </w:tr>
      <w:tr w:rsidR="00B01865" w:rsidRPr="00B01865" w:rsidTr="00672D5E">
        <w:trPr>
          <w:trHeight w:val="255"/>
          <w:jc w:val="center"/>
        </w:trPr>
        <w:tc>
          <w:tcPr>
            <w:tcW w:w="2099" w:type="pct"/>
            <w:tcBorders>
              <w:top w:val="single" w:sz="4" w:space="0" w:color="auto"/>
              <w:left w:val="nil"/>
              <w:bottom w:val="single" w:sz="4" w:space="0" w:color="auto"/>
              <w:right w:val="nil"/>
            </w:tcBorders>
            <w:shd w:val="clear" w:color="auto" w:fill="8DB3E2" w:themeFill="text2" w:themeFillTint="66"/>
            <w:noWrap/>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18"/>
              </w:rPr>
            </w:pPr>
            <w:r w:rsidRPr="00B01865">
              <w:rPr>
                <w:rFonts w:ascii="Arial" w:hAnsi="Arial"/>
                <w:spacing w:val="6"/>
                <w:sz w:val="18"/>
                <w:szCs w:val="18"/>
              </w:rPr>
              <w:t>Total</w:t>
            </w:r>
          </w:p>
        </w:tc>
        <w:tc>
          <w:tcPr>
            <w:tcW w:w="967" w:type="pct"/>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fldChar w:fldCharType="begin"/>
            </w:r>
            <w:r w:rsidRPr="00B01865">
              <w:rPr>
                <w:rFonts w:ascii="Arial" w:hAnsi="Arial"/>
                <w:spacing w:val="6"/>
                <w:sz w:val="18"/>
                <w:szCs w:val="18"/>
              </w:rPr>
              <w:instrText xml:space="preserve"> =SUM(ABOVE) </w:instrText>
            </w:r>
            <w:r w:rsidRPr="00B01865">
              <w:rPr>
                <w:rFonts w:ascii="Arial" w:hAnsi="Arial"/>
                <w:spacing w:val="6"/>
                <w:sz w:val="18"/>
                <w:szCs w:val="18"/>
              </w:rPr>
              <w:fldChar w:fldCharType="separate"/>
            </w:r>
            <w:r w:rsidRPr="00B01865">
              <w:rPr>
                <w:rFonts w:ascii="Arial" w:hAnsi="Arial"/>
                <w:spacing w:val="6"/>
                <w:sz w:val="18"/>
                <w:szCs w:val="18"/>
              </w:rPr>
              <w:t>140.963</w:t>
            </w:r>
            <w:r w:rsidRPr="00B01865">
              <w:rPr>
                <w:rFonts w:ascii="Arial" w:hAnsi="Arial"/>
                <w:spacing w:val="6"/>
                <w:sz w:val="18"/>
                <w:szCs w:val="18"/>
              </w:rPr>
              <w:fldChar w:fldCharType="end"/>
            </w:r>
          </w:p>
        </w:tc>
        <w:tc>
          <w:tcPr>
            <w:tcW w:w="967" w:type="pct"/>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fldChar w:fldCharType="begin"/>
            </w:r>
            <w:r w:rsidRPr="00B01865">
              <w:rPr>
                <w:rFonts w:ascii="Arial" w:hAnsi="Arial"/>
                <w:spacing w:val="6"/>
                <w:sz w:val="18"/>
                <w:szCs w:val="18"/>
              </w:rPr>
              <w:instrText xml:space="preserve"> =SUM(ABOVE) </w:instrText>
            </w:r>
            <w:r w:rsidRPr="00B01865">
              <w:rPr>
                <w:rFonts w:ascii="Arial" w:hAnsi="Arial"/>
                <w:spacing w:val="6"/>
                <w:sz w:val="18"/>
                <w:szCs w:val="18"/>
              </w:rPr>
              <w:fldChar w:fldCharType="separate"/>
            </w:r>
            <w:r w:rsidRPr="00B01865">
              <w:rPr>
                <w:rFonts w:ascii="Arial" w:hAnsi="Arial"/>
                <w:spacing w:val="6"/>
                <w:sz w:val="18"/>
                <w:szCs w:val="18"/>
              </w:rPr>
              <w:t>631.136</w:t>
            </w:r>
            <w:r w:rsidRPr="00B01865">
              <w:rPr>
                <w:rFonts w:ascii="Arial" w:hAnsi="Arial"/>
                <w:spacing w:val="6"/>
                <w:sz w:val="18"/>
                <w:szCs w:val="18"/>
              </w:rPr>
              <w:fldChar w:fldCharType="end"/>
            </w:r>
          </w:p>
        </w:tc>
        <w:tc>
          <w:tcPr>
            <w:tcW w:w="967" w:type="pct"/>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18"/>
              </w:rPr>
            </w:pPr>
            <w:r w:rsidRPr="00B01865">
              <w:rPr>
                <w:rFonts w:ascii="Arial" w:hAnsi="Arial"/>
                <w:spacing w:val="6"/>
                <w:sz w:val="18"/>
                <w:szCs w:val="18"/>
              </w:rPr>
              <w:t>348</w:t>
            </w:r>
          </w:p>
        </w:tc>
      </w:tr>
    </w:tbl>
    <w:p w:rsidR="00B01865" w:rsidRPr="00B01865" w:rsidRDefault="00B01865" w:rsidP="00672D5E">
      <w:pPr>
        <w:pStyle w:val="texto"/>
        <w:spacing w:before="240"/>
        <w:rPr>
          <w:lang w:val="es-ES"/>
        </w:rPr>
      </w:pPr>
      <w:r w:rsidRPr="00B01865">
        <w:rPr>
          <w:lang w:val="es-ES"/>
        </w:rPr>
        <w:t>Los saldos de tesorería han aumentado un 348 por ciento lo que supone 490 millones de euros más debido al incremento de las cuentas financieras de inve</w:t>
      </w:r>
      <w:r w:rsidRPr="00B01865">
        <w:rPr>
          <w:lang w:val="es-ES"/>
        </w:rPr>
        <w:t>r</w:t>
      </w:r>
      <w:r w:rsidRPr="00B01865">
        <w:rPr>
          <w:lang w:val="es-ES"/>
        </w:rPr>
        <w:t xml:space="preserve">sión en un 374 por ciento </w:t>
      </w:r>
      <w:r w:rsidR="002C1817">
        <w:rPr>
          <w:lang w:val="es-ES"/>
        </w:rPr>
        <w:t>por la subida</w:t>
      </w:r>
      <w:r w:rsidRPr="00B01865">
        <w:rPr>
          <w:lang w:val="es-ES"/>
        </w:rPr>
        <w:t xml:space="preserve"> en la recaudación y a la determinación de la aportación del Convenio Económico. </w:t>
      </w:r>
    </w:p>
    <w:p w:rsidR="00B01865" w:rsidRPr="00B01865" w:rsidRDefault="00B01865" w:rsidP="00672D5E">
      <w:pPr>
        <w:pStyle w:val="texto"/>
        <w:rPr>
          <w:lang w:val="es-ES"/>
        </w:rPr>
      </w:pPr>
      <w:r w:rsidRPr="00B01865">
        <w:rPr>
          <w:lang w:val="es-ES"/>
        </w:rPr>
        <w:t>Los anteriores fondos han generado unos intereses de 198.111 euros, frente a los 15.823 euros de 2016.</w:t>
      </w:r>
    </w:p>
    <w:p w:rsidR="00B01865" w:rsidRPr="00B01865" w:rsidRDefault="00B01865" w:rsidP="00672D5E">
      <w:pPr>
        <w:pStyle w:val="texto"/>
        <w:rPr>
          <w:lang w:val="es-ES"/>
        </w:rPr>
      </w:pPr>
      <w:r w:rsidRPr="00B01865">
        <w:rPr>
          <w:lang w:val="es-ES"/>
        </w:rPr>
        <w:lastRenderedPageBreak/>
        <w:t>En 2017 se concertaron un total de 400 millones en créditos para hacer frente a necesidades de tesorería a corto plazo, siendo el importe máximo dispuesto</w:t>
      </w:r>
      <w:r w:rsidR="002C1817">
        <w:rPr>
          <w:lang w:val="es-ES"/>
        </w:rPr>
        <w:t xml:space="preserve"> en enero por un total de</w:t>
      </w:r>
      <w:r w:rsidRPr="00B01865">
        <w:rPr>
          <w:lang w:val="es-ES"/>
        </w:rPr>
        <w:t xml:space="preserve"> 350 millones. El coste financiero de estas operaciones a</w:t>
      </w:r>
      <w:r w:rsidRPr="00B01865">
        <w:rPr>
          <w:lang w:val="es-ES"/>
        </w:rPr>
        <w:t>s</w:t>
      </w:r>
      <w:r w:rsidRPr="00B01865">
        <w:rPr>
          <w:lang w:val="es-ES"/>
        </w:rPr>
        <w:t xml:space="preserve">cendió a 27.165 euros, cifra significativamente baja debida fundamentalmente a los valores que alcanzó el Euribor que llegaron a ser negativos. </w:t>
      </w:r>
    </w:p>
    <w:p w:rsidR="00B01865" w:rsidRPr="00B01865" w:rsidRDefault="00B01865" w:rsidP="00B01865">
      <w:pPr>
        <w:tabs>
          <w:tab w:val="center" w:pos="2835"/>
          <w:tab w:val="center" w:pos="3969"/>
          <w:tab w:val="center" w:pos="5103"/>
          <w:tab w:val="center" w:pos="6237"/>
          <w:tab w:val="center" w:pos="7371"/>
        </w:tabs>
        <w:spacing w:after="120"/>
        <w:ind w:firstLine="284"/>
        <w:rPr>
          <w:spacing w:val="6"/>
          <w:sz w:val="26"/>
          <w:szCs w:val="24"/>
          <w:lang w:val="es-ES"/>
        </w:rPr>
      </w:pPr>
      <w:r w:rsidRPr="00672D5E">
        <w:rPr>
          <w:rStyle w:val="textoCar"/>
        </w:rPr>
        <w:t xml:space="preserve">En la información obtenida con la </w:t>
      </w:r>
      <w:proofErr w:type="spellStart"/>
      <w:r w:rsidRPr="00672D5E">
        <w:rPr>
          <w:rStyle w:val="textoCar"/>
        </w:rPr>
        <w:t>circularización</w:t>
      </w:r>
      <w:proofErr w:type="spellEnd"/>
      <w:r w:rsidRPr="00672D5E">
        <w:rPr>
          <w:rStyle w:val="textoCar"/>
        </w:rPr>
        <w:t xml:space="preserve"> bancaria, hemos detectado las siguientes incidencias</w:t>
      </w:r>
      <w:r w:rsidRPr="00B01865">
        <w:rPr>
          <w:spacing w:val="6"/>
          <w:sz w:val="26"/>
          <w:szCs w:val="24"/>
          <w:lang w:val="es-ES"/>
        </w:rPr>
        <w:t>:</w:t>
      </w:r>
    </w:p>
    <w:p w:rsidR="00B01865" w:rsidRPr="00A22F36" w:rsidRDefault="00B01865" w:rsidP="00A22F36">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A22F36">
        <w:rPr>
          <w:rFonts w:cs="Arial"/>
          <w:spacing w:val="6"/>
          <w:sz w:val="26"/>
          <w:szCs w:val="24"/>
        </w:rPr>
        <w:t>El saldo de las cuentas restringidas de recaudación a 31 de diciembre de 2017 asciende a 11,15 millones de euros; el funcionamiento de estas cuentas responde a las denominadas “quincenas” en las que las personas realizan ingr</w:t>
      </w:r>
      <w:r w:rsidRPr="00A22F36">
        <w:rPr>
          <w:rFonts w:cs="Arial"/>
          <w:spacing w:val="6"/>
          <w:sz w:val="26"/>
          <w:szCs w:val="24"/>
        </w:rPr>
        <w:t>e</w:t>
      </w:r>
      <w:r w:rsidRPr="00A22F36">
        <w:rPr>
          <w:rFonts w:cs="Arial"/>
          <w:spacing w:val="6"/>
          <w:sz w:val="26"/>
          <w:szCs w:val="24"/>
        </w:rPr>
        <w:t>sos a favor de la ACFN y quincenalmente la entidad bancaria</w:t>
      </w:r>
      <w:r w:rsidR="00FC4CBC">
        <w:rPr>
          <w:rFonts w:cs="Arial"/>
          <w:spacing w:val="6"/>
          <w:sz w:val="26"/>
          <w:szCs w:val="24"/>
        </w:rPr>
        <w:t xml:space="preserve"> le</w:t>
      </w:r>
      <w:r w:rsidRPr="00A22F36">
        <w:rPr>
          <w:rFonts w:cs="Arial"/>
          <w:spacing w:val="6"/>
          <w:sz w:val="26"/>
          <w:szCs w:val="24"/>
        </w:rPr>
        <w:t xml:space="preserve"> transfiere</w:t>
      </w:r>
      <w:r w:rsidR="00FC4CBC">
        <w:rPr>
          <w:rFonts w:cs="Arial"/>
          <w:spacing w:val="6"/>
          <w:sz w:val="26"/>
          <w:szCs w:val="24"/>
        </w:rPr>
        <w:t xml:space="preserve"> a e</w:t>
      </w:r>
      <w:r w:rsidR="00FC4CBC">
        <w:rPr>
          <w:rFonts w:cs="Arial"/>
          <w:spacing w:val="6"/>
          <w:sz w:val="26"/>
          <w:szCs w:val="24"/>
        </w:rPr>
        <w:t>s</w:t>
      </w:r>
      <w:r w:rsidR="00FC4CBC">
        <w:rPr>
          <w:rFonts w:cs="Arial"/>
          <w:spacing w:val="6"/>
          <w:sz w:val="26"/>
          <w:szCs w:val="24"/>
        </w:rPr>
        <w:t>ta</w:t>
      </w:r>
      <w:r w:rsidRPr="00A22F36">
        <w:rPr>
          <w:rFonts w:cs="Arial"/>
          <w:spacing w:val="6"/>
          <w:sz w:val="26"/>
          <w:szCs w:val="24"/>
        </w:rPr>
        <w:t xml:space="preserve"> estos importes. En años anteriores, no se disponía de información suficiente para incluir estas cantidades en la tesorería, pero para 2017 ya se contaba con esta información, sin que se haya realizado el asiento contable correspondiente para reflejar el importe de las autoliquidaciones en la tesorería del balance.</w:t>
      </w:r>
    </w:p>
    <w:p w:rsidR="00B01865" w:rsidRPr="00A22F36" w:rsidRDefault="00B01865" w:rsidP="00A22F36">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A22F36">
        <w:rPr>
          <w:rFonts w:cs="Arial"/>
          <w:spacing w:val="6"/>
          <w:sz w:val="26"/>
          <w:szCs w:val="24"/>
        </w:rPr>
        <w:t>Existe una diferencia de 56.148 euros en las cuentas de anticipos de caja f</w:t>
      </w:r>
      <w:r w:rsidRPr="00A22F36">
        <w:rPr>
          <w:rFonts w:cs="Arial"/>
          <w:spacing w:val="6"/>
          <w:sz w:val="26"/>
          <w:szCs w:val="24"/>
        </w:rPr>
        <w:t>i</w:t>
      </w:r>
      <w:r w:rsidRPr="00A22F36">
        <w:rPr>
          <w:rFonts w:cs="Arial"/>
          <w:spacing w:val="6"/>
          <w:sz w:val="26"/>
          <w:szCs w:val="24"/>
        </w:rPr>
        <w:t>ja y pagos a justificar entre la información que figura en el balance y la que r</w:t>
      </w:r>
      <w:r w:rsidRPr="00A22F36">
        <w:rPr>
          <w:rFonts w:cs="Arial"/>
          <w:spacing w:val="6"/>
          <w:sz w:val="26"/>
          <w:szCs w:val="24"/>
        </w:rPr>
        <w:t>e</w:t>
      </w:r>
      <w:r w:rsidRPr="00A22F36">
        <w:rPr>
          <w:rFonts w:cs="Arial"/>
          <w:spacing w:val="6"/>
          <w:sz w:val="26"/>
          <w:szCs w:val="24"/>
        </w:rPr>
        <w:t xml:space="preserve">sulta de la </w:t>
      </w:r>
      <w:proofErr w:type="spellStart"/>
      <w:r w:rsidRPr="00A22F36">
        <w:rPr>
          <w:rFonts w:cs="Arial"/>
          <w:spacing w:val="6"/>
          <w:sz w:val="26"/>
          <w:szCs w:val="24"/>
        </w:rPr>
        <w:t>circularización</w:t>
      </w:r>
      <w:proofErr w:type="spellEnd"/>
      <w:r w:rsidRPr="00A22F36">
        <w:rPr>
          <w:rFonts w:cs="Arial"/>
          <w:spacing w:val="6"/>
          <w:sz w:val="26"/>
          <w:szCs w:val="24"/>
        </w:rPr>
        <w:t xml:space="preserve">. </w:t>
      </w:r>
      <w:r w:rsidR="00FC4CBC">
        <w:rPr>
          <w:rFonts w:cs="Arial"/>
          <w:spacing w:val="6"/>
          <w:sz w:val="26"/>
          <w:szCs w:val="24"/>
        </w:rPr>
        <w:t>Esta diferencia</w:t>
      </w:r>
      <w:r w:rsidRPr="00A22F36">
        <w:rPr>
          <w:rFonts w:cs="Arial"/>
          <w:spacing w:val="6"/>
          <w:sz w:val="26"/>
          <w:szCs w:val="24"/>
        </w:rPr>
        <w:t xml:space="preserve"> se debe al criterio de contabilización seguido por la ACFN que difiere del establecido en el </w:t>
      </w:r>
      <w:r w:rsidR="00FC4CBC">
        <w:rPr>
          <w:rFonts w:cs="Arial"/>
          <w:spacing w:val="6"/>
          <w:sz w:val="26"/>
          <w:szCs w:val="24"/>
        </w:rPr>
        <w:t>PGCP</w:t>
      </w:r>
      <w:r w:rsidRPr="00A22F36">
        <w:rPr>
          <w:rFonts w:cs="Arial"/>
          <w:spacing w:val="6"/>
          <w:sz w:val="26"/>
          <w:szCs w:val="24"/>
        </w:rPr>
        <w:t>.</w:t>
      </w:r>
      <w:bookmarkStart w:id="107" w:name="_Toc418853798"/>
    </w:p>
    <w:p w:rsidR="00B01865" w:rsidRPr="00672D5E" w:rsidRDefault="00B01865" w:rsidP="00B01865">
      <w:pPr>
        <w:tabs>
          <w:tab w:val="center" w:pos="2835"/>
          <w:tab w:val="center" w:pos="3969"/>
          <w:tab w:val="center" w:pos="5103"/>
          <w:tab w:val="center" w:pos="6237"/>
          <w:tab w:val="center" w:pos="7371"/>
        </w:tabs>
        <w:ind w:firstLine="284"/>
        <w:rPr>
          <w:rStyle w:val="textoCar"/>
        </w:rPr>
      </w:pPr>
      <w:r w:rsidRPr="00672D5E">
        <w:rPr>
          <w:rStyle w:val="textoCar"/>
        </w:rPr>
        <w:t>Recomendamos:</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B01865">
        <w:rPr>
          <w:rFonts w:cs="Arial"/>
          <w:i/>
          <w:spacing w:val="6"/>
          <w:sz w:val="26"/>
          <w:szCs w:val="24"/>
        </w:rPr>
        <w:t>Incluir en la tesorería el importe correspondiente a las autoliquidaciones según la información proporcionada por las entidades bancarias correspo</w:t>
      </w:r>
      <w:r w:rsidRPr="00B01865">
        <w:rPr>
          <w:rFonts w:cs="Arial"/>
          <w:i/>
          <w:spacing w:val="6"/>
          <w:sz w:val="26"/>
          <w:szCs w:val="24"/>
        </w:rPr>
        <w:t>n</w:t>
      </w:r>
      <w:r w:rsidRPr="00B01865">
        <w:rPr>
          <w:rFonts w:cs="Arial"/>
          <w:i/>
          <w:spacing w:val="6"/>
          <w:sz w:val="26"/>
          <w:szCs w:val="24"/>
        </w:rPr>
        <w:t>diente a la última quincena del mes de diciembre.</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B01865">
        <w:rPr>
          <w:rFonts w:cs="Arial"/>
          <w:i/>
          <w:spacing w:val="6"/>
          <w:sz w:val="26"/>
          <w:szCs w:val="24"/>
        </w:rPr>
        <w:t>Contabilizar los anticipos de caja fija y pagos a justificar según lo est</w:t>
      </w:r>
      <w:r w:rsidRPr="00B01865">
        <w:rPr>
          <w:rFonts w:cs="Arial"/>
          <w:i/>
          <w:spacing w:val="6"/>
          <w:sz w:val="26"/>
          <w:szCs w:val="24"/>
        </w:rPr>
        <w:t>a</w:t>
      </w:r>
      <w:r w:rsidRPr="00B01865">
        <w:rPr>
          <w:rFonts w:cs="Arial"/>
          <w:i/>
          <w:spacing w:val="6"/>
          <w:sz w:val="26"/>
          <w:szCs w:val="24"/>
        </w:rPr>
        <w:t>blecido en el Plan General de Contabilidad Pública.</w:t>
      </w:r>
    </w:p>
    <w:p w:rsidR="00B01865" w:rsidRPr="00A22F36" w:rsidRDefault="00B01865" w:rsidP="00A22F36">
      <w:pPr>
        <w:pStyle w:val="atitulo2"/>
        <w:spacing w:before="240"/>
        <w:rPr>
          <w:bCs w:val="0"/>
          <w:iCs w:val="0"/>
          <w:lang w:val="es-ES"/>
        </w:rPr>
      </w:pPr>
      <w:bookmarkStart w:id="108" w:name="_Toc494270394"/>
      <w:bookmarkStart w:id="109" w:name="_Toc525907450"/>
      <w:bookmarkStart w:id="110" w:name="_Toc530034678"/>
      <w:bookmarkEnd w:id="107"/>
      <w:r w:rsidRPr="00A22F36">
        <w:rPr>
          <w:bCs w:val="0"/>
          <w:iCs w:val="0"/>
          <w:lang w:val="es-ES"/>
        </w:rPr>
        <w:t>V.1</w:t>
      </w:r>
      <w:r w:rsidR="001C37BF">
        <w:rPr>
          <w:bCs w:val="0"/>
          <w:iCs w:val="0"/>
          <w:lang w:val="es-ES"/>
        </w:rPr>
        <w:t>3</w:t>
      </w:r>
      <w:r w:rsidRPr="00A22F36">
        <w:rPr>
          <w:bCs w:val="0"/>
          <w:iCs w:val="0"/>
          <w:lang w:val="es-ES"/>
        </w:rPr>
        <w:t>. Endeudamiento y otras operaciones financieras</w:t>
      </w:r>
      <w:bookmarkEnd w:id="108"/>
      <w:bookmarkEnd w:id="109"/>
      <w:bookmarkEnd w:id="110"/>
    </w:p>
    <w:p w:rsidR="00CF1188" w:rsidRDefault="00B01865" w:rsidP="00BE2439">
      <w:pPr>
        <w:pStyle w:val="texto"/>
        <w:rPr>
          <w:lang w:val="es-ES"/>
        </w:rPr>
      </w:pPr>
      <w:r w:rsidRPr="00B01865">
        <w:rPr>
          <w:lang w:val="es-ES"/>
        </w:rPr>
        <w:t>Previamente a la exposición del trabajo realizado, destacamos que esta C</w:t>
      </w:r>
      <w:r w:rsidRPr="00B01865">
        <w:rPr>
          <w:lang w:val="es-ES"/>
        </w:rPr>
        <w:t>á</w:t>
      </w:r>
      <w:r w:rsidRPr="00B01865">
        <w:rPr>
          <w:lang w:val="es-ES"/>
        </w:rPr>
        <w:t>mara publicó en septiembre de 2018 un informe sobre la aplicación de la Ley Foral 10/2014 en la concesión de avales y préstamos en el S</w:t>
      </w:r>
      <w:r w:rsidR="00CF1188">
        <w:rPr>
          <w:lang w:val="es-ES"/>
        </w:rPr>
        <w:t>ector Público Foral (2014-2017).</w:t>
      </w:r>
    </w:p>
    <w:p w:rsidR="00A22F36" w:rsidRDefault="00CF1188" w:rsidP="00BE2439">
      <w:pPr>
        <w:pStyle w:val="texto"/>
        <w:rPr>
          <w:rFonts w:ascii="Arial" w:hAnsi="Arial"/>
          <w:i/>
          <w:iCs/>
          <w:color w:val="000000"/>
          <w:spacing w:val="10"/>
          <w:kern w:val="28"/>
          <w:sz w:val="25"/>
          <w:szCs w:val="26"/>
          <w:lang w:val="es-ES"/>
        </w:rPr>
      </w:pPr>
      <w:r>
        <w:rPr>
          <w:lang w:val="es-ES"/>
        </w:rPr>
        <w:t>En dicho informe</w:t>
      </w:r>
      <w:r w:rsidR="00B01865" w:rsidRPr="00B01865">
        <w:rPr>
          <w:lang w:val="es-ES"/>
        </w:rPr>
        <w:t xml:space="preserve"> fundamentalmente se concluía que los avales</w:t>
      </w:r>
      <w:r w:rsidR="00FC4CBC">
        <w:rPr>
          <w:lang w:val="es-ES"/>
        </w:rPr>
        <w:t xml:space="preserve"> y préstamos</w:t>
      </w:r>
      <w:r>
        <w:rPr>
          <w:lang w:val="es-ES"/>
        </w:rPr>
        <w:t>,</w:t>
      </w:r>
      <w:r w:rsidR="00B01865" w:rsidRPr="00B01865">
        <w:rPr>
          <w:lang w:val="es-ES"/>
        </w:rPr>
        <w:t xml:space="preserve"> tanto de la ACFN como de sus sociedades públicas</w:t>
      </w:r>
      <w:r>
        <w:rPr>
          <w:lang w:val="es-ES"/>
        </w:rPr>
        <w:t>,</w:t>
      </w:r>
      <w:r w:rsidR="00B01865" w:rsidRPr="00B01865">
        <w:rPr>
          <w:lang w:val="es-ES"/>
        </w:rPr>
        <w:t xml:space="preserve"> no habían superado los l</w:t>
      </w:r>
      <w:r w:rsidR="00B01865" w:rsidRPr="00B01865">
        <w:rPr>
          <w:lang w:val="es-ES"/>
        </w:rPr>
        <w:t>í</w:t>
      </w:r>
      <w:r w:rsidR="00B01865" w:rsidRPr="00B01865">
        <w:rPr>
          <w:lang w:val="es-ES"/>
        </w:rPr>
        <w:t>mites máximos esta</w:t>
      </w:r>
      <w:r w:rsidR="00FC4CBC">
        <w:rPr>
          <w:lang w:val="es-ES"/>
        </w:rPr>
        <w:t>blecidos</w:t>
      </w:r>
      <w:r w:rsidR="00B01865" w:rsidRPr="00B01865">
        <w:rPr>
          <w:lang w:val="es-ES"/>
        </w:rPr>
        <w:t>, si bien en el caso de dos empresas hubiera sido necesario solicitar autorización al Parlamento para otorgarles lo</w:t>
      </w:r>
      <w:r w:rsidR="007C50A4">
        <w:rPr>
          <w:lang w:val="es-ES"/>
        </w:rPr>
        <w:t xml:space="preserve">s préstamos que se concedieron. Al respecto indicamos que a través de la Ley Foral 10/2018 y la 11/2018 </w:t>
      </w:r>
      <w:r w:rsidR="005A53B4">
        <w:rPr>
          <w:lang w:val="es-ES"/>
        </w:rPr>
        <w:t>SODENA</w:t>
      </w:r>
      <w:r w:rsidR="007C50A4">
        <w:rPr>
          <w:lang w:val="es-ES"/>
        </w:rPr>
        <w:t xml:space="preserve"> solicitó al Parlamento la ratificación de </w:t>
      </w:r>
      <w:r w:rsidR="005A53B4">
        <w:rPr>
          <w:lang w:val="es-ES"/>
        </w:rPr>
        <w:t>su</w:t>
      </w:r>
      <w:r w:rsidR="007C50A4">
        <w:rPr>
          <w:lang w:val="es-ES"/>
        </w:rPr>
        <w:t>s operaciones.</w:t>
      </w:r>
    </w:p>
    <w:p w:rsidR="00CF1188" w:rsidRDefault="00CF1188">
      <w:pPr>
        <w:spacing w:after="0"/>
        <w:ind w:firstLine="0"/>
        <w:jc w:val="left"/>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br w:type="page"/>
      </w:r>
    </w:p>
    <w:p w:rsidR="00B01865" w:rsidRPr="00B01865" w:rsidRDefault="00B01865" w:rsidP="00B01865">
      <w:pPr>
        <w:spacing w:before="240" w:after="12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lastRenderedPageBreak/>
        <w:t>Endeudamiento</w:t>
      </w:r>
    </w:p>
    <w:p w:rsidR="00B01865" w:rsidRPr="00B01865" w:rsidRDefault="00B01865" w:rsidP="00FC4CBC">
      <w:pPr>
        <w:pStyle w:val="texto"/>
        <w:rPr>
          <w:lang w:val="es-ES"/>
        </w:rPr>
      </w:pPr>
      <w:r w:rsidRPr="00B01865">
        <w:rPr>
          <w:lang w:val="es-ES"/>
        </w:rPr>
        <w:t>El endeudamiento de la Administración Foral y sus organismos autónomos a 31 de diciembre de 2017 a coste amortizado ascendía 3.</w:t>
      </w:r>
      <w:r w:rsidR="00C715B8">
        <w:rPr>
          <w:lang w:val="es-ES"/>
        </w:rPr>
        <w:t>25</w:t>
      </w:r>
      <w:r w:rsidRPr="00B01865">
        <w:rPr>
          <w:lang w:val="es-ES"/>
        </w:rPr>
        <w:t>8,10 millones de e</w:t>
      </w:r>
      <w:r w:rsidRPr="00B01865">
        <w:rPr>
          <w:lang w:val="es-ES"/>
        </w:rPr>
        <w:t>u</w:t>
      </w:r>
      <w:r w:rsidRPr="00B01865">
        <w:rPr>
          <w:lang w:val="es-ES"/>
        </w:rPr>
        <w:t>ros y correspondía a las siguientes modalidades:</w:t>
      </w:r>
    </w:p>
    <w:tbl>
      <w:tblPr>
        <w:tblW w:w="8855" w:type="dxa"/>
        <w:jc w:val="center"/>
        <w:tblCellMar>
          <w:left w:w="70" w:type="dxa"/>
          <w:right w:w="70" w:type="dxa"/>
        </w:tblCellMar>
        <w:tblLook w:val="0000" w:firstRow="0" w:lastRow="0" w:firstColumn="0" w:lastColumn="0" w:noHBand="0" w:noVBand="0"/>
      </w:tblPr>
      <w:tblGrid>
        <w:gridCol w:w="4717"/>
        <w:gridCol w:w="1488"/>
        <w:gridCol w:w="1480"/>
        <w:gridCol w:w="1170"/>
      </w:tblGrid>
      <w:tr w:rsidR="00B01865" w:rsidRPr="00B01865" w:rsidTr="00B01865">
        <w:trPr>
          <w:trHeight w:val="255"/>
          <w:jc w:val="center"/>
        </w:trPr>
        <w:tc>
          <w:tcPr>
            <w:tcW w:w="8855" w:type="dxa"/>
            <w:gridSpan w:val="4"/>
            <w:tcBorders>
              <w:bottom w:val="single" w:sz="4" w:space="0" w:color="auto"/>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B01865">
              <w:rPr>
                <w:rFonts w:ascii="Arial" w:hAnsi="Arial" w:cs="Arial"/>
                <w:spacing w:val="6"/>
                <w:sz w:val="17"/>
                <w:szCs w:val="17"/>
              </w:rPr>
              <w:t>(en miles de euros)</w:t>
            </w:r>
          </w:p>
        </w:tc>
      </w:tr>
      <w:tr w:rsidR="00B01865" w:rsidRPr="00B01865" w:rsidTr="00B01865">
        <w:trPr>
          <w:trHeight w:val="255"/>
          <w:jc w:val="center"/>
        </w:trPr>
        <w:tc>
          <w:tcPr>
            <w:tcW w:w="4717"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Deuda Gobierno de Navarra</w:t>
            </w:r>
          </w:p>
        </w:tc>
        <w:tc>
          <w:tcPr>
            <w:tcW w:w="1488" w:type="dxa"/>
            <w:tcBorders>
              <w:top w:val="single" w:sz="2"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31/12/2016</w:t>
            </w:r>
          </w:p>
        </w:tc>
        <w:tc>
          <w:tcPr>
            <w:tcW w:w="1480"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31/12/2017</w:t>
            </w:r>
          </w:p>
        </w:tc>
        <w:tc>
          <w:tcPr>
            <w:tcW w:w="1170"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 variación 2017/2016</w:t>
            </w:r>
          </w:p>
        </w:tc>
      </w:tr>
      <w:tr w:rsidR="00B01865" w:rsidRPr="00B01865" w:rsidTr="00FC4CBC">
        <w:trPr>
          <w:trHeight w:val="170"/>
          <w:jc w:val="center"/>
        </w:trPr>
        <w:tc>
          <w:tcPr>
            <w:tcW w:w="4717" w:type="dxa"/>
            <w:tcBorders>
              <w:top w:val="single" w:sz="4" w:space="0" w:color="auto"/>
              <w:bottom w:val="single" w:sz="2" w:space="0" w:color="auto"/>
            </w:tcBorders>
            <w:shd w:val="clear" w:color="auto" w:fill="auto"/>
            <w:vAlign w:val="center"/>
          </w:tcPr>
          <w:p w:rsidR="00B01865" w:rsidRPr="00B01865" w:rsidRDefault="00B01865" w:rsidP="00B01865">
            <w:pPr>
              <w:spacing w:after="0"/>
              <w:ind w:firstLine="0"/>
              <w:jc w:val="left"/>
              <w:rPr>
                <w:rFonts w:ascii="Arial Narrow" w:hAnsi="Arial Narrow" w:cs="Arial"/>
                <w:lang w:eastAsia="es-ES"/>
              </w:rPr>
            </w:pPr>
            <w:r w:rsidRPr="00B01865">
              <w:rPr>
                <w:rFonts w:ascii="Arial Narrow" w:hAnsi="Arial Narrow" w:cs="Arial"/>
                <w:lang w:eastAsia="es-ES"/>
              </w:rPr>
              <w:t>Deuda Pública de Navarra</w:t>
            </w:r>
          </w:p>
        </w:tc>
        <w:tc>
          <w:tcPr>
            <w:tcW w:w="1488" w:type="dxa"/>
            <w:tcBorders>
              <w:top w:val="single" w:sz="4"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1.440.848</w:t>
            </w:r>
          </w:p>
        </w:tc>
        <w:tc>
          <w:tcPr>
            <w:tcW w:w="1480"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1.359.560</w:t>
            </w:r>
          </w:p>
        </w:tc>
        <w:tc>
          <w:tcPr>
            <w:tcW w:w="1170" w:type="dxa"/>
            <w:tcBorders>
              <w:top w:val="single" w:sz="4"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-6</w:t>
            </w:r>
          </w:p>
        </w:tc>
      </w:tr>
      <w:tr w:rsidR="00B01865" w:rsidRPr="00B01865" w:rsidTr="00FC4CBC">
        <w:trPr>
          <w:trHeight w:val="170"/>
          <w:jc w:val="center"/>
        </w:trPr>
        <w:tc>
          <w:tcPr>
            <w:tcW w:w="4717" w:type="dxa"/>
            <w:tcBorders>
              <w:top w:val="single" w:sz="2" w:space="0" w:color="auto"/>
              <w:bottom w:val="single" w:sz="2" w:space="0" w:color="auto"/>
            </w:tcBorders>
            <w:shd w:val="clear" w:color="auto" w:fill="auto"/>
            <w:vAlign w:val="center"/>
          </w:tcPr>
          <w:p w:rsidR="00B01865" w:rsidRPr="00B01865" w:rsidRDefault="00B01865" w:rsidP="00B01865">
            <w:pPr>
              <w:spacing w:after="0"/>
              <w:ind w:firstLine="0"/>
              <w:jc w:val="left"/>
              <w:rPr>
                <w:rFonts w:ascii="Arial Narrow" w:hAnsi="Arial Narrow" w:cs="Arial"/>
                <w:lang w:eastAsia="es-ES"/>
              </w:rPr>
            </w:pPr>
            <w:r w:rsidRPr="00B01865">
              <w:rPr>
                <w:rFonts w:ascii="Arial Narrow" w:hAnsi="Arial Narrow" w:cs="Arial"/>
                <w:lang w:eastAsia="es-ES"/>
              </w:rPr>
              <w:t>Préstamos largo plazo entidades financieras</w:t>
            </w:r>
          </w:p>
        </w:tc>
        <w:tc>
          <w:tcPr>
            <w:tcW w:w="1488" w:type="dxa"/>
            <w:tcBorders>
              <w:top w:val="single" w:sz="2"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1.248.000</w:t>
            </w:r>
          </w:p>
        </w:tc>
        <w:tc>
          <w:tcPr>
            <w:tcW w:w="148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1.586.000</w:t>
            </w:r>
          </w:p>
        </w:tc>
        <w:tc>
          <w:tcPr>
            <w:tcW w:w="117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27</w:t>
            </w:r>
          </w:p>
        </w:tc>
      </w:tr>
      <w:tr w:rsidR="00B01865" w:rsidRPr="00B01865" w:rsidTr="00FC4CBC">
        <w:trPr>
          <w:trHeight w:val="170"/>
          <w:jc w:val="center"/>
        </w:trPr>
        <w:tc>
          <w:tcPr>
            <w:tcW w:w="4717" w:type="dxa"/>
            <w:tcBorders>
              <w:top w:val="single" w:sz="2" w:space="0" w:color="auto"/>
              <w:bottom w:val="single" w:sz="2" w:space="0" w:color="auto"/>
            </w:tcBorders>
            <w:shd w:val="clear" w:color="auto" w:fill="auto"/>
            <w:vAlign w:val="center"/>
          </w:tcPr>
          <w:p w:rsidR="00B01865" w:rsidRPr="00B01865" w:rsidRDefault="00B01865" w:rsidP="00B01865">
            <w:pPr>
              <w:spacing w:after="0"/>
              <w:ind w:firstLine="0"/>
              <w:jc w:val="left"/>
              <w:rPr>
                <w:rFonts w:ascii="Arial Narrow" w:hAnsi="Arial Narrow" w:cs="Arial"/>
                <w:lang w:eastAsia="es-ES"/>
              </w:rPr>
            </w:pPr>
            <w:r w:rsidRPr="00B01865">
              <w:rPr>
                <w:rFonts w:ascii="Arial Narrow" w:hAnsi="Arial Narrow" w:cs="Arial"/>
                <w:lang w:eastAsia="es-ES"/>
              </w:rPr>
              <w:t>Préstamos largo plazo sector público</w:t>
            </w:r>
          </w:p>
        </w:tc>
        <w:tc>
          <w:tcPr>
            <w:tcW w:w="1488" w:type="dxa"/>
            <w:tcBorders>
              <w:top w:val="single" w:sz="2"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21.444</w:t>
            </w:r>
          </w:p>
        </w:tc>
        <w:tc>
          <w:tcPr>
            <w:tcW w:w="148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22.699</w:t>
            </w:r>
          </w:p>
        </w:tc>
        <w:tc>
          <w:tcPr>
            <w:tcW w:w="117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6</w:t>
            </w:r>
          </w:p>
        </w:tc>
      </w:tr>
      <w:tr w:rsidR="00B01865" w:rsidRPr="00B01865" w:rsidTr="00FC4CBC">
        <w:trPr>
          <w:trHeight w:val="170"/>
          <w:jc w:val="center"/>
        </w:trPr>
        <w:tc>
          <w:tcPr>
            <w:tcW w:w="4717" w:type="dxa"/>
            <w:tcBorders>
              <w:top w:val="single" w:sz="2" w:space="0" w:color="auto"/>
              <w:bottom w:val="single" w:sz="2" w:space="0" w:color="auto"/>
            </w:tcBorders>
            <w:shd w:val="clear" w:color="auto" w:fill="auto"/>
            <w:vAlign w:val="center"/>
          </w:tcPr>
          <w:p w:rsidR="00B01865" w:rsidRPr="00B01865" w:rsidRDefault="00B01865" w:rsidP="00B01865">
            <w:pPr>
              <w:spacing w:after="0"/>
              <w:ind w:firstLine="0"/>
              <w:jc w:val="left"/>
              <w:rPr>
                <w:rFonts w:ascii="Arial" w:hAnsi="Arial" w:cs="Arial"/>
                <w:i/>
                <w:sz w:val="18"/>
                <w:szCs w:val="18"/>
                <w:lang w:eastAsia="es-ES"/>
              </w:rPr>
            </w:pPr>
            <w:r w:rsidRPr="00B01865">
              <w:rPr>
                <w:rFonts w:ascii="Arial" w:hAnsi="Arial" w:cs="Arial"/>
                <w:i/>
                <w:sz w:val="18"/>
                <w:szCs w:val="18"/>
                <w:lang w:eastAsia="es-ES"/>
              </w:rPr>
              <w:t>Endeudamiento a largo plazo (A)</w:t>
            </w:r>
          </w:p>
        </w:tc>
        <w:tc>
          <w:tcPr>
            <w:tcW w:w="1488" w:type="dxa"/>
            <w:tcBorders>
              <w:top w:val="single" w:sz="2"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w:hAnsi="Arial" w:cs="Arial"/>
                <w:i/>
                <w:sz w:val="18"/>
                <w:szCs w:val="18"/>
                <w:lang w:val="es-ES" w:eastAsia="es-ES"/>
              </w:rPr>
            </w:pPr>
            <w:r w:rsidRPr="00B01865">
              <w:rPr>
                <w:rFonts w:ascii="Arial" w:hAnsi="Arial" w:cs="Arial"/>
                <w:i/>
                <w:sz w:val="18"/>
                <w:szCs w:val="18"/>
                <w:lang w:val="es-ES" w:eastAsia="es-ES"/>
              </w:rPr>
              <w:t>2.710.292</w:t>
            </w:r>
          </w:p>
        </w:tc>
        <w:tc>
          <w:tcPr>
            <w:tcW w:w="148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w:hAnsi="Arial" w:cs="Arial"/>
                <w:i/>
                <w:iCs/>
                <w:color w:val="000000"/>
                <w:sz w:val="18"/>
                <w:szCs w:val="18"/>
                <w:lang w:val="es-ES" w:eastAsia="es-ES"/>
              </w:rPr>
            </w:pPr>
            <w:r w:rsidRPr="00B01865">
              <w:rPr>
                <w:rFonts w:ascii="Arial" w:hAnsi="Arial" w:cs="Arial"/>
                <w:i/>
                <w:iCs/>
                <w:color w:val="000000"/>
                <w:sz w:val="18"/>
                <w:szCs w:val="18"/>
                <w:lang w:val="es-ES" w:eastAsia="es-ES"/>
              </w:rPr>
              <w:t>2.968.259</w:t>
            </w:r>
          </w:p>
        </w:tc>
        <w:tc>
          <w:tcPr>
            <w:tcW w:w="117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w:hAnsi="Arial" w:cs="Arial"/>
                <w:i/>
                <w:iCs/>
                <w:color w:val="000000"/>
                <w:sz w:val="18"/>
                <w:szCs w:val="18"/>
                <w:lang w:val="es-ES" w:eastAsia="es-ES"/>
              </w:rPr>
            </w:pPr>
            <w:r w:rsidRPr="00B01865">
              <w:rPr>
                <w:rFonts w:ascii="Arial" w:hAnsi="Arial" w:cs="Arial"/>
                <w:i/>
                <w:iCs/>
                <w:color w:val="000000"/>
                <w:sz w:val="18"/>
                <w:szCs w:val="18"/>
                <w:lang w:val="es-ES" w:eastAsia="es-ES"/>
              </w:rPr>
              <w:t>10</w:t>
            </w:r>
          </w:p>
        </w:tc>
      </w:tr>
      <w:tr w:rsidR="00B01865" w:rsidRPr="00B01865" w:rsidTr="00FC4CBC">
        <w:trPr>
          <w:trHeight w:val="170"/>
          <w:jc w:val="center"/>
        </w:trPr>
        <w:tc>
          <w:tcPr>
            <w:tcW w:w="4717" w:type="dxa"/>
            <w:tcBorders>
              <w:top w:val="single" w:sz="2" w:space="0" w:color="auto"/>
              <w:bottom w:val="single" w:sz="2" w:space="0" w:color="auto"/>
            </w:tcBorders>
            <w:shd w:val="clear" w:color="auto" w:fill="auto"/>
            <w:vAlign w:val="center"/>
          </w:tcPr>
          <w:p w:rsidR="00B01865" w:rsidRPr="00B01865" w:rsidRDefault="00B01865" w:rsidP="00B01865">
            <w:pPr>
              <w:spacing w:after="0"/>
              <w:ind w:firstLine="0"/>
              <w:jc w:val="left"/>
              <w:rPr>
                <w:rFonts w:ascii="Arial Narrow" w:hAnsi="Arial Narrow" w:cs="Arial"/>
                <w:lang w:eastAsia="es-ES"/>
              </w:rPr>
            </w:pPr>
            <w:r w:rsidRPr="00B01865">
              <w:rPr>
                <w:rFonts w:ascii="Arial Narrow" w:hAnsi="Arial Narrow" w:cs="Arial"/>
                <w:lang w:eastAsia="es-ES"/>
              </w:rPr>
              <w:t>Deuda Pública de Navarra a corto plazo</w:t>
            </w:r>
          </w:p>
        </w:tc>
        <w:tc>
          <w:tcPr>
            <w:tcW w:w="1488" w:type="dxa"/>
            <w:tcBorders>
              <w:top w:val="single" w:sz="2"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292.928</w:t>
            </w:r>
          </w:p>
        </w:tc>
        <w:tc>
          <w:tcPr>
            <w:tcW w:w="148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240.104</w:t>
            </w:r>
          </w:p>
        </w:tc>
        <w:tc>
          <w:tcPr>
            <w:tcW w:w="117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-18</w:t>
            </w:r>
          </w:p>
        </w:tc>
      </w:tr>
      <w:tr w:rsidR="00B01865" w:rsidRPr="00B01865" w:rsidTr="00FC4CBC">
        <w:trPr>
          <w:trHeight w:val="170"/>
          <w:jc w:val="center"/>
        </w:trPr>
        <w:tc>
          <w:tcPr>
            <w:tcW w:w="4717" w:type="dxa"/>
            <w:tcBorders>
              <w:top w:val="single" w:sz="2" w:space="0" w:color="auto"/>
              <w:bottom w:val="single" w:sz="2" w:space="0" w:color="auto"/>
            </w:tcBorders>
            <w:shd w:val="clear" w:color="auto" w:fill="auto"/>
            <w:vAlign w:val="center"/>
          </w:tcPr>
          <w:p w:rsidR="00B01865" w:rsidRPr="00B01865" w:rsidRDefault="00B01865" w:rsidP="00B01865">
            <w:pPr>
              <w:spacing w:after="0"/>
              <w:ind w:firstLine="0"/>
              <w:jc w:val="left"/>
              <w:rPr>
                <w:rFonts w:ascii="Arial Narrow" w:hAnsi="Arial Narrow" w:cs="Arial"/>
                <w:lang w:eastAsia="es-ES"/>
              </w:rPr>
            </w:pPr>
            <w:r w:rsidRPr="00B01865">
              <w:rPr>
                <w:rFonts w:ascii="Arial Narrow" w:hAnsi="Arial Narrow" w:cs="Arial"/>
                <w:lang w:eastAsia="es-ES"/>
              </w:rPr>
              <w:t>Intereses a corto plazo deuda pública</w:t>
            </w:r>
          </w:p>
        </w:tc>
        <w:tc>
          <w:tcPr>
            <w:tcW w:w="1488" w:type="dxa"/>
            <w:tcBorders>
              <w:top w:val="single" w:sz="2"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39.808</w:t>
            </w:r>
          </w:p>
        </w:tc>
        <w:tc>
          <w:tcPr>
            <w:tcW w:w="148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31.869</w:t>
            </w:r>
          </w:p>
        </w:tc>
        <w:tc>
          <w:tcPr>
            <w:tcW w:w="117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-20</w:t>
            </w:r>
          </w:p>
        </w:tc>
      </w:tr>
      <w:tr w:rsidR="00B01865" w:rsidRPr="00B01865" w:rsidTr="00FC4CBC">
        <w:trPr>
          <w:trHeight w:val="170"/>
          <w:jc w:val="center"/>
        </w:trPr>
        <w:tc>
          <w:tcPr>
            <w:tcW w:w="4717" w:type="dxa"/>
            <w:tcBorders>
              <w:top w:val="single" w:sz="2" w:space="0" w:color="auto"/>
              <w:bottom w:val="single" w:sz="2" w:space="0" w:color="auto"/>
            </w:tcBorders>
            <w:shd w:val="clear" w:color="auto" w:fill="auto"/>
            <w:vAlign w:val="center"/>
          </w:tcPr>
          <w:p w:rsidR="00B01865" w:rsidRPr="00B01865" w:rsidRDefault="00B01865" w:rsidP="00B01865">
            <w:pPr>
              <w:spacing w:after="0"/>
              <w:ind w:firstLine="0"/>
              <w:jc w:val="left"/>
              <w:rPr>
                <w:rFonts w:ascii="Arial Narrow" w:hAnsi="Arial Narrow" w:cs="Arial"/>
                <w:lang w:eastAsia="es-ES"/>
              </w:rPr>
            </w:pPr>
            <w:r w:rsidRPr="00B01865">
              <w:rPr>
                <w:rFonts w:ascii="Arial Narrow" w:hAnsi="Arial Narrow" w:cs="Arial"/>
                <w:lang w:eastAsia="es-ES"/>
              </w:rPr>
              <w:t>Intereses a corto plazo préstamos</w:t>
            </w:r>
          </w:p>
        </w:tc>
        <w:tc>
          <w:tcPr>
            <w:tcW w:w="1488" w:type="dxa"/>
            <w:tcBorders>
              <w:top w:val="single" w:sz="2"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14.531</w:t>
            </w:r>
          </w:p>
        </w:tc>
        <w:tc>
          <w:tcPr>
            <w:tcW w:w="148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17.866</w:t>
            </w:r>
          </w:p>
        </w:tc>
        <w:tc>
          <w:tcPr>
            <w:tcW w:w="117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23</w:t>
            </w:r>
          </w:p>
        </w:tc>
      </w:tr>
      <w:tr w:rsidR="00B01865" w:rsidRPr="00B01865" w:rsidTr="00FC4CBC">
        <w:trPr>
          <w:trHeight w:val="170"/>
          <w:jc w:val="center"/>
        </w:trPr>
        <w:tc>
          <w:tcPr>
            <w:tcW w:w="4717" w:type="dxa"/>
            <w:tcBorders>
              <w:top w:val="single" w:sz="2" w:space="0" w:color="auto"/>
              <w:bottom w:val="single" w:sz="2" w:space="0" w:color="auto"/>
            </w:tcBorders>
            <w:shd w:val="clear" w:color="auto" w:fill="auto"/>
            <w:vAlign w:val="center"/>
          </w:tcPr>
          <w:p w:rsidR="00B01865" w:rsidRPr="00B01865" w:rsidRDefault="00B01865" w:rsidP="00B01865">
            <w:pPr>
              <w:spacing w:after="0"/>
              <w:ind w:firstLine="0"/>
              <w:jc w:val="left"/>
              <w:rPr>
                <w:rFonts w:ascii="Arial" w:hAnsi="Arial" w:cs="Arial"/>
                <w:i/>
                <w:sz w:val="18"/>
                <w:szCs w:val="18"/>
                <w:lang w:eastAsia="es-ES"/>
              </w:rPr>
            </w:pPr>
            <w:r w:rsidRPr="00B01865">
              <w:rPr>
                <w:rFonts w:ascii="Arial" w:hAnsi="Arial" w:cs="Arial"/>
                <w:i/>
                <w:sz w:val="18"/>
                <w:szCs w:val="18"/>
                <w:lang w:eastAsia="es-ES"/>
              </w:rPr>
              <w:t>Endeudamiento a corto plazo (B)</w:t>
            </w:r>
          </w:p>
        </w:tc>
        <w:tc>
          <w:tcPr>
            <w:tcW w:w="1488" w:type="dxa"/>
            <w:tcBorders>
              <w:top w:val="single" w:sz="2" w:space="0" w:color="auto"/>
              <w:bottom w:val="single" w:sz="2" w:space="0" w:color="auto"/>
            </w:tcBorders>
            <w:shd w:val="clear" w:color="auto" w:fill="auto"/>
            <w:noWrap/>
            <w:vAlign w:val="center"/>
          </w:tcPr>
          <w:p w:rsidR="00B01865" w:rsidRPr="00B01865" w:rsidRDefault="00B01865" w:rsidP="00B01865">
            <w:pPr>
              <w:spacing w:after="0"/>
              <w:ind w:firstLine="0"/>
              <w:jc w:val="right"/>
              <w:rPr>
                <w:rFonts w:ascii="Arial" w:hAnsi="Arial" w:cs="Arial"/>
                <w:i/>
                <w:sz w:val="18"/>
                <w:szCs w:val="18"/>
                <w:lang w:val="es-ES" w:eastAsia="es-ES"/>
              </w:rPr>
            </w:pPr>
            <w:r w:rsidRPr="00B01865">
              <w:rPr>
                <w:rFonts w:ascii="Arial" w:hAnsi="Arial" w:cs="Arial"/>
                <w:i/>
                <w:sz w:val="18"/>
                <w:szCs w:val="18"/>
                <w:lang w:val="es-ES" w:eastAsia="es-ES"/>
              </w:rPr>
              <w:t>347.267</w:t>
            </w:r>
          </w:p>
        </w:tc>
        <w:tc>
          <w:tcPr>
            <w:tcW w:w="148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w:hAnsi="Arial" w:cs="Arial"/>
                <w:i/>
                <w:color w:val="000000"/>
                <w:sz w:val="18"/>
                <w:szCs w:val="18"/>
                <w:lang w:val="es-ES" w:eastAsia="es-ES"/>
              </w:rPr>
            </w:pPr>
            <w:r w:rsidRPr="00B01865">
              <w:rPr>
                <w:rFonts w:ascii="Arial" w:hAnsi="Arial" w:cs="Arial"/>
                <w:i/>
                <w:color w:val="000000"/>
                <w:sz w:val="18"/>
                <w:szCs w:val="18"/>
                <w:lang w:val="es-ES" w:eastAsia="es-ES"/>
              </w:rPr>
              <w:t>289.839</w:t>
            </w:r>
          </w:p>
        </w:tc>
        <w:tc>
          <w:tcPr>
            <w:tcW w:w="1170" w:type="dxa"/>
            <w:tcBorders>
              <w:top w:val="single" w:sz="2" w:space="0" w:color="auto"/>
              <w:bottom w:val="single" w:sz="2" w:space="0" w:color="auto"/>
            </w:tcBorders>
            <w:vAlign w:val="center"/>
          </w:tcPr>
          <w:p w:rsidR="00B01865" w:rsidRPr="00B01865" w:rsidRDefault="00B01865" w:rsidP="00B01865">
            <w:pPr>
              <w:spacing w:after="0"/>
              <w:ind w:firstLine="0"/>
              <w:jc w:val="right"/>
              <w:rPr>
                <w:rFonts w:ascii="Arial" w:hAnsi="Arial" w:cs="Arial"/>
                <w:i/>
                <w:color w:val="000000"/>
                <w:sz w:val="18"/>
                <w:szCs w:val="18"/>
                <w:lang w:val="es-ES" w:eastAsia="es-ES"/>
              </w:rPr>
            </w:pPr>
            <w:r w:rsidRPr="00B01865">
              <w:rPr>
                <w:rFonts w:ascii="Arial" w:hAnsi="Arial" w:cs="Arial"/>
                <w:i/>
                <w:color w:val="000000"/>
                <w:sz w:val="18"/>
                <w:szCs w:val="18"/>
                <w:lang w:val="es-ES" w:eastAsia="es-ES"/>
              </w:rPr>
              <w:t>-17</w:t>
            </w:r>
          </w:p>
        </w:tc>
      </w:tr>
      <w:tr w:rsidR="00B01865" w:rsidRPr="00B01865" w:rsidTr="00B01865">
        <w:trPr>
          <w:trHeight w:val="255"/>
          <w:jc w:val="center"/>
        </w:trPr>
        <w:tc>
          <w:tcPr>
            <w:tcW w:w="4717" w:type="dxa"/>
            <w:tcBorders>
              <w:top w:val="single" w:sz="2" w:space="0" w:color="auto"/>
              <w:bottom w:val="single" w:sz="4" w:space="0" w:color="auto"/>
            </w:tcBorders>
            <w:shd w:val="clear" w:color="auto" w:fill="8DB3E2" w:themeFill="text2" w:themeFillTint="66"/>
            <w:vAlign w:val="center"/>
          </w:tcPr>
          <w:p w:rsidR="00B01865" w:rsidRPr="00B01865" w:rsidRDefault="00B01865" w:rsidP="00AA133D">
            <w:pPr>
              <w:keepLines/>
              <w:tabs>
                <w:tab w:val="right" w:pos="2835"/>
                <w:tab w:val="right" w:pos="3969"/>
                <w:tab w:val="right" w:pos="5103"/>
                <w:tab w:val="right" w:pos="6237"/>
                <w:tab w:val="right" w:pos="7371"/>
              </w:tabs>
              <w:spacing w:after="0"/>
              <w:ind w:firstLine="0"/>
              <w:rPr>
                <w:rFonts w:ascii="Arial" w:hAnsi="Arial"/>
                <w:spacing w:val="6"/>
                <w:sz w:val="18"/>
                <w:szCs w:val="24"/>
                <w:lang w:val="es-ES" w:eastAsia="es-ES"/>
              </w:rPr>
            </w:pPr>
            <w:r w:rsidRPr="00B01865">
              <w:rPr>
                <w:rFonts w:ascii="Arial" w:hAnsi="Arial"/>
                <w:spacing w:val="6"/>
                <w:sz w:val="18"/>
                <w:szCs w:val="24"/>
                <w:lang w:val="es-ES" w:eastAsia="es-ES"/>
              </w:rPr>
              <w:t xml:space="preserve">Total </w:t>
            </w:r>
            <w:r w:rsidR="00AA133D">
              <w:rPr>
                <w:rFonts w:ascii="Arial" w:hAnsi="Arial"/>
                <w:spacing w:val="6"/>
                <w:sz w:val="18"/>
                <w:szCs w:val="24"/>
                <w:lang w:val="es-ES" w:eastAsia="es-ES"/>
              </w:rPr>
              <w:t>e</w:t>
            </w:r>
            <w:r w:rsidRPr="00B01865">
              <w:rPr>
                <w:rFonts w:ascii="Arial" w:hAnsi="Arial"/>
                <w:spacing w:val="6"/>
                <w:sz w:val="18"/>
                <w:szCs w:val="24"/>
                <w:lang w:val="es-ES" w:eastAsia="es-ES"/>
              </w:rPr>
              <w:t>ndeudamiento (A+B)</w:t>
            </w:r>
          </w:p>
        </w:tc>
        <w:tc>
          <w:tcPr>
            <w:tcW w:w="1488" w:type="dxa"/>
            <w:tcBorders>
              <w:top w:val="single" w:sz="2"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lang w:val="es-ES" w:eastAsia="es-ES"/>
              </w:rPr>
            </w:pPr>
            <w:r w:rsidRPr="00B01865">
              <w:rPr>
                <w:rFonts w:ascii="Arial" w:hAnsi="Arial"/>
                <w:spacing w:val="6"/>
                <w:sz w:val="18"/>
                <w:szCs w:val="24"/>
                <w:lang w:val="es-ES" w:eastAsia="es-ES"/>
              </w:rPr>
              <w:t>3.057.559</w:t>
            </w:r>
          </w:p>
        </w:tc>
        <w:tc>
          <w:tcPr>
            <w:tcW w:w="1480"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3.258.098</w:t>
            </w:r>
          </w:p>
        </w:tc>
        <w:tc>
          <w:tcPr>
            <w:tcW w:w="1170" w:type="dxa"/>
            <w:tcBorders>
              <w:top w:val="single" w:sz="2" w:space="0" w:color="auto"/>
              <w:bottom w:val="single" w:sz="4" w:space="0" w:color="auto"/>
            </w:tcBorders>
            <w:shd w:val="clear" w:color="auto" w:fill="8DB3E2" w:themeFill="text2" w:themeFillTint="66"/>
            <w:vAlign w:val="center"/>
          </w:tcPr>
          <w:p w:rsidR="00B01865" w:rsidRPr="00B01865" w:rsidRDefault="00B01865" w:rsidP="00B01865">
            <w:pPr>
              <w:spacing w:after="0"/>
              <w:ind w:firstLine="0"/>
              <w:jc w:val="right"/>
              <w:rPr>
                <w:rFonts w:ascii="Arial" w:hAnsi="Arial" w:cs="Arial"/>
                <w:color w:val="000000"/>
                <w:sz w:val="18"/>
                <w:szCs w:val="18"/>
                <w:lang w:val="es-ES" w:eastAsia="es-ES"/>
              </w:rPr>
            </w:pPr>
            <w:r w:rsidRPr="00B01865">
              <w:rPr>
                <w:rFonts w:ascii="Arial" w:hAnsi="Arial" w:cs="Arial"/>
                <w:color w:val="000000"/>
                <w:sz w:val="18"/>
                <w:szCs w:val="18"/>
                <w:lang w:val="es-ES" w:eastAsia="es-ES"/>
              </w:rPr>
              <w:t>7</w:t>
            </w:r>
          </w:p>
        </w:tc>
      </w:tr>
    </w:tbl>
    <w:p w:rsidR="00B01865" w:rsidRPr="00B01865" w:rsidRDefault="00B01865" w:rsidP="00341B87">
      <w:pPr>
        <w:pStyle w:val="texto"/>
        <w:spacing w:before="200"/>
        <w:rPr>
          <w:lang w:val="es-ES"/>
        </w:rPr>
      </w:pPr>
      <w:r w:rsidRPr="00B01865">
        <w:rPr>
          <w:lang w:val="es-ES"/>
        </w:rPr>
        <w:t>De la revisión efectuada destacamos los siguientes puntos:</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El endeudamiento total se ha incrementado un siete por ciento (200,54 m</w:t>
      </w:r>
      <w:r w:rsidRPr="00B01865">
        <w:rPr>
          <w:rFonts w:cs="Arial"/>
          <w:spacing w:val="6"/>
          <w:sz w:val="26"/>
          <w:szCs w:val="24"/>
        </w:rPr>
        <w:t>i</w:t>
      </w:r>
      <w:r w:rsidRPr="00B01865">
        <w:rPr>
          <w:rFonts w:cs="Arial"/>
          <w:spacing w:val="6"/>
          <w:sz w:val="26"/>
          <w:szCs w:val="24"/>
        </w:rPr>
        <w:t xml:space="preserve">llones de euros). En 2017 el porcentaje de deuda pública sobre el total es del 50 por ciento frente al 58 por ciento que suponía en 2016 otorgando mayor peso relativo a los préstamos. </w:t>
      </w:r>
    </w:p>
    <w:p w:rsidR="00B01865" w:rsidRPr="00B01865" w:rsidRDefault="00B01865" w:rsidP="000C63BF">
      <w:pPr>
        <w:pStyle w:val="texto"/>
        <w:rPr>
          <w:lang w:val="es-ES"/>
        </w:rPr>
      </w:pPr>
      <w:r w:rsidRPr="00B01865">
        <w:rPr>
          <w:lang w:val="es-ES"/>
        </w:rPr>
        <w:t>En la Ley Foral 24/2016 de 28 de diciembre de Presupuestos Generales de Navarra para 2017, se estableció la posibilidad de formalizar operaciones de endeudamiento con la limitación de que el saldo vivo a 31 de diciembre de 2017 no superara en más de 97,60 millones de euros el saldo vivo a 1 de enero de 2016. Sin embargo, el artículo 17.2 establecía que esta cantidad podía s</w:t>
      </w:r>
      <w:r w:rsidRPr="00B01865">
        <w:rPr>
          <w:lang w:val="es-ES"/>
        </w:rPr>
        <w:t>u</w:t>
      </w:r>
      <w:r w:rsidRPr="00B01865">
        <w:rPr>
          <w:lang w:val="es-ES"/>
        </w:rPr>
        <w:t>perarse para realizar aquellas otras operaciones de endeudamiento que se co</w:t>
      </w:r>
      <w:r w:rsidRPr="00B01865">
        <w:rPr>
          <w:lang w:val="es-ES"/>
        </w:rPr>
        <w:t>n</w:t>
      </w:r>
      <w:r w:rsidRPr="00B01865">
        <w:rPr>
          <w:lang w:val="es-ES"/>
        </w:rPr>
        <w:t xml:space="preserve">vinieran entre el Gobierno de Navarra y el Ministerio de Hacienda, en el seno de lo dispuesto en el Convenio Económico y dentro de los límites que establece la regulación de la estabilidad presupuestaria. </w:t>
      </w:r>
    </w:p>
    <w:p w:rsidR="00B01865" w:rsidRPr="00B01865" w:rsidRDefault="00B01865" w:rsidP="000C63BF">
      <w:pPr>
        <w:pStyle w:val="texto"/>
        <w:rPr>
          <w:lang w:val="es-ES"/>
        </w:rPr>
      </w:pPr>
      <w:r w:rsidRPr="00B01865">
        <w:rPr>
          <w:lang w:val="es-ES"/>
        </w:rPr>
        <w:t>Las operaciones de endeudamiento realizadas por el Gobierno de Navarra que implicaron superar la cantidad citada fueron autorizadas por el Consejo de Ministros del Estado, cumpliendo por lo tanto con la normativa aplicable.</w:t>
      </w:r>
    </w:p>
    <w:p w:rsidR="00B01865" w:rsidRPr="00B01865" w:rsidRDefault="00B01865" w:rsidP="00FC4CBC">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El tipo de interés medio por tipo de endeudamiento concertado en 2017 y del endeudamiento total, es el siguiente:</w:t>
      </w:r>
    </w:p>
    <w:p w:rsidR="00B01865" w:rsidRPr="00B01865" w:rsidRDefault="00B01865" w:rsidP="00B01865">
      <w:pPr>
        <w:tabs>
          <w:tab w:val="center" w:pos="2835"/>
          <w:tab w:val="center" w:pos="3969"/>
          <w:tab w:val="center" w:pos="5103"/>
          <w:tab w:val="center" w:pos="6237"/>
          <w:tab w:val="center" w:pos="7371"/>
        </w:tabs>
        <w:spacing w:after="80"/>
        <w:ind w:right="11" w:firstLine="284"/>
        <w:jc w:val="right"/>
        <w:rPr>
          <w:rFonts w:ascii="Arial" w:hAnsi="Arial"/>
          <w:spacing w:val="6"/>
          <w:sz w:val="17"/>
          <w:szCs w:val="17"/>
          <w:lang w:val="es-ES"/>
        </w:rPr>
      </w:pPr>
      <w:r w:rsidRPr="00B01865">
        <w:rPr>
          <w:rFonts w:ascii="Arial" w:hAnsi="Arial"/>
          <w:spacing w:val="6"/>
          <w:sz w:val="17"/>
          <w:szCs w:val="17"/>
          <w:lang w:val="es-ES"/>
        </w:rPr>
        <w:t>(miles de euros)</w:t>
      </w:r>
    </w:p>
    <w:tbl>
      <w:tblPr>
        <w:tblW w:w="8856" w:type="dxa"/>
        <w:jc w:val="center"/>
        <w:tblLayout w:type="fixed"/>
        <w:tblLook w:val="01E0" w:firstRow="1" w:lastRow="1" w:firstColumn="1" w:lastColumn="1" w:noHBand="0" w:noVBand="0"/>
      </w:tblPr>
      <w:tblGrid>
        <w:gridCol w:w="3277"/>
        <w:gridCol w:w="1541"/>
        <w:gridCol w:w="1250"/>
        <w:gridCol w:w="1589"/>
        <w:gridCol w:w="1199"/>
      </w:tblGrid>
      <w:tr w:rsidR="00B01865" w:rsidRPr="00B01865" w:rsidTr="00341B87">
        <w:trPr>
          <w:trHeight w:val="255"/>
          <w:jc w:val="center"/>
        </w:trPr>
        <w:tc>
          <w:tcPr>
            <w:tcW w:w="3277"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Modalidad de endeudamiento</w:t>
            </w:r>
          </w:p>
        </w:tc>
        <w:tc>
          <w:tcPr>
            <w:tcW w:w="1541" w:type="dxa"/>
            <w:tcBorders>
              <w:top w:val="single" w:sz="4" w:space="0" w:color="auto"/>
              <w:left w:val="nil"/>
              <w:bottom w:val="single" w:sz="4" w:space="0" w:color="auto"/>
              <w:right w:val="nil"/>
            </w:tcBorders>
            <w:shd w:val="clear" w:color="auto" w:fill="8DB3E2" w:themeFill="text2" w:themeFillTint="66"/>
            <w:vAlign w:val="center"/>
          </w:tcPr>
          <w:p w:rsidR="00B14382" w:rsidRDefault="00B01865" w:rsidP="00341B87">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proofErr w:type="spellStart"/>
            <w:r w:rsidRPr="00B01865">
              <w:rPr>
                <w:rFonts w:ascii="Arial" w:hAnsi="Arial" w:cs="Arial"/>
                <w:spacing w:val="6"/>
                <w:sz w:val="18"/>
                <w:szCs w:val="24"/>
              </w:rPr>
              <w:t>Endeud</w:t>
            </w:r>
            <w:proofErr w:type="spellEnd"/>
            <w:r w:rsidR="00341B87">
              <w:rPr>
                <w:rFonts w:ascii="Arial" w:hAnsi="Arial" w:cs="Arial"/>
                <w:spacing w:val="6"/>
                <w:sz w:val="18"/>
                <w:szCs w:val="24"/>
              </w:rPr>
              <w:t>.</w:t>
            </w:r>
            <w:r w:rsidRPr="00B01865">
              <w:rPr>
                <w:rFonts w:ascii="Arial" w:hAnsi="Arial" w:cs="Arial"/>
                <w:spacing w:val="6"/>
                <w:sz w:val="18"/>
                <w:szCs w:val="24"/>
              </w:rPr>
              <w:t xml:space="preserve"> </w:t>
            </w:r>
          </w:p>
          <w:p w:rsidR="00B01865" w:rsidRPr="00B01865" w:rsidRDefault="00B01865" w:rsidP="00341B87">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B01865">
              <w:rPr>
                <w:rFonts w:ascii="Arial" w:hAnsi="Arial" w:cs="Arial"/>
                <w:spacing w:val="6"/>
                <w:sz w:val="18"/>
                <w:szCs w:val="24"/>
              </w:rPr>
              <w:t>concertado 2017</w:t>
            </w:r>
          </w:p>
        </w:tc>
        <w:tc>
          <w:tcPr>
            <w:tcW w:w="1250"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hanging="133"/>
              <w:jc w:val="right"/>
              <w:rPr>
                <w:rFonts w:ascii="Arial" w:hAnsi="Arial" w:cs="Arial"/>
                <w:spacing w:val="6"/>
                <w:sz w:val="18"/>
                <w:szCs w:val="24"/>
              </w:rPr>
            </w:pPr>
            <w:r w:rsidRPr="00B01865">
              <w:rPr>
                <w:rFonts w:ascii="Arial" w:hAnsi="Arial" w:cs="Arial"/>
                <w:spacing w:val="6"/>
                <w:sz w:val="18"/>
                <w:szCs w:val="24"/>
              </w:rPr>
              <w:t>Tipo interés medio 2017</w:t>
            </w:r>
          </w:p>
        </w:tc>
        <w:tc>
          <w:tcPr>
            <w:tcW w:w="1589"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341B87">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B01865">
              <w:rPr>
                <w:rFonts w:ascii="Arial" w:hAnsi="Arial" w:cs="Arial"/>
                <w:spacing w:val="6"/>
                <w:sz w:val="18"/>
                <w:szCs w:val="24"/>
              </w:rPr>
              <w:t xml:space="preserve">Total </w:t>
            </w:r>
            <w:proofErr w:type="spellStart"/>
            <w:r w:rsidR="00341B87">
              <w:rPr>
                <w:rFonts w:ascii="Arial" w:hAnsi="Arial" w:cs="Arial"/>
                <w:spacing w:val="6"/>
                <w:sz w:val="18"/>
                <w:szCs w:val="24"/>
              </w:rPr>
              <w:t>e</w:t>
            </w:r>
            <w:r w:rsidRPr="00B01865">
              <w:rPr>
                <w:rFonts w:ascii="Arial" w:hAnsi="Arial" w:cs="Arial"/>
                <w:spacing w:val="6"/>
                <w:sz w:val="18"/>
                <w:szCs w:val="24"/>
              </w:rPr>
              <w:t>ndeud</w:t>
            </w:r>
            <w:proofErr w:type="spellEnd"/>
            <w:r w:rsidR="00341B87">
              <w:rPr>
                <w:rFonts w:ascii="Arial" w:hAnsi="Arial" w:cs="Arial"/>
                <w:spacing w:val="6"/>
                <w:sz w:val="18"/>
                <w:szCs w:val="24"/>
              </w:rPr>
              <w:t>.</w:t>
            </w:r>
            <w:r w:rsidRPr="00B01865">
              <w:rPr>
                <w:rFonts w:ascii="Arial" w:hAnsi="Arial" w:cs="Arial"/>
                <w:spacing w:val="6"/>
                <w:sz w:val="18"/>
                <w:szCs w:val="24"/>
              </w:rPr>
              <w:t xml:space="preserve"> 31/12/2017</w:t>
            </w:r>
          </w:p>
        </w:tc>
        <w:tc>
          <w:tcPr>
            <w:tcW w:w="1199"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341B87">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B01865">
              <w:rPr>
                <w:rFonts w:ascii="Arial" w:hAnsi="Arial" w:cs="Arial"/>
                <w:spacing w:val="6"/>
                <w:sz w:val="18"/>
                <w:szCs w:val="24"/>
              </w:rPr>
              <w:t>Tipo interés</w:t>
            </w:r>
          </w:p>
          <w:p w:rsidR="00B01865" w:rsidRPr="00B01865" w:rsidRDefault="00B01865" w:rsidP="00B01865">
            <w:pPr>
              <w:keepLines/>
              <w:tabs>
                <w:tab w:val="right" w:pos="2835"/>
                <w:tab w:val="right" w:pos="3969"/>
                <w:tab w:val="right" w:pos="5103"/>
                <w:tab w:val="right" w:pos="6237"/>
                <w:tab w:val="right" w:pos="7371"/>
              </w:tabs>
              <w:spacing w:after="0"/>
              <w:ind w:hanging="127"/>
              <w:jc w:val="right"/>
              <w:rPr>
                <w:rFonts w:ascii="Arial" w:hAnsi="Arial" w:cs="Arial"/>
                <w:spacing w:val="6"/>
                <w:sz w:val="18"/>
                <w:szCs w:val="24"/>
              </w:rPr>
            </w:pPr>
            <w:r w:rsidRPr="00B01865">
              <w:rPr>
                <w:rFonts w:ascii="Arial" w:hAnsi="Arial" w:cs="Arial"/>
                <w:spacing w:val="6"/>
                <w:sz w:val="18"/>
                <w:szCs w:val="24"/>
              </w:rPr>
              <w:t xml:space="preserve"> medio</w:t>
            </w:r>
          </w:p>
        </w:tc>
      </w:tr>
      <w:tr w:rsidR="00B01865" w:rsidRPr="00B01865" w:rsidTr="00341B87">
        <w:trPr>
          <w:trHeight w:val="170"/>
          <w:jc w:val="center"/>
        </w:trPr>
        <w:tc>
          <w:tcPr>
            <w:tcW w:w="3277" w:type="dxa"/>
            <w:tcBorders>
              <w:top w:val="single" w:sz="4" w:space="0" w:color="auto"/>
              <w:left w:val="nil"/>
              <w:bottom w:val="single" w:sz="2" w:space="0" w:color="auto"/>
              <w:right w:val="nil"/>
            </w:tcBorders>
            <w:vAlign w:val="center"/>
          </w:tcPr>
          <w:p w:rsidR="00B01865" w:rsidRPr="00B01865" w:rsidRDefault="00B01865" w:rsidP="00B01865">
            <w:pPr>
              <w:spacing w:after="0"/>
              <w:ind w:firstLine="0"/>
              <w:jc w:val="left"/>
              <w:rPr>
                <w:rFonts w:ascii="Arial Narrow" w:hAnsi="Arial Narrow" w:cs="Arial"/>
                <w:lang w:eastAsia="es-ES"/>
              </w:rPr>
            </w:pPr>
            <w:r w:rsidRPr="00B01865">
              <w:rPr>
                <w:rFonts w:ascii="Arial Narrow" w:hAnsi="Arial Narrow" w:cs="Arial"/>
                <w:lang w:eastAsia="es-ES"/>
              </w:rPr>
              <w:t>Deuda Pública de Navarra</w:t>
            </w:r>
          </w:p>
        </w:tc>
        <w:tc>
          <w:tcPr>
            <w:tcW w:w="1541" w:type="dxa"/>
            <w:tcBorders>
              <w:top w:val="single" w:sz="4"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lang w:val="es-ES" w:eastAsia="es-ES"/>
              </w:rPr>
            </w:pPr>
            <w:r w:rsidRPr="00B01865">
              <w:rPr>
                <w:rFonts w:ascii="Arial Narrow" w:hAnsi="Arial Narrow" w:cs="Arial"/>
                <w:lang w:val="es-ES" w:eastAsia="es-ES"/>
              </w:rPr>
              <w:t>157.736</w:t>
            </w:r>
          </w:p>
        </w:tc>
        <w:tc>
          <w:tcPr>
            <w:tcW w:w="1250" w:type="dxa"/>
            <w:tcBorders>
              <w:top w:val="single" w:sz="4"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lang w:val="es-ES" w:eastAsia="es-ES"/>
              </w:rPr>
            </w:pPr>
            <w:r w:rsidRPr="00B01865">
              <w:rPr>
                <w:rFonts w:ascii="Arial Narrow" w:hAnsi="Arial Narrow" w:cs="Arial"/>
                <w:lang w:val="es-ES" w:eastAsia="es-ES"/>
              </w:rPr>
              <w:t>1,65</w:t>
            </w:r>
          </w:p>
        </w:tc>
        <w:tc>
          <w:tcPr>
            <w:tcW w:w="1589" w:type="dxa"/>
            <w:tcBorders>
              <w:top w:val="single" w:sz="4"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lang w:val="es-ES" w:eastAsia="es-ES"/>
              </w:rPr>
            </w:pPr>
            <w:r w:rsidRPr="00B01865">
              <w:rPr>
                <w:rFonts w:ascii="Arial Narrow" w:hAnsi="Arial Narrow" w:cs="Arial"/>
                <w:lang w:val="es-ES" w:eastAsia="es-ES"/>
              </w:rPr>
              <w:t>1.599.665</w:t>
            </w:r>
          </w:p>
        </w:tc>
        <w:tc>
          <w:tcPr>
            <w:tcW w:w="1199" w:type="dxa"/>
            <w:tcBorders>
              <w:top w:val="single" w:sz="4"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lang w:val="es-ES" w:eastAsia="es-ES"/>
              </w:rPr>
            </w:pPr>
            <w:r w:rsidRPr="00B01865">
              <w:rPr>
                <w:rFonts w:ascii="Arial Narrow" w:hAnsi="Arial Narrow" w:cs="Arial"/>
                <w:lang w:val="es-ES" w:eastAsia="es-ES"/>
              </w:rPr>
              <w:t>3,56</w:t>
            </w:r>
          </w:p>
        </w:tc>
      </w:tr>
      <w:tr w:rsidR="00B01865" w:rsidRPr="00B01865" w:rsidTr="00341B87">
        <w:trPr>
          <w:trHeight w:val="170"/>
          <w:jc w:val="center"/>
        </w:trPr>
        <w:tc>
          <w:tcPr>
            <w:tcW w:w="3277"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left"/>
              <w:rPr>
                <w:rFonts w:ascii="Arial Narrow" w:hAnsi="Arial Narrow" w:cs="Arial"/>
                <w:lang w:eastAsia="es-ES"/>
              </w:rPr>
            </w:pPr>
            <w:r w:rsidRPr="00B01865">
              <w:rPr>
                <w:rFonts w:ascii="Arial Narrow" w:hAnsi="Arial Narrow" w:cs="Arial"/>
                <w:lang w:eastAsia="es-ES"/>
              </w:rPr>
              <w:t>Préstamos entidades financieras</w:t>
            </w:r>
          </w:p>
        </w:tc>
        <w:tc>
          <w:tcPr>
            <w:tcW w:w="1541"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lang w:val="es-ES" w:eastAsia="es-ES"/>
              </w:rPr>
            </w:pPr>
            <w:r w:rsidRPr="00B01865">
              <w:rPr>
                <w:rFonts w:ascii="Arial Narrow" w:hAnsi="Arial Narrow" w:cs="Arial"/>
                <w:lang w:val="es-ES" w:eastAsia="es-ES"/>
              </w:rPr>
              <w:t>338.000</w:t>
            </w:r>
          </w:p>
        </w:tc>
        <w:tc>
          <w:tcPr>
            <w:tcW w:w="1250"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lang w:val="es-ES" w:eastAsia="es-ES"/>
              </w:rPr>
            </w:pPr>
            <w:r w:rsidRPr="00B01865">
              <w:rPr>
                <w:rFonts w:ascii="Arial Narrow" w:hAnsi="Arial Narrow" w:cs="Arial"/>
                <w:lang w:val="es-ES" w:eastAsia="es-ES"/>
              </w:rPr>
              <w:t>1,33</w:t>
            </w:r>
          </w:p>
        </w:tc>
        <w:tc>
          <w:tcPr>
            <w:tcW w:w="1589"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lang w:val="es-ES" w:eastAsia="es-ES"/>
              </w:rPr>
            </w:pPr>
            <w:r w:rsidRPr="00B01865">
              <w:rPr>
                <w:rFonts w:ascii="Arial Narrow" w:hAnsi="Arial Narrow" w:cs="Arial"/>
                <w:lang w:val="es-ES" w:eastAsia="es-ES"/>
              </w:rPr>
              <w:t>1.286.000</w:t>
            </w:r>
          </w:p>
        </w:tc>
        <w:tc>
          <w:tcPr>
            <w:tcW w:w="1199"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lang w:val="es-ES" w:eastAsia="es-ES"/>
              </w:rPr>
            </w:pPr>
            <w:r w:rsidRPr="00B01865">
              <w:rPr>
                <w:rFonts w:ascii="Arial Narrow" w:hAnsi="Arial Narrow" w:cs="Arial"/>
                <w:lang w:val="es-ES" w:eastAsia="es-ES"/>
              </w:rPr>
              <w:t>1,82</w:t>
            </w:r>
          </w:p>
        </w:tc>
      </w:tr>
      <w:tr w:rsidR="00B01865" w:rsidRPr="00B01865" w:rsidTr="00341B87">
        <w:trPr>
          <w:trHeight w:val="170"/>
          <w:jc w:val="center"/>
        </w:trPr>
        <w:tc>
          <w:tcPr>
            <w:tcW w:w="3277"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left"/>
              <w:rPr>
                <w:rFonts w:ascii="Arial Narrow" w:hAnsi="Arial Narrow" w:cs="Arial"/>
                <w:lang w:eastAsia="es-ES"/>
              </w:rPr>
            </w:pPr>
            <w:r w:rsidRPr="00B01865">
              <w:rPr>
                <w:rFonts w:ascii="Arial Narrow" w:hAnsi="Arial Narrow" w:cs="Arial"/>
                <w:lang w:eastAsia="es-ES"/>
              </w:rPr>
              <w:t>Préstamos Banco Europeo Inversiones</w:t>
            </w:r>
          </w:p>
        </w:tc>
        <w:tc>
          <w:tcPr>
            <w:tcW w:w="1541"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lang w:val="es-ES" w:eastAsia="es-ES"/>
              </w:rPr>
            </w:pPr>
            <w:r w:rsidRPr="00B01865">
              <w:rPr>
                <w:rFonts w:ascii="Arial Narrow" w:hAnsi="Arial Narrow" w:cs="Arial"/>
                <w:lang w:val="es-ES" w:eastAsia="es-ES"/>
              </w:rPr>
              <w:t>-</w:t>
            </w:r>
          </w:p>
        </w:tc>
        <w:tc>
          <w:tcPr>
            <w:tcW w:w="1250"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lang w:val="es-ES" w:eastAsia="es-ES"/>
              </w:rPr>
            </w:pPr>
            <w:r w:rsidRPr="00B01865">
              <w:rPr>
                <w:rFonts w:ascii="Arial Narrow" w:hAnsi="Arial Narrow" w:cs="Arial"/>
                <w:lang w:val="es-ES" w:eastAsia="es-ES"/>
              </w:rPr>
              <w:t>-</w:t>
            </w:r>
          </w:p>
        </w:tc>
        <w:tc>
          <w:tcPr>
            <w:tcW w:w="1589"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lang w:val="es-ES" w:eastAsia="es-ES"/>
              </w:rPr>
            </w:pPr>
            <w:r w:rsidRPr="00B01865">
              <w:rPr>
                <w:rFonts w:ascii="Arial Narrow" w:hAnsi="Arial Narrow" w:cs="Arial"/>
                <w:lang w:val="es-ES" w:eastAsia="es-ES"/>
              </w:rPr>
              <w:t>300.000</w:t>
            </w:r>
          </w:p>
        </w:tc>
        <w:tc>
          <w:tcPr>
            <w:tcW w:w="1199"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lang w:val="es-ES" w:eastAsia="es-ES"/>
              </w:rPr>
            </w:pPr>
            <w:r w:rsidRPr="00B01865">
              <w:rPr>
                <w:rFonts w:ascii="Arial Narrow" w:hAnsi="Arial Narrow" w:cs="Arial"/>
                <w:lang w:val="es-ES" w:eastAsia="es-ES"/>
              </w:rPr>
              <w:t>1,42</w:t>
            </w:r>
          </w:p>
        </w:tc>
      </w:tr>
      <w:tr w:rsidR="00B01865" w:rsidRPr="00B01865" w:rsidTr="00341B87">
        <w:trPr>
          <w:trHeight w:val="170"/>
          <w:jc w:val="center"/>
        </w:trPr>
        <w:tc>
          <w:tcPr>
            <w:tcW w:w="3277"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left"/>
              <w:rPr>
                <w:rFonts w:ascii="Arial Narrow" w:hAnsi="Arial Narrow" w:cs="Arial"/>
                <w:lang w:eastAsia="es-ES"/>
              </w:rPr>
            </w:pPr>
            <w:r w:rsidRPr="00B01865">
              <w:rPr>
                <w:rFonts w:ascii="Arial Narrow" w:hAnsi="Arial Narrow" w:cs="Arial"/>
                <w:lang w:eastAsia="es-ES"/>
              </w:rPr>
              <w:t>Préstamo Seguridad Social</w:t>
            </w:r>
          </w:p>
        </w:tc>
        <w:tc>
          <w:tcPr>
            <w:tcW w:w="1541"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lang w:val="es-ES" w:eastAsia="es-ES"/>
              </w:rPr>
            </w:pPr>
            <w:r w:rsidRPr="00B01865">
              <w:rPr>
                <w:rFonts w:ascii="Arial Narrow" w:hAnsi="Arial Narrow" w:cs="Arial"/>
                <w:lang w:val="es-ES" w:eastAsia="es-ES"/>
              </w:rPr>
              <w:t>-</w:t>
            </w:r>
          </w:p>
        </w:tc>
        <w:tc>
          <w:tcPr>
            <w:tcW w:w="1250"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lang w:val="es-ES" w:eastAsia="es-ES"/>
              </w:rPr>
            </w:pPr>
            <w:r w:rsidRPr="00B01865">
              <w:rPr>
                <w:rFonts w:ascii="Arial Narrow" w:hAnsi="Arial Narrow" w:cs="Arial"/>
                <w:lang w:val="es-ES" w:eastAsia="es-ES"/>
              </w:rPr>
              <w:t>-</w:t>
            </w:r>
          </w:p>
        </w:tc>
        <w:tc>
          <w:tcPr>
            <w:tcW w:w="1589"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lang w:val="es-ES" w:eastAsia="es-ES"/>
              </w:rPr>
            </w:pPr>
            <w:r w:rsidRPr="00B01865">
              <w:rPr>
                <w:rFonts w:ascii="Arial Narrow" w:hAnsi="Arial Narrow" w:cs="Arial"/>
                <w:lang w:val="es-ES" w:eastAsia="es-ES"/>
              </w:rPr>
              <w:t>9.590</w:t>
            </w:r>
          </w:p>
        </w:tc>
        <w:tc>
          <w:tcPr>
            <w:tcW w:w="1199" w:type="dxa"/>
            <w:tcBorders>
              <w:top w:val="single" w:sz="2" w:space="0" w:color="auto"/>
              <w:left w:val="nil"/>
              <w:bottom w:val="single" w:sz="2" w:space="0" w:color="auto"/>
              <w:right w:val="nil"/>
            </w:tcBorders>
            <w:vAlign w:val="center"/>
          </w:tcPr>
          <w:p w:rsidR="00B01865" w:rsidRPr="00B01865" w:rsidRDefault="00B01865" w:rsidP="00B01865">
            <w:pPr>
              <w:spacing w:after="0"/>
              <w:ind w:hanging="127"/>
              <w:jc w:val="right"/>
              <w:rPr>
                <w:rFonts w:ascii="Arial Narrow" w:hAnsi="Arial Narrow" w:cs="Arial"/>
                <w:lang w:val="es-ES" w:eastAsia="es-ES"/>
              </w:rPr>
            </w:pPr>
            <w:r w:rsidRPr="00B01865">
              <w:rPr>
                <w:rFonts w:ascii="Arial Narrow" w:hAnsi="Arial Narrow" w:cs="Arial"/>
                <w:lang w:val="es-ES" w:eastAsia="es-ES"/>
              </w:rPr>
              <w:t>0</w:t>
            </w:r>
          </w:p>
        </w:tc>
      </w:tr>
      <w:tr w:rsidR="00B01865" w:rsidRPr="00B01865" w:rsidTr="00341B87">
        <w:trPr>
          <w:trHeight w:val="170"/>
          <w:jc w:val="center"/>
        </w:trPr>
        <w:tc>
          <w:tcPr>
            <w:tcW w:w="3277" w:type="dxa"/>
            <w:tcBorders>
              <w:top w:val="single" w:sz="2" w:space="0" w:color="auto"/>
              <w:left w:val="nil"/>
              <w:bottom w:val="single" w:sz="4" w:space="0" w:color="auto"/>
              <w:right w:val="nil"/>
            </w:tcBorders>
            <w:vAlign w:val="center"/>
          </w:tcPr>
          <w:p w:rsidR="00B01865" w:rsidRPr="00B01865" w:rsidRDefault="00B01865" w:rsidP="00B01865">
            <w:pPr>
              <w:spacing w:after="0"/>
              <w:ind w:firstLine="0"/>
              <w:jc w:val="left"/>
              <w:rPr>
                <w:rFonts w:ascii="Arial Narrow" w:hAnsi="Arial Narrow" w:cs="Arial"/>
                <w:lang w:eastAsia="es-ES"/>
              </w:rPr>
            </w:pPr>
            <w:r w:rsidRPr="00B01865">
              <w:rPr>
                <w:rFonts w:ascii="Arial Narrow" w:hAnsi="Arial Narrow" w:cs="Arial"/>
                <w:lang w:eastAsia="es-ES"/>
              </w:rPr>
              <w:t>Préstamos otro Sector Público</w:t>
            </w:r>
          </w:p>
        </w:tc>
        <w:tc>
          <w:tcPr>
            <w:tcW w:w="1541" w:type="dxa"/>
            <w:tcBorders>
              <w:top w:val="single" w:sz="2" w:space="0" w:color="auto"/>
              <w:left w:val="nil"/>
              <w:bottom w:val="single" w:sz="4" w:space="0" w:color="auto"/>
              <w:right w:val="nil"/>
            </w:tcBorders>
            <w:vAlign w:val="center"/>
          </w:tcPr>
          <w:p w:rsidR="00B01865" w:rsidRPr="00B01865" w:rsidRDefault="00B01865" w:rsidP="00B01865">
            <w:pPr>
              <w:spacing w:after="0"/>
              <w:ind w:hanging="127"/>
              <w:jc w:val="right"/>
              <w:rPr>
                <w:rFonts w:ascii="Arial Narrow" w:hAnsi="Arial Narrow" w:cs="Arial"/>
                <w:lang w:val="es-ES" w:eastAsia="es-ES"/>
              </w:rPr>
            </w:pPr>
            <w:r w:rsidRPr="00B01865">
              <w:rPr>
                <w:rFonts w:ascii="Arial Narrow" w:hAnsi="Arial Narrow" w:cs="Arial"/>
                <w:lang w:val="es-ES" w:eastAsia="es-ES"/>
              </w:rPr>
              <w:t>2.266</w:t>
            </w:r>
          </w:p>
        </w:tc>
        <w:tc>
          <w:tcPr>
            <w:tcW w:w="1250" w:type="dxa"/>
            <w:tcBorders>
              <w:top w:val="single" w:sz="2" w:space="0" w:color="auto"/>
              <w:left w:val="nil"/>
              <w:bottom w:val="single" w:sz="4" w:space="0" w:color="auto"/>
              <w:right w:val="nil"/>
            </w:tcBorders>
            <w:vAlign w:val="center"/>
          </w:tcPr>
          <w:p w:rsidR="00B01865" w:rsidRPr="00B01865" w:rsidRDefault="00B01865" w:rsidP="00B01865">
            <w:pPr>
              <w:spacing w:after="0"/>
              <w:ind w:hanging="127"/>
              <w:jc w:val="right"/>
              <w:rPr>
                <w:rFonts w:ascii="Arial Narrow" w:hAnsi="Arial Narrow" w:cs="Arial"/>
                <w:lang w:val="es-ES" w:eastAsia="es-ES"/>
              </w:rPr>
            </w:pPr>
            <w:r w:rsidRPr="00B01865">
              <w:rPr>
                <w:rFonts w:ascii="Arial Narrow" w:hAnsi="Arial Narrow" w:cs="Arial"/>
                <w:lang w:val="es-ES" w:eastAsia="es-ES"/>
              </w:rPr>
              <w:t>0</w:t>
            </w:r>
          </w:p>
        </w:tc>
        <w:tc>
          <w:tcPr>
            <w:tcW w:w="1589" w:type="dxa"/>
            <w:tcBorders>
              <w:top w:val="single" w:sz="2" w:space="0" w:color="auto"/>
              <w:left w:val="nil"/>
              <w:bottom w:val="single" w:sz="4" w:space="0" w:color="auto"/>
              <w:right w:val="nil"/>
            </w:tcBorders>
            <w:vAlign w:val="center"/>
          </w:tcPr>
          <w:p w:rsidR="00B01865" w:rsidRPr="00B01865" w:rsidRDefault="00B01865" w:rsidP="00B01865">
            <w:pPr>
              <w:spacing w:after="0"/>
              <w:ind w:hanging="127"/>
              <w:jc w:val="right"/>
              <w:rPr>
                <w:rFonts w:ascii="Arial Narrow" w:hAnsi="Arial Narrow" w:cs="Arial"/>
                <w:lang w:val="es-ES" w:eastAsia="es-ES"/>
              </w:rPr>
            </w:pPr>
            <w:r w:rsidRPr="00B01865">
              <w:rPr>
                <w:rFonts w:ascii="Arial Narrow" w:hAnsi="Arial Narrow" w:cs="Arial"/>
                <w:lang w:val="es-ES" w:eastAsia="es-ES"/>
              </w:rPr>
              <w:t>13.110</w:t>
            </w:r>
          </w:p>
        </w:tc>
        <w:tc>
          <w:tcPr>
            <w:tcW w:w="1199" w:type="dxa"/>
            <w:tcBorders>
              <w:top w:val="single" w:sz="2" w:space="0" w:color="auto"/>
              <w:left w:val="nil"/>
              <w:bottom w:val="single" w:sz="4" w:space="0" w:color="auto"/>
              <w:right w:val="nil"/>
            </w:tcBorders>
            <w:vAlign w:val="center"/>
          </w:tcPr>
          <w:p w:rsidR="00B01865" w:rsidRPr="00B01865" w:rsidRDefault="00B01865" w:rsidP="00B01865">
            <w:pPr>
              <w:spacing w:after="0"/>
              <w:ind w:hanging="127"/>
              <w:jc w:val="right"/>
              <w:rPr>
                <w:rFonts w:ascii="Arial Narrow" w:hAnsi="Arial Narrow" w:cs="Arial"/>
                <w:lang w:val="es-ES" w:eastAsia="es-ES"/>
              </w:rPr>
            </w:pPr>
            <w:r w:rsidRPr="00B01865">
              <w:rPr>
                <w:rFonts w:ascii="Arial Narrow" w:hAnsi="Arial Narrow" w:cs="Arial"/>
                <w:lang w:val="es-ES" w:eastAsia="es-ES"/>
              </w:rPr>
              <w:t>0</w:t>
            </w:r>
          </w:p>
        </w:tc>
      </w:tr>
      <w:tr w:rsidR="00B01865" w:rsidRPr="00B01865" w:rsidTr="00341B87">
        <w:trPr>
          <w:trHeight w:val="255"/>
          <w:jc w:val="center"/>
        </w:trPr>
        <w:tc>
          <w:tcPr>
            <w:tcW w:w="3277"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3969"/>
                <w:tab w:val="right" w:pos="5103"/>
                <w:tab w:val="right" w:pos="6237"/>
                <w:tab w:val="right" w:pos="7371"/>
              </w:tabs>
              <w:spacing w:after="0"/>
              <w:ind w:firstLine="0"/>
              <w:jc w:val="left"/>
              <w:rPr>
                <w:rFonts w:ascii="Arial" w:hAnsi="Arial"/>
                <w:spacing w:val="6"/>
                <w:sz w:val="16"/>
                <w:szCs w:val="16"/>
              </w:rPr>
            </w:pPr>
            <w:r w:rsidRPr="00B01865">
              <w:rPr>
                <w:rFonts w:ascii="Arial" w:hAnsi="Arial" w:cs="Arial"/>
                <w:spacing w:val="6"/>
                <w:sz w:val="18"/>
                <w:szCs w:val="24"/>
              </w:rPr>
              <w:t>Total endeudamiento</w:t>
            </w:r>
          </w:p>
        </w:tc>
        <w:tc>
          <w:tcPr>
            <w:tcW w:w="1541"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hanging="127"/>
              <w:jc w:val="right"/>
              <w:rPr>
                <w:rFonts w:ascii="Arial" w:hAnsi="Arial"/>
                <w:spacing w:val="6"/>
                <w:sz w:val="18"/>
                <w:szCs w:val="24"/>
                <w:lang w:val="es-ES" w:eastAsia="es-ES"/>
              </w:rPr>
            </w:pPr>
            <w:r w:rsidRPr="00B01865">
              <w:rPr>
                <w:rFonts w:ascii="Arial" w:hAnsi="Arial"/>
                <w:spacing w:val="6"/>
                <w:sz w:val="18"/>
                <w:szCs w:val="24"/>
                <w:lang w:val="es-ES" w:eastAsia="es-ES"/>
              </w:rPr>
              <w:t>498.002</w:t>
            </w:r>
          </w:p>
        </w:tc>
        <w:tc>
          <w:tcPr>
            <w:tcW w:w="1250"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hanging="127"/>
              <w:jc w:val="right"/>
              <w:rPr>
                <w:rFonts w:ascii="Arial" w:hAnsi="Arial"/>
                <w:spacing w:val="6"/>
                <w:sz w:val="18"/>
                <w:szCs w:val="24"/>
                <w:lang w:val="es-ES" w:eastAsia="es-ES"/>
              </w:rPr>
            </w:pPr>
            <w:r w:rsidRPr="00B01865">
              <w:rPr>
                <w:rFonts w:ascii="Arial" w:hAnsi="Arial"/>
                <w:spacing w:val="6"/>
                <w:sz w:val="18"/>
                <w:szCs w:val="24"/>
                <w:lang w:val="es-ES" w:eastAsia="es-ES"/>
              </w:rPr>
              <w:t>1,44</w:t>
            </w:r>
          </w:p>
        </w:tc>
        <w:tc>
          <w:tcPr>
            <w:tcW w:w="1589"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hanging="127"/>
              <w:jc w:val="right"/>
              <w:rPr>
                <w:rFonts w:ascii="Arial" w:hAnsi="Arial"/>
                <w:spacing w:val="6"/>
                <w:sz w:val="18"/>
                <w:szCs w:val="24"/>
                <w:lang w:val="es-ES" w:eastAsia="es-ES"/>
              </w:rPr>
            </w:pPr>
            <w:r w:rsidRPr="00B01865">
              <w:rPr>
                <w:rFonts w:ascii="Arial" w:hAnsi="Arial"/>
                <w:spacing w:val="6"/>
                <w:sz w:val="18"/>
                <w:szCs w:val="24"/>
                <w:lang w:val="es-ES" w:eastAsia="es-ES"/>
              </w:rPr>
              <w:t>3.208.364</w:t>
            </w:r>
          </w:p>
        </w:tc>
        <w:tc>
          <w:tcPr>
            <w:tcW w:w="1199"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hanging="127"/>
              <w:jc w:val="right"/>
              <w:rPr>
                <w:rFonts w:ascii="Arial" w:hAnsi="Arial"/>
                <w:spacing w:val="6"/>
                <w:sz w:val="18"/>
                <w:szCs w:val="24"/>
                <w:lang w:val="es-ES" w:eastAsia="es-ES"/>
              </w:rPr>
            </w:pPr>
            <w:r w:rsidRPr="00B01865">
              <w:rPr>
                <w:rFonts w:ascii="Arial" w:hAnsi="Arial"/>
                <w:spacing w:val="6"/>
                <w:sz w:val="18"/>
                <w:szCs w:val="24"/>
                <w:lang w:val="es-ES" w:eastAsia="es-ES"/>
              </w:rPr>
              <w:t>2,63</w:t>
            </w:r>
          </w:p>
        </w:tc>
      </w:tr>
    </w:tbl>
    <w:p w:rsidR="00B01865" w:rsidRPr="00B01865" w:rsidRDefault="00B01865" w:rsidP="000C63BF">
      <w:pPr>
        <w:pStyle w:val="texto"/>
        <w:spacing w:before="240"/>
      </w:pPr>
      <w:r w:rsidRPr="00B01865">
        <w:lastRenderedPageBreak/>
        <w:t>Como se observa, el tipo de interés medio de la deuda instrumentalizada en préstamos es notablemente inferior al de deuda pública.</w:t>
      </w:r>
    </w:p>
    <w:p w:rsidR="00B01865" w:rsidRPr="00B01865" w:rsidRDefault="00B01865" w:rsidP="000C63BF">
      <w:pPr>
        <w:pStyle w:val="texto"/>
      </w:pPr>
      <w:r w:rsidRPr="00B01865">
        <w:t>El tipo de interés medio global de la deuda en 2017 se ha reducido respecto al ejercicio de 2016, del 2,92 al 2,63 por ciento.</w:t>
      </w:r>
    </w:p>
    <w:p w:rsidR="00B01865" w:rsidRPr="00B01865" w:rsidRDefault="00B01865" w:rsidP="000C63BF">
      <w:pPr>
        <w:numPr>
          <w:ilvl w:val="0"/>
          <w:numId w:val="2"/>
        </w:numPr>
        <w:tabs>
          <w:tab w:val="clear" w:pos="1948"/>
          <w:tab w:val="num" w:pos="300"/>
          <w:tab w:val="num" w:pos="360"/>
          <w:tab w:val="left" w:pos="480"/>
          <w:tab w:val="num" w:pos="600"/>
          <w:tab w:val="num" w:pos="720"/>
          <w:tab w:val="num" w:pos="1320"/>
        </w:tabs>
        <w:spacing w:after="240"/>
        <w:ind w:left="0" w:firstLine="289"/>
        <w:rPr>
          <w:rFonts w:cs="Arial"/>
          <w:spacing w:val="6"/>
          <w:sz w:val="26"/>
          <w:szCs w:val="24"/>
        </w:rPr>
      </w:pPr>
      <w:r w:rsidRPr="00B01865">
        <w:rPr>
          <w:rFonts w:cs="Arial"/>
          <w:spacing w:val="6"/>
          <w:sz w:val="26"/>
          <w:szCs w:val="24"/>
        </w:rPr>
        <w:t>La evolución de la carga financiera (capítulo 3 y 9 de presupuesto) deriv</w:t>
      </w:r>
      <w:r w:rsidRPr="00B01865">
        <w:rPr>
          <w:rFonts w:cs="Arial"/>
          <w:spacing w:val="6"/>
          <w:sz w:val="26"/>
          <w:szCs w:val="24"/>
        </w:rPr>
        <w:t>a</w:t>
      </w:r>
      <w:r w:rsidRPr="00B01865">
        <w:rPr>
          <w:rFonts w:cs="Arial"/>
          <w:spacing w:val="6"/>
          <w:sz w:val="26"/>
          <w:szCs w:val="24"/>
        </w:rPr>
        <w:t>da del conjunto de la deuda del Gobierno de Navarra se muestra en el cuadro siguiente junto al porcentaje que representa sobre los ingresos corrientes:</w:t>
      </w:r>
    </w:p>
    <w:tbl>
      <w:tblPr>
        <w:tblW w:w="8837" w:type="dxa"/>
        <w:jc w:val="center"/>
        <w:tblInd w:w="109"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178"/>
        <w:gridCol w:w="943"/>
        <w:gridCol w:w="943"/>
        <w:gridCol w:w="943"/>
        <w:gridCol w:w="943"/>
        <w:gridCol w:w="943"/>
        <w:gridCol w:w="944"/>
      </w:tblGrid>
      <w:tr w:rsidR="00B01865" w:rsidRPr="00B01865" w:rsidTr="000C63BF">
        <w:trPr>
          <w:trHeight w:val="255"/>
          <w:jc w:val="center"/>
        </w:trPr>
        <w:tc>
          <w:tcPr>
            <w:tcW w:w="3178" w:type="dxa"/>
            <w:tcBorders>
              <w:top w:val="single" w:sz="4" w:space="0" w:color="auto"/>
              <w:left w:val="nil"/>
              <w:bottom w:val="single" w:sz="4" w:space="0" w:color="auto"/>
              <w:right w:val="nil"/>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center"/>
              <w:rPr>
                <w:rFonts w:ascii="Arial" w:hAnsi="Arial" w:cs="Arial"/>
                <w:spacing w:val="6"/>
                <w:sz w:val="18"/>
                <w:szCs w:val="24"/>
              </w:rPr>
            </w:pPr>
          </w:p>
        </w:tc>
        <w:tc>
          <w:tcPr>
            <w:tcW w:w="943"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0C63B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2012</w:t>
            </w:r>
          </w:p>
        </w:tc>
        <w:tc>
          <w:tcPr>
            <w:tcW w:w="943"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0C63B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2013</w:t>
            </w:r>
          </w:p>
        </w:tc>
        <w:tc>
          <w:tcPr>
            <w:tcW w:w="943"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0C63B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2014</w:t>
            </w:r>
          </w:p>
        </w:tc>
        <w:tc>
          <w:tcPr>
            <w:tcW w:w="943" w:type="dxa"/>
            <w:tcBorders>
              <w:top w:val="single" w:sz="4" w:space="0" w:color="auto"/>
              <w:left w:val="nil"/>
              <w:bottom w:val="single" w:sz="4" w:space="0" w:color="auto"/>
              <w:right w:val="nil"/>
            </w:tcBorders>
            <w:shd w:val="clear" w:color="auto" w:fill="8DB3E2" w:themeFill="text2" w:themeFillTint="66"/>
            <w:noWrap/>
            <w:vAlign w:val="center"/>
          </w:tcPr>
          <w:p w:rsidR="00B01865" w:rsidRPr="00B01865" w:rsidRDefault="00B01865" w:rsidP="000C63BF">
            <w:pPr>
              <w:keepLines/>
              <w:tabs>
                <w:tab w:val="right" w:pos="2835"/>
                <w:tab w:val="right" w:pos="3969"/>
                <w:tab w:val="right" w:pos="5103"/>
                <w:tab w:val="right" w:pos="6237"/>
                <w:tab w:val="right" w:pos="7371"/>
              </w:tabs>
              <w:spacing w:after="0"/>
              <w:ind w:right="-21" w:firstLine="0"/>
              <w:jc w:val="right"/>
              <w:rPr>
                <w:rFonts w:ascii="Arial" w:hAnsi="Arial" w:cs="Arial"/>
                <w:spacing w:val="6"/>
                <w:sz w:val="18"/>
                <w:szCs w:val="24"/>
              </w:rPr>
            </w:pPr>
            <w:r w:rsidRPr="00B01865">
              <w:rPr>
                <w:rFonts w:ascii="Arial" w:hAnsi="Arial" w:cs="Arial"/>
                <w:spacing w:val="6"/>
                <w:sz w:val="18"/>
                <w:szCs w:val="24"/>
              </w:rPr>
              <w:t>2015</w:t>
            </w:r>
          </w:p>
        </w:tc>
        <w:tc>
          <w:tcPr>
            <w:tcW w:w="943" w:type="dxa"/>
            <w:tcBorders>
              <w:top w:val="single" w:sz="4" w:space="0" w:color="auto"/>
              <w:left w:val="nil"/>
              <w:bottom w:val="single" w:sz="4" w:space="0" w:color="auto"/>
              <w:right w:val="nil"/>
            </w:tcBorders>
            <w:shd w:val="clear" w:color="auto" w:fill="8DB3E2" w:themeFill="text2" w:themeFillTint="66"/>
            <w:noWrap/>
            <w:vAlign w:val="center"/>
          </w:tcPr>
          <w:p w:rsidR="00B01865" w:rsidRPr="00B01865" w:rsidRDefault="00B01865" w:rsidP="000C63B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2016</w:t>
            </w:r>
          </w:p>
        </w:tc>
        <w:tc>
          <w:tcPr>
            <w:tcW w:w="944"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0C63BF">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2017</w:t>
            </w:r>
          </w:p>
        </w:tc>
      </w:tr>
      <w:tr w:rsidR="00B01865" w:rsidRPr="00B01865" w:rsidTr="000C63BF">
        <w:trPr>
          <w:trHeight w:val="198"/>
          <w:jc w:val="center"/>
        </w:trPr>
        <w:tc>
          <w:tcPr>
            <w:tcW w:w="3178" w:type="dxa"/>
            <w:tcBorders>
              <w:top w:val="single" w:sz="4" w:space="0" w:color="auto"/>
              <w:left w:val="nil"/>
              <w:bottom w:val="single" w:sz="2" w:space="0" w:color="auto"/>
              <w:right w:val="nil"/>
            </w:tcBorders>
            <w:noWrap/>
            <w:vAlign w:val="center"/>
          </w:tcPr>
          <w:p w:rsidR="00B01865" w:rsidRPr="00B01865" w:rsidRDefault="00B01865"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Carga financiera (en millones)</w:t>
            </w:r>
          </w:p>
        </w:tc>
        <w:tc>
          <w:tcPr>
            <w:tcW w:w="943" w:type="dxa"/>
            <w:tcBorders>
              <w:top w:val="single" w:sz="4" w:space="0" w:color="auto"/>
              <w:left w:val="nil"/>
              <w:bottom w:val="single" w:sz="2" w:space="0" w:color="auto"/>
              <w:right w:val="nil"/>
            </w:tcBorders>
            <w:vAlign w:val="center"/>
          </w:tcPr>
          <w:p w:rsidR="00B01865" w:rsidRPr="00B01865" w:rsidRDefault="00B01865" w:rsidP="000C63BF">
            <w:pPr>
              <w:spacing w:after="0"/>
              <w:ind w:firstLine="0"/>
              <w:jc w:val="right"/>
              <w:rPr>
                <w:rFonts w:ascii="Arial Narrow" w:hAnsi="Arial Narrow" w:cs="Arial"/>
                <w:lang w:val="es-ES" w:eastAsia="es-ES"/>
              </w:rPr>
            </w:pPr>
            <w:r w:rsidRPr="00B01865">
              <w:rPr>
                <w:rFonts w:ascii="Arial Narrow" w:hAnsi="Arial Narrow" w:cs="Arial"/>
                <w:lang w:val="es-ES" w:eastAsia="es-ES"/>
              </w:rPr>
              <w:t>200,30</w:t>
            </w:r>
          </w:p>
        </w:tc>
        <w:tc>
          <w:tcPr>
            <w:tcW w:w="943" w:type="dxa"/>
            <w:tcBorders>
              <w:top w:val="single" w:sz="4" w:space="0" w:color="auto"/>
              <w:left w:val="nil"/>
              <w:bottom w:val="single" w:sz="2" w:space="0" w:color="auto"/>
              <w:right w:val="nil"/>
            </w:tcBorders>
            <w:vAlign w:val="center"/>
          </w:tcPr>
          <w:p w:rsidR="00B01865" w:rsidRPr="00B01865" w:rsidRDefault="00B01865" w:rsidP="000C63BF">
            <w:pPr>
              <w:spacing w:after="0"/>
              <w:ind w:firstLine="0"/>
              <w:jc w:val="right"/>
              <w:rPr>
                <w:rFonts w:ascii="Arial Narrow" w:hAnsi="Arial Narrow" w:cs="Arial"/>
                <w:lang w:val="es-ES" w:eastAsia="es-ES"/>
              </w:rPr>
            </w:pPr>
            <w:r w:rsidRPr="00B01865">
              <w:rPr>
                <w:rFonts w:ascii="Arial Narrow" w:hAnsi="Arial Narrow" w:cs="Arial"/>
                <w:lang w:val="es-ES" w:eastAsia="es-ES"/>
              </w:rPr>
              <w:t>300,54</w:t>
            </w:r>
          </w:p>
        </w:tc>
        <w:tc>
          <w:tcPr>
            <w:tcW w:w="943" w:type="dxa"/>
            <w:tcBorders>
              <w:top w:val="single" w:sz="4" w:space="0" w:color="auto"/>
              <w:left w:val="nil"/>
              <w:bottom w:val="single" w:sz="2" w:space="0" w:color="auto"/>
              <w:right w:val="nil"/>
            </w:tcBorders>
            <w:vAlign w:val="center"/>
          </w:tcPr>
          <w:p w:rsidR="00B01865" w:rsidRPr="00B01865" w:rsidRDefault="00B01865" w:rsidP="000C63BF">
            <w:pPr>
              <w:spacing w:after="0"/>
              <w:ind w:firstLine="0"/>
              <w:jc w:val="right"/>
              <w:rPr>
                <w:rFonts w:ascii="Arial Narrow" w:hAnsi="Arial Narrow" w:cs="Arial"/>
                <w:lang w:val="es-ES" w:eastAsia="es-ES"/>
              </w:rPr>
            </w:pPr>
            <w:r w:rsidRPr="00B01865">
              <w:rPr>
                <w:rFonts w:ascii="Arial Narrow" w:hAnsi="Arial Narrow" w:cs="Arial"/>
                <w:lang w:val="es-ES" w:eastAsia="es-ES"/>
              </w:rPr>
              <w:t>401,48</w:t>
            </w:r>
          </w:p>
        </w:tc>
        <w:tc>
          <w:tcPr>
            <w:tcW w:w="943" w:type="dxa"/>
            <w:tcBorders>
              <w:top w:val="single" w:sz="4" w:space="0" w:color="auto"/>
              <w:left w:val="nil"/>
              <w:bottom w:val="single" w:sz="2" w:space="0" w:color="auto"/>
              <w:right w:val="nil"/>
            </w:tcBorders>
            <w:noWrap/>
            <w:vAlign w:val="center"/>
          </w:tcPr>
          <w:p w:rsidR="00B01865" w:rsidRPr="00B01865" w:rsidRDefault="00B01865" w:rsidP="000C63BF">
            <w:pPr>
              <w:spacing w:after="0"/>
              <w:ind w:right="-21" w:firstLine="0"/>
              <w:jc w:val="right"/>
              <w:rPr>
                <w:rFonts w:ascii="Arial Narrow" w:hAnsi="Arial Narrow" w:cs="Arial"/>
                <w:lang w:val="es-ES" w:eastAsia="es-ES"/>
              </w:rPr>
            </w:pPr>
            <w:r w:rsidRPr="00B01865">
              <w:rPr>
                <w:rFonts w:ascii="Arial Narrow" w:hAnsi="Arial Narrow" w:cs="Arial"/>
                <w:lang w:val="es-ES" w:eastAsia="es-ES"/>
              </w:rPr>
              <w:t>415,74</w:t>
            </w:r>
          </w:p>
        </w:tc>
        <w:tc>
          <w:tcPr>
            <w:tcW w:w="943" w:type="dxa"/>
            <w:tcBorders>
              <w:top w:val="single" w:sz="4" w:space="0" w:color="auto"/>
              <w:left w:val="nil"/>
              <w:bottom w:val="single" w:sz="2" w:space="0" w:color="auto"/>
              <w:right w:val="nil"/>
            </w:tcBorders>
            <w:noWrap/>
            <w:vAlign w:val="center"/>
          </w:tcPr>
          <w:p w:rsidR="00B01865" w:rsidRPr="00B01865" w:rsidRDefault="00B01865" w:rsidP="000C63BF">
            <w:pPr>
              <w:spacing w:after="0" w:line="276" w:lineRule="auto"/>
              <w:ind w:firstLine="0"/>
              <w:jc w:val="right"/>
              <w:rPr>
                <w:rFonts w:ascii="Arial Narrow" w:hAnsi="Arial Narrow" w:cs="Arial"/>
                <w:lang w:val="es-ES" w:eastAsia="es-ES"/>
              </w:rPr>
            </w:pPr>
            <w:r w:rsidRPr="00B01865">
              <w:rPr>
                <w:rFonts w:ascii="Arial Narrow" w:hAnsi="Arial Narrow" w:cs="Arial"/>
                <w:lang w:val="es-ES" w:eastAsia="es-ES"/>
              </w:rPr>
              <w:t>519,98</w:t>
            </w:r>
          </w:p>
        </w:tc>
        <w:tc>
          <w:tcPr>
            <w:tcW w:w="944" w:type="dxa"/>
            <w:tcBorders>
              <w:top w:val="single" w:sz="4" w:space="0" w:color="auto"/>
              <w:left w:val="nil"/>
              <w:bottom w:val="single" w:sz="2" w:space="0" w:color="auto"/>
              <w:right w:val="nil"/>
            </w:tcBorders>
            <w:vAlign w:val="center"/>
          </w:tcPr>
          <w:p w:rsidR="00B01865" w:rsidRPr="00B01865" w:rsidRDefault="00B01865" w:rsidP="000C63BF">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384,80</w:t>
            </w:r>
          </w:p>
        </w:tc>
      </w:tr>
      <w:tr w:rsidR="00B01865" w:rsidRPr="00B01865" w:rsidTr="000C63BF">
        <w:trPr>
          <w:trHeight w:val="198"/>
          <w:jc w:val="center"/>
        </w:trPr>
        <w:tc>
          <w:tcPr>
            <w:tcW w:w="3178" w:type="dxa"/>
            <w:tcBorders>
              <w:top w:val="single" w:sz="2" w:space="0" w:color="auto"/>
              <w:left w:val="nil"/>
              <w:bottom w:val="single" w:sz="2" w:space="0" w:color="auto"/>
              <w:right w:val="nil"/>
            </w:tcBorders>
            <w:noWrap/>
            <w:vAlign w:val="center"/>
          </w:tcPr>
          <w:p w:rsidR="00B01865" w:rsidRPr="00B01865" w:rsidRDefault="00B01865"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Índice</w:t>
            </w:r>
          </w:p>
        </w:tc>
        <w:tc>
          <w:tcPr>
            <w:tcW w:w="943" w:type="dxa"/>
            <w:tcBorders>
              <w:top w:val="single" w:sz="2" w:space="0" w:color="auto"/>
              <w:left w:val="nil"/>
              <w:bottom w:val="single" w:sz="2" w:space="0" w:color="auto"/>
              <w:right w:val="nil"/>
            </w:tcBorders>
            <w:vAlign w:val="center"/>
          </w:tcPr>
          <w:p w:rsidR="00B01865" w:rsidRPr="00B01865" w:rsidRDefault="00B01865" w:rsidP="000C63BF">
            <w:pPr>
              <w:spacing w:after="0"/>
              <w:ind w:firstLine="0"/>
              <w:jc w:val="right"/>
              <w:rPr>
                <w:rFonts w:ascii="Arial Narrow" w:hAnsi="Arial Narrow"/>
                <w:color w:val="000000"/>
              </w:rPr>
            </w:pPr>
            <w:r w:rsidRPr="00B01865">
              <w:rPr>
                <w:rFonts w:ascii="Arial Narrow" w:hAnsi="Arial Narrow"/>
                <w:color w:val="000000"/>
              </w:rPr>
              <w:t>100</w:t>
            </w:r>
          </w:p>
        </w:tc>
        <w:tc>
          <w:tcPr>
            <w:tcW w:w="943" w:type="dxa"/>
            <w:tcBorders>
              <w:top w:val="single" w:sz="2" w:space="0" w:color="auto"/>
              <w:left w:val="nil"/>
              <w:bottom w:val="single" w:sz="2" w:space="0" w:color="auto"/>
              <w:right w:val="nil"/>
            </w:tcBorders>
            <w:vAlign w:val="center"/>
          </w:tcPr>
          <w:p w:rsidR="00B01865" w:rsidRPr="00B01865" w:rsidRDefault="00B01865" w:rsidP="000C63BF">
            <w:pPr>
              <w:spacing w:after="0"/>
              <w:ind w:firstLine="0"/>
              <w:jc w:val="right"/>
              <w:rPr>
                <w:rFonts w:ascii="Arial Narrow" w:hAnsi="Arial Narrow"/>
                <w:color w:val="000000"/>
              </w:rPr>
            </w:pPr>
            <w:r w:rsidRPr="00B01865">
              <w:rPr>
                <w:rFonts w:ascii="Arial Narrow" w:hAnsi="Arial Narrow"/>
                <w:color w:val="000000"/>
              </w:rPr>
              <w:t>150</w:t>
            </w:r>
          </w:p>
        </w:tc>
        <w:tc>
          <w:tcPr>
            <w:tcW w:w="943" w:type="dxa"/>
            <w:tcBorders>
              <w:top w:val="single" w:sz="2" w:space="0" w:color="auto"/>
              <w:left w:val="nil"/>
              <w:bottom w:val="single" w:sz="2" w:space="0" w:color="auto"/>
              <w:right w:val="nil"/>
            </w:tcBorders>
            <w:vAlign w:val="center"/>
          </w:tcPr>
          <w:p w:rsidR="00B01865" w:rsidRPr="00B01865" w:rsidRDefault="00B01865" w:rsidP="000C63BF">
            <w:pPr>
              <w:spacing w:after="0"/>
              <w:ind w:firstLine="0"/>
              <w:jc w:val="right"/>
              <w:rPr>
                <w:rFonts w:ascii="Arial Narrow" w:hAnsi="Arial Narrow"/>
                <w:color w:val="000000"/>
              </w:rPr>
            </w:pPr>
            <w:r w:rsidRPr="00B01865">
              <w:rPr>
                <w:rFonts w:ascii="Arial Narrow" w:hAnsi="Arial Narrow"/>
                <w:color w:val="000000"/>
              </w:rPr>
              <w:t>200</w:t>
            </w:r>
          </w:p>
        </w:tc>
        <w:tc>
          <w:tcPr>
            <w:tcW w:w="943" w:type="dxa"/>
            <w:tcBorders>
              <w:top w:val="single" w:sz="2" w:space="0" w:color="auto"/>
              <w:left w:val="nil"/>
              <w:bottom w:val="single" w:sz="2" w:space="0" w:color="auto"/>
              <w:right w:val="nil"/>
            </w:tcBorders>
            <w:noWrap/>
            <w:vAlign w:val="center"/>
          </w:tcPr>
          <w:p w:rsidR="00B01865" w:rsidRPr="00B01865" w:rsidRDefault="00B01865" w:rsidP="000C63BF">
            <w:pPr>
              <w:spacing w:after="0"/>
              <w:ind w:right="-21" w:firstLine="0"/>
              <w:jc w:val="right"/>
              <w:rPr>
                <w:rFonts w:ascii="Arial Narrow" w:hAnsi="Arial Narrow"/>
                <w:color w:val="000000"/>
              </w:rPr>
            </w:pPr>
            <w:r w:rsidRPr="00B01865">
              <w:rPr>
                <w:rFonts w:ascii="Arial Narrow" w:hAnsi="Arial Narrow"/>
                <w:color w:val="000000"/>
              </w:rPr>
              <w:t>208</w:t>
            </w:r>
          </w:p>
        </w:tc>
        <w:tc>
          <w:tcPr>
            <w:tcW w:w="943" w:type="dxa"/>
            <w:tcBorders>
              <w:top w:val="single" w:sz="2" w:space="0" w:color="auto"/>
              <w:left w:val="nil"/>
              <w:bottom w:val="single" w:sz="2" w:space="0" w:color="auto"/>
              <w:right w:val="nil"/>
            </w:tcBorders>
            <w:noWrap/>
            <w:vAlign w:val="center"/>
          </w:tcPr>
          <w:p w:rsidR="00B01865" w:rsidRPr="00B01865" w:rsidRDefault="00B01865" w:rsidP="000C63BF">
            <w:pPr>
              <w:spacing w:after="0"/>
              <w:ind w:firstLine="0"/>
              <w:jc w:val="right"/>
              <w:rPr>
                <w:rFonts w:ascii="Arial Narrow" w:hAnsi="Arial Narrow"/>
                <w:color w:val="000000"/>
              </w:rPr>
            </w:pPr>
            <w:r w:rsidRPr="00B01865">
              <w:rPr>
                <w:rFonts w:ascii="Arial Narrow" w:hAnsi="Arial Narrow"/>
                <w:color w:val="000000"/>
              </w:rPr>
              <w:t>260</w:t>
            </w:r>
          </w:p>
        </w:tc>
        <w:tc>
          <w:tcPr>
            <w:tcW w:w="944" w:type="dxa"/>
            <w:tcBorders>
              <w:top w:val="single" w:sz="2" w:space="0" w:color="auto"/>
              <w:left w:val="nil"/>
              <w:bottom w:val="single" w:sz="2" w:space="0" w:color="auto"/>
              <w:right w:val="nil"/>
            </w:tcBorders>
            <w:vAlign w:val="center"/>
          </w:tcPr>
          <w:p w:rsidR="00B01865" w:rsidRPr="00B01865" w:rsidRDefault="00B01865" w:rsidP="000C63BF">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192</w:t>
            </w:r>
          </w:p>
        </w:tc>
      </w:tr>
      <w:tr w:rsidR="00B01865" w:rsidRPr="00B01865" w:rsidTr="000C63BF">
        <w:trPr>
          <w:trHeight w:val="198"/>
          <w:jc w:val="center"/>
        </w:trPr>
        <w:tc>
          <w:tcPr>
            <w:tcW w:w="3178" w:type="dxa"/>
            <w:tcBorders>
              <w:top w:val="single" w:sz="2" w:space="0" w:color="auto"/>
              <w:left w:val="nil"/>
              <w:bottom w:val="single" w:sz="4" w:space="0" w:color="auto"/>
              <w:right w:val="nil"/>
            </w:tcBorders>
            <w:noWrap/>
            <w:vAlign w:val="center"/>
          </w:tcPr>
          <w:p w:rsidR="00B01865" w:rsidRPr="00B01865" w:rsidRDefault="00B01865" w:rsidP="00B01865">
            <w:pPr>
              <w:spacing w:after="0"/>
              <w:ind w:firstLine="0"/>
              <w:jc w:val="left"/>
              <w:rPr>
                <w:rFonts w:ascii="Arial Narrow" w:hAnsi="Arial Narrow" w:cs="Arial"/>
                <w:lang w:val="es-ES" w:eastAsia="es-ES"/>
              </w:rPr>
            </w:pPr>
            <w:r w:rsidRPr="00B01865">
              <w:rPr>
                <w:rFonts w:ascii="Arial Narrow" w:hAnsi="Arial Narrow" w:cs="Arial"/>
                <w:lang w:val="es-ES" w:eastAsia="es-ES"/>
              </w:rPr>
              <w:t>Porcentaje sobre ingresos corrientes</w:t>
            </w:r>
          </w:p>
        </w:tc>
        <w:tc>
          <w:tcPr>
            <w:tcW w:w="943" w:type="dxa"/>
            <w:tcBorders>
              <w:top w:val="single" w:sz="2" w:space="0" w:color="auto"/>
              <w:left w:val="nil"/>
              <w:bottom w:val="single" w:sz="4" w:space="0" w:color="auto"/>
              <w:right w:val="nil"/>
            </w:tcBorders>
            <w:vAlign w:val="center"/>
          </w:tcPr>
          <w:p w:rsidR="00B01865" w:rsidRPr="00B01865" w:rsidRDefault="00B01865" w:rsidP="000C63BF">
            <w:pPr>
              <w:spacing w:after="0"/>
              <w:ind w:firstLine="0"/>
              <w:jc w:val="right"/>
              <w:rPr>
                <w:rFonts w:ascii="Arial Narrow" w:hAnsi="Arial Narrow" w:cs="Arial"/>
                <w:lang w:val="es-ES" w:eastAsia="es-ES"/>
              </w:rPr>
            </w:pPr>
            <w:r w:rsidRPr="00B01865">
              <w:rPr>
                <w:rFonts w:ascii="Arial Narrow" w:hAnsi="Arial Narrow" w:cs="Arial"/>
                <w:lang w:val="es-ES" w:eastAsia="es-ES"/>
              </w:rPr>
              <w:t>6</w:t>
            </w:r>
          </w:p>
        </w:tc>
        <w:tc>
          <w:tcPr>
            <w:tcW w:w="943" w:type="dxa"/>
            <w:tcBorders>
              <w:top w:val="single" w:sz="2" w:space="0" w:color="auto"/>
              <w:left w:val="nil"/>
              <w:bottom w:val="single" w:sz="4" w:space="0" w:color="auto"/>
              <w:right w:val="nil"/>
            </w:tcBorders>
            <w:vAlign w:val="center"/>
          </w:tcPr>
          <w:p w:rsidR="00B01865" w:rsidRPr="00B01865" w:rsidRDefault="00B01865" w:rsidP="000C63BF">
            <w:pPr>
              <w:spacing w:after="0"/>
              <w:ind w:firstLine="0"/>
              <w:jc w:val="right"/>
              <w:rPr>
                <w:rFonts w:ascii="Arial Narrow" w:hAnsi="Arial Narrow" w:cs="Arial"/>
                <w:lang w:val="es-ES" w:eastAsia="es-ES"/>
              </w:rPr>
            </w:pPr>
            <w:r w:rsidRPr="00B01865">
              <w:rPr>
                <w:rFonts w:ascii="Arial Narrow" w:hAnsi="Arial Narrow" w:cs="Arial"/>
                <w:lang w:val="es-ES" w:eastAsia="es-ES"/>
              </w:rPr>
              <w:t>9</w:t>
            </w:r>
          </w:p>
        </w:tc>
        <w:tc>
          <w:tcPr>
            <w:tcW w:w="943" w:type="dxa"/>
            <w:tcBorders>
              <w:top w:val="single" w:sz="2" w:space="0" w:color="auto"/>
              <w:left w:val="nil"/>
              <w:bottom w:val="single" w:sz="4" w:space="0" w:color="auto"/>
              <w:right w:val="nil"/>
            </w:tcBorders>
            <w:vAlign w:val="center"/>
          </w:tcPr>
          <w:p w:rsidR="00B01865" w:rsidRPr="00B01865" w:rsidRDefault="00B01865" w:rsidP="000C63BF">
            <w:pPr>
              <w:spacing w:after="0"/>
              <w:ind w:firstLine="0"/>
              <w:jc w:val="right"/>
              <w:rPr>
                <w:rFonts w:ascii="Arial Narrow" w:hAnsi="Arial Narrow" w:cs="Arial"/>
                <w:lang w:val="es-ES" w:eastAsia="es-ES"/>
              </w:rPr>
            </w:pPr>
            <w:r w:rsidRPr="00B01865">
              <w:rPr>
                <w:rFonts w:ascii="Arial Narrow" w:hAnsi="Arial Narrow" w:cs="Arial"/>
                <w:lang w:val="es-ES" w:eastAsia="es-ES"/>
              </w:rPr>
              <w:t>12</w:t>
            </w:r>
          </w:p>
        </w:tc>
        <w:tc>
          <w:tcPr>
            <w:tcW w:w="943" w:type="dxa"/>
            <w:tcBorders>
              <w:top w:val="single" w:sz="2" w:space="0" w:color="auto"/>
              <w:left w:val="nil"/>
              <w:bottom w:val="single" w:sz="4" w:space="0" w:color="auto"/>
              <w:right w:val="nil"/>
            </w:tcBorders>
            <w:noWrap/>
            <w:vAlign w:val="center"/>
          </w:tcPr>
          <w:p w:rsidR="00B01865" w:rsidRPr="00B01865" w:rsidRDefault="00B01865" w:rsidP="000C63BF">
            <w:pPr>
              <w:spacing w:after="0"/>
              <w:ind w:right="-21" w:firstLine="0"/>
              <w:jc w:val="right"/>
              <w:rPr>
                <w:rFonts w:ascii="Arial Narrow" w:hAnsi="Arial Narrow" w:cs="Arial"/>
                <w:lang w:val="es-ES" w:eastAsia="es-ES"/>
              </w:rPr>
            </w:pPr>
            <w:r w:rsidRPr="00B01865">
              <w:rPr>
                <w:rFonts w:ascii="Arial Narrow" w:hAnsi="Arial Narrow" w:cs="Arial"/>
                <w:lang w:val="es-ES" w:eastAsia="es-ES"/>
              </w:rPr>
              <w:t>13</w:t>
            </w:r>
          </w:p>
        </w:tc>
        <w:tc>
          <w:tcPr>
            <w:tcW w:w="943" w:type="dxa"/>
            <w:tcBorders>
              <w:top w:val="single" w:sz="2" w:space="0" w:color="auto"/>
              <w:left w:val="nil"/>
              <w:bottom w:val="single" w:sz="4" w:space="0" w:color="auto"/>
              <w:right w:val="nil"/>
            </w:tcBorders>
            <w:noWrap/>
            <w:vAlign w:val="center"/>
          </w:tcPr>
          <w:p w:rsidR="00B01865" w:rsidRPr="00B01865" w:rsidRDefault="00B01865" w:rsidP="000C63BF">
            <w:pPr>
              <w:spacing w:after="0" w:line="276" w:lineRule="auto"/>
              <w:ind w:firstLine="0"/>
              <w:jc w:val="right"/>
              <w:rPr>
                <w:rFonts w:ascii="Arial Narrow" w:hAnsi="Arial Narrow" w:cs="Arial"/>
                <w:lang w:val="es-ES" w:eastAsia="es-ES"/>
              </w:rPr>
            </w:pPr>
            <w:r w:rsidRPr="00B01865">
              <w:rPr>
                <w:rFonts w:ascii="Arial Narrow" w:hAnsi="Arial Narrow" w:cs="Arial"/>
                <w:lang w:val="es-ES" w:eastAsia="es-ES"/>
              </w:rPr>
              <w:t>15</w:t>
            </w:r>
          </w:p>
        </w:tc>
        <w:tc>
          <w:tcPr>
            <w:tcW w:w="944" w:type="dxa"/>
            <w:tcBorders>
              <w:top w:val="single" w:sz="2" w:space="0" w:color="auto"/>
              <w:left w:val="nil"/>
              <w:bottom w:val="single" w:sz="4" w:space="0" w:color="auto"/>
              <w:right w:val="nil"/>
            </w:tcBorders>
            <w:vAlign w:val="center"/>
          </w:tcPr>
          <w:p w:rsidR="00B01865" w:rsidRPr="00B01865" w:rsidRDefault="00B01865" w:rsidP="000C63BF">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10</w:t>
            </w:r>
          </w:p>
        </w:tc>
      </w:tr>
    </w:tbl>
    <w:p w:rsidR="000C63BF" w:rsidRDefault="00B01865" w:rsidP="00C715B8">
      <w:pPr>
        <w:pStyle w:val="texto"/>
        <w:spacing w:before="240"/>
        <w:rPr>
          <w:rFonts w:cs="Arial"/>
        </w:rPr>
      </w:pPr>
      <w:r w:rsidRPr="00B01865">
        <w:t xml:space="preserve">La carga financiera se ha incrementado en el periodo analizado en un 192 por ciento, con una bajada en 2017 frente al repunte que experimentó en 2016. </w:t>
      </w:r>
      <w:r w:rsidR="00C715B8">
        <w:t>El</w:t>
      </w:r>
      <w:r w:rsidRPr="00B01865">
        <w:t xml:space="preserve"> peso relativo sobre los ingresos corrientes también ha </w:t>
      </w:r>
      <w:r w:rsidR="00C715B8">
        <w:t>seguido esta tende</w:t>
      </w:r>
      <w:r w:rsidR="00C715B8">
        <w:t>n</w:t>
      </w:r>
      <w:r w:rsidR="00C715B8">
        <w:t>cia. Estos indicadores, como ya se ha indicado previamente, están condicion</w:t>
      </w:r>
      <w:r w:rsidR="00C715B8">
        <w:t>a</w:t>
      </w:r>
      <w:r w:rsidR="00C715B8">
        <w:t>dos de forma significativa por el calendario de amortización de la deuda que mostramos a continuación.</w:t>
      </w:r>
    </w:p>
    <w:p w:rsidR="00B01865" w:rsidRPr="00B01865" w:rsidRDefault="00B01865" w:rsidP="000C63BF">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En el cuadro siguiente se indican las previsiones de amortización del co</w:t>
      </w:r>
      <w:r w:rsidRPr="00B01865">
        <w:rPr>
          <w:rFonts w:cs="Arial"/>
          <w:spacing w:val="6"/>
          <w:sz w:val="26"/>
          <w:szCs w:val="24"/>
        </w:rPr>
        <w:t>n</w:t>
      </w:r>
      <w:r w:rsidRPr="00B01865">
        <w:rPr>
          <w:rFonts w:cs="Arial"/>
          <w:spacing w:val="6"/>
          <w:sz w:val="26"/>
          <w:szCs w:val="24"/>
        </w:rPr>
        <w:t>junto de la deuda del Gobierno en los próximos ejercicios:</w:t>
      </w:r>
    </w:p>
    <w:tbl>
      <w:tblPr>
        <w:tblW w:w="8821" w:type="dxa"/>
        <w:jc w:val="center"/>
        <w:tblBorders>
          <w:top w:val="single" w:sz="2" w:space="0" w:color="auto"/>
          <w:bottom w:val="single" w:sz="2" w:space="0" w:color="auto"/>
          <w:insideH w:val="single" w:sz="2" w:space="0" w:color="auto"/>
        </w:tblBorders>
        <w:tblCellMar>
          <w:left w:w="70" w:type="dxa"/>
          <w:right w:w="70" w:type="dxa"/>
        </w:tblCellMar>
        <w:tblLook w:val="0000" w:firstRow="0" w:lastRow="0" w:firstColumn="0" w:lastColumn="0" w:noHBand="0" w:noVBand="0"/>
      </w:tblPr>
      <w:tblGrid>
        <w:gridCol w:w="1481"/>
        <w:gridCol w:w="3771"/>
        <w:gridCol w:w="1710"/>
        <w:gridCol w:w="1859"/>
      </w:tblGrid>
      <w:tr w:rsidR="00B01865" w:rsidRPr="00B01865" w:rsidTr="000C63BF">
        <w:trPr>
          <w:trHeight w:val="255"/>
          <w:jc w:val="center"/>
        </w:trPr>
        <w:tc>
          <w:tcPr>
            <w:tcW w:w="8821" w:type="dxa"/>
            <w:gridSpan w:val="4"/>
            <w:tcBorders>
              <w:top w:val="nil"/>
              <w:bottom w:val="single" w:sz="4" w:space="0" w:color="auto"/>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B01865">
              <w:rPr>
                <w:rFonts w:ascii="Arial" w:hAnsi="Arial" w:cs="Arial"/>
                <w:spacing w:val="6"/>
                <w:sz w:val="17"/>
                <w:szCs w:val="17"/>
              </w:rPr>
              <w:t xml:space="preserve"> (en miles de euros)</w:t>
            </w:r>
          </w:p>
        </w:tc>
      </w:tr>
      <w:tr w:rsidR="00B01865" w:rsidRPr="00B01865" w:rsidTr="000C63BF">
        <w:trPr>
          <w:trHeight w:val="255"/>
          <w:jc w:val="center"/>
        </w:trPr>
        <w:tc>
          <w:tcPr>
            <w:tcW w:w="1481"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Ejercicio</w:t>
            </w:r>
          </w:p>
        </w:tc>
        <w:tc>
          <w:tcPr>
            <w:tcW w:w="3771"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 xml:space="preserve">Importe total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a amortizar</w:t>
            </w:r>
          </w:p>
        </w:tc>
        <w:tc>
          <w:tcPr>
            <w:tcW w:w="1710"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Porcentaje</w:t>
            </w:r>
          </w:p>
        </w:tc>
        <w:tc>
          <w:tcPr>
            <w:tcW w:w="1859"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 xml:space="preserve">Porcentaje </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acumulado</w:t>
            </w:r>
          </w:p>
        </w:tc>
      </w:tr>
      <w:tr w:rsidR="00B01865" w:rsidRPr="00B01865" w:rsidTr="000C63BF">
        <w:trPr>
          <w:trHeight w:val="198"/>
          <w:jc w:val="center"/>
        </w:trPr>
        <w:tc>
          <w:tcPr>
            <w:tcW w:w="1481" w:type="dxa"/>
            <w:tcBorders>
              <w:top w:val="single" w:sz="4" w:space="0" w:color="auto"/>
            </w:tcBorders>
            <w:noWrap/>
            <w:vAlign w:val="center"/>
          </w:tcPr>
          <w:p w:rsidR="00B01865" w:rsidRPr="00B01865" w:rsidRDefault="00B01865"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2018</w:t>
            </w:r>
          </w:p>
        </w:tc>
        <w:tc>
          <w:tcPr>
            <w:tcW w:w="3771" w:type="dxa"/>
            <w:tcBorders>
              <w:top w:val="single" w:sz="4" w:space="0" w:color="auto"/>
            </w:tcBorders>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240.104.119</w:t>
            </w:r>
          </w:p>
        </w:tc>
        <w:tc>
          <w:tcPr>
            <w:tcW w:w="1710" w:type="dxa"/>
            <w:tcBorders>
              <w:top w:val="single" w:sz="4" w:space="0" w:color="auto"/>
            </w:tcBorders>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7,5</w:t>
            </w:r>
          </w:p>
        </w:tc>
        <w:tc>
          <w:tcPr>
            <w:tcW w:w="1859" w:type="dxa"/>
            <w:tcBorders>
              <w:top w:val="single" w:sz="4" w:space="0" w:color="auto"/>
            </w:tcBorders>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7,5</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2019</w:t>
            </w:r>
          </w:p>
        </w:tc>
        <w:tc>
          <w:tcPr>
            <w:tcW w:w="3771"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256.012.740</w:t>
            </w:r>
          </w:p>
        </w:tc>
        <w:tc>
          <w:tcPr>
            <w:tcW w:w="1710"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8,0</w:t>
            </w:r>
          </w:p>
        </w:tc>
        <w:tc>
          <w:tcPr>
            <w:tcW w:w="1859"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15,5</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2020</w:t>
            </w:r>
          </w:p>
        </w:tc>
        <w:tc>
          <w:tcPr>
            <w:tcW w:w="3771"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218.825.101</w:t>
            </w:r>
          </w:p>
        </w:tc>
        <w:tc>
          <w:tcPr>
            <w:tcW w:w="1710"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6,8</w:t>
            </w:r>
          </w:p>
        </w:tc>
        <w:tc>
          <w:tcPr>
            <w:tcW w:w="1859"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22,3</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2021</w:t>
            </w:r>
          </w:p>
        </w:tc>
        <w:tc>
          <w:tcPr>
            <w:tcW w:w="3771"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202.998.941</w:t>
            </w:r>
          </w:p>
        </w:tc>
        <w:tc>
          <w:tcPr>
            <w:tcW w:w="1710"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6,3</w:t>
            </w:r>
          </w:p>
        </w:tc>
        <w:tc>
          <w:tcPr>
            <w:tcW w:w="1859"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28,6</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2022</w:t>
            </w:r>
          </w:p>
        </w:tc>
        <w:tc>
          <w:tcPr>
            <w:tcW w:w="3771"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134.156.368</w:t>
            </w:r>
          </w:p>
        </w:tc>
        <w:tc>
          <w:tcPr>
            <w:tcW w:w="1710"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4,2</w:t>
            </w:r>
          </w:p>
        </w:tc>
        <w:tc>
          <w:tcPr>
            <w:tcW w:w="1859"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32,8</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2023</w:t>
            </w:r>
          </w:p>
        </w:tc>
        <w:tc>
          <w:tcPr>
            <w:tcW w:w="3771"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269.406.813</w:t>
            </w:r>
          </w:p>
        </w:tc>
        <w:tc>
          <w:tcPr>
            <w:tcW w:w="1710"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8,4</w:t>
            </w:r>
          </w:p>
        </w:tc>
        <w:tc>
          <w:tcPr>
            <w:tcW w:w="1859"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41,2</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2024</w:t>
            </w:r>
          </w:p>
        </w:tc>
        <w:tc>
          <w:tcPr>
            <w:tcW w:w="3771"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484.517.871</w:t>
            </w:r>
          </w:p>
        </w:tc>
        <w:tc>
          <w:tcPr>
            <w:tcW w:w="1710"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15,1</w:t>
            </w:r>
          </w:p>
        </w:tc>
        <w:tc>
          <w:tcPr>
            <w:tcW w:w="1859"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56,3</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2025</w:t>
            </w:r>
          </w:p>
        </w:tc>
        <w:tc>
          <w:tcPr>
            <w:tcW w:w="3771"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125.607.480</w:t>
            </w:r>
          </w:p>
        </w:tc>
        <w:tc>
          <w:tcPr>
            <w:tcW w:w="1710"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3,9</w:t>
            </w:r>
          </w:p>
        </w:tc>
        <w:tc>
          <w:tcPr>
            <w:tcW w:w="1859"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60,2</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2026</w:t>
            </w:r>
          </w:p>
        </w:tc>
        <w:tc>
          <w:tcPr>
            <w:tcW w:w="3771"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269.735.878</w:t>
            </w:r>
          </w:p>
        </w:tc>
        <w:tc>
          <w:tcPr>
            <w:tcW w:w="1710"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8,4</w:t>
            </w:r>
          </w:p>
        </w:tc>
        <w:tc>
          <w:tcPr>
            <w:tcW w:w="1859"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68,6</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2027</w:t>
            </w:r>
          </w:p>
        </w:tc>
        <w:tc>
          <w:tcPr>
            <w:tcW w:w="3771"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300.000.000</w:t>
            </w:r>
          </w:p>
        </w:tc>
        <w:tc>
          <w:tcPr>
            <w:tcW w:w="1710"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9,4</w:t>
            </w:r>
          </w:p>
        </w:tc>
        <w:tc>
          <w:tcPr>
            <w:tcW w:w="1859"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78,0</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2028</w:t>
            </w:r>
          </w:p>
        </w:tc>
        <w:tc>
          <w:tcPr>
            <w:tcW w:w="3771"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318.561.313</w:t>
            </w:r>
          </w:p>
        </w:tc>
        <w:tc>
          <w:tcPr>
            <w:tcW w:w="1710"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9,9</w:t>
            </w:r>
          </w:p>
        </w:tc>
        <w:tc>
          <w:tcPr>
            <w:tcW w:w="1859"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87,9</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2029</w:t>
            </w:r>
          </w:p>
        </w:tc>
        <w:tc>
          <w:tcPr>
            <w:tcW w:w="3771"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200.000.000</w:t>
            </w:r>
          </w:p>
        </w:tc>
        <w:tc>
          <w:tcPr>
            <w:tcW w:w="1710"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6,2</w:t>
            </w:r>
          </w:p>
        </w:tc>
        <w:tc>
          <w:tcPr>
            <w:tcW w:w="1859"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94,1</w:t>
            </w:r>
          </w:p>
        </w:tc>
      </w:tr>
      <w:tr w:rsidR="00B01865" w:rsidRPr="00B01865" w:rsidTr="000C63BF">
        <w:trPr>
          <w:trHeight w:val="198"/>
          <w:jc w:val="center"/>
        </w:trPr>
        <w:tc>
          <w:tcPr>
            <w:tcW w:w="1481" w:type="dxa"/>
            <w:noWrap/>
            <w:vAlign w:val="center"/>
          </w:tcPr>
          <w:p w:rsidR="00B01865" w:rsidRPr="00B01865" w:rsidRDefault="00B01865"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2030</w:t>
            </w:r>
          </w:p>
        </w:tc>
        <w:tc>
          <w:tcPr>
            <w:tcW w:w="3771"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185.000.000</w:t>
            </w:r>
          </w:p>
        </w:tc>
        <w:tc>
          <w:tcPr>
            <w:tcW w:w="1710"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5,8</w:t>
            </w:r>
          </w:p>
        </w:tc>
        <w:tc>
          <w:tcPr>
            <w:tcW w:w="1859" w:type="dxa"/>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99,9</w:t>
            </w:r>
          </w:p>
        </w:tc>
      </w:tr>
      <w:tr w:rsidR="00B01865" w:rsidRPr="00B01865" w:rsidTr="000C63BF">
        <w:trPr>
          <w:trHeight w:val="198"/>
          <w:jc w:val="center"/>
        </w:trPr>
        <w:tc>
          <w:tcPr>
            <w:tcW w:w="1481" w:type="dxa"/>
            <w:tcBorders>
              <w:bottom w:val="single" w:sz="4" w:space="0" w:color="auto"/>
            </w:tcBorders>
            <w:noWrap/>
            <w:vAlign w:val="center"/>
          </w:tcPr>
          <w:p w:rsidR="00B01865" w:rsidRPr="00B01865" w:rsidRDefault="00B01865"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No clasificable</w:t>
            </w:r>
          </w:p>
        </w:tc>
        <w:tc>
          <w:tcPr>
            <w:tcW w:w="3771" w:type="dxa"/>
            <w:tcBorders>
              <w:bottom w:val="single" w:sz="4" w:space="0" w:color="auto"/>
            </w:tcBorders>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3.437.377</w:t>
            </w:r>
          </w:p>
        </w:tc>
        <w:tc>
          <w:tcPr>
            <w:tcW w:w="1710" w:type="dxa"/>
            <w:tcBorders>
              <w:bottom w:val="single" w:sz="4" w:space="0" w:color="auto"/>
            </w:tcBorders>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0,1</w:t>
            </w:r>
          </w:p>
        </w:tc>
        <w:tc>
          <w:tcPr>
            <w:tcW w:w="1859" w:type="dxa"/>
            <w:tcBorders>
              <w:bottom w:val="single" w:sz="4" w:space="0" w:color="auto"/>
            </w:tcBorders>
            <w:noWrap/>
            <w:vAlign w:val="center"/>
          </w:tcPr>
          <w:p w:rsidR="00B01865" w:rsidRPr="00B01865" w:rsidRDefault="00B01865" w:rsidP="00B01865">
            <w:pPr>
              <w:spacing w:after="0"/>
              <w:ind w:firstLine="0"/>
              <w:jc w:val="right"/>
              <w:rPr>
                <w:rFonts w:ascii="Arial Narrow" w:hAnsi="Arial Narrow" w:cs="Arial"/>
                <w:lang w:val="es-ES" w:eastAsia="es-ES"/>
              </w:rPr>
            </w:pPr>
            <w:r w:rsidRPr="00B01865">
              <w:rPr>
                <w:rFonts w:ascii="Arial Narrow" w:hAnsi="Arial Narrow" w:cs="Arial"/>
                <w:lang w:val="es-ES" w:eastAsia="es-ES"/>
              </w:rPr>
              <w:t>100,0</w:t>
            </w:r>
          </w:p>
        </w:tc>
      </w:tr>
      <w:tr w:rsidR="00B01865" w:rsidRPr="00B01865" w:rsidTr="000C63BF">
        <w:trPr>
          <w:trHeight w:val="255"/>
          <w:jc w:val="center"/>
        </w:trPr>
        <w:tc>
          <w:tcPr>
            <w:tcW w:w="1481"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B01865">
              <w:rPr>
                <w:rFonts w:ascii="Arial" w:hAnsi="Arial" w:cs="Arial"/>
                <w:spacing w:val="6"/>
                <w:sz w:val="18"/>
                <w:szCs w:val="18"/>
              </w:rPr>
              <w:t>Total</w:t>
            </w:r>
          </w:p>
        </w:tc>
        <w:tc>
          <w:tcPr>
            <w:tcW w:w="3771"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spacing w:after="0"/>
              <w:ind w:firstLine="0"/>
              <w:jc w:val="right"/>
              <w:rPr>
                <w:rFonts w:ascii="Arial" w:hAnsi="Arial" w:cs="Arial"/>
                <w:sz w:val="18"/>
                <w:szCs w:val="18"/>
                <w:lang w:val="es-ES" w:eastAsia="es-ES"/>
              </w:rPr>
            </w:pPr>
            <w:r w:rsidRPr="00B01865">
              <w:rPr>
                <w:rFonts w:ascii="Arial" w:hAnsi="Arial" w:cs="Arial"/>
                <w:sz w:val="18"/>
                <w:szCs w:val="18"/>
                <w:lang w:val="es-ES" w:eastAsia="es-ES"/>
              </w:rPr>
              <w:t>3.208.364</w:t>
            </w:r>
          </w:p>
        </w:tc>
        <w:tc>
          <w:tcPr>
            <w:tcW w:w="1710"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spacing w:after="0"/>
              <w:jc w:val="right"/>
              <w:rPr>
                <w:rFonts w:ascii="Arial" w:hAnsi="Arial" w:cs="Arial"/>
                <w:sz w:val="18"/>
                <w:szCs w:val="18"/>
                <w:lang w:val="es-ES" w:eastAsia="es-ES"/>
              </w:rPr>
            </w:pPr>
          </w:p>
        </w:tc>
        <w:tc>
          <w:tcPr>
            <w:tcW w:w="1859"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spacing w:after="0"/>
              <w:ind w:firstLine="0"/>
              <w:jc w:val="right"/>
              <w:rPr>
                <w:rFonts w:ascii="Arial" w:hAnsi="Arial" w:cs="Arial"/>
                <w:sz w:val="18"/>
                <w:szCs w:val="18"/>
                <w:lang w:val="es-ES" w:eastAsia="es-ES"/>
              </w:rPr>
            </w:pPr>
          </w:p>
        </w:tc>
      </w:tr>
    </w:tbl>
    <w:p w:rsidR="00B01865" w:rsidRPr="00B01865" w:rsidRDefault="00B01865" w:rsidP="000C63BF">
      <w:pPr>
        <w:pStyle w:val="texto"/>
        <w:spacing w:before="240"/>
        <w:rPr>
          <w:lang w:val="es-ES"/>
        </w:rPr>
      </w:pPr>
      <w:r w:rsidRPr="00B01865">
        <w:rPr>
          <w:lang w:val="es-ES"/>
        </w:rPr>
        <w:t xml:space="preserve">Como se observa, el 41 por ciento de esta deuda se debe amortizar antes de 2023, destacando el ejercicio de 2024 con una amortización del 15 por ciento de la deuda. </w:t>
      </w:r>
    </w:p>
    <w:p w:rsidR="00B01865" w:rsidRPr="00B01865" w:rsidRDefault="00B01865" w:rsidP="000C63BF">
      <w:pPr>
        <w:pStyle w:val="texto"/>
        <w:rPr>
          <w:lang w:val="es-ES"/>
        </w:rPr>
      </w:pPr>
      <w:r w:rsidRPr="00B01865">
        <w:rPr>
          <w:lang w:val="es-ES"/>
        </w:rPr>
        <w:t>La</w:t>
      </w:r>
      <w:r w:rsidR="00C715B8">
        <w:rPr>
          <w:lang w:val="es-ES"/>
        </w:rPr>
        <w:t xml:space="preserve"> deuda</w:t>
      </w:r>
      <w:r w:rsidRPr="00B01865">
        <w:rPr>
          <w:lang w:val="es-ES"/>
        </w:rPr>
        <w:t xml:space="preserve"> “no clasificable” se refiere a anticipos del Gobierno Central para los nuevos ciclos de Formación Profesional e itinerarios de la ESO que no ind</w:t>
      </w:r>
      <w:r w:rsidRPr="00B01865">
        <w:rPr>
          <w:lang w:val="es-ES"/>
        </w:rPr>
        <w:t>i</w:t>
      </w:r>
      <w:r w:rsidRPr="00B01865">
        <w:rPr>
          <w:lang w:val="es-ES"/>
        </w:rPr>
        <w:t>can plazo de amortización.</w:t>
      </w:r>
    </w:p>
    <w:p w:rsidR="00B01865" w:rsidRPr="00B01865" w:rsidRDefault="00B01865" w:rsidP="006217C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lastRenderedPageBreak/>
        <w:t xml:space="preserve">En abril de 2017, la agencia de rating </w:t>
      </w:r>
      <w:proofErr w:type="spellStart"/>
      <w:r w:rsidRPr="00B01865">
        <w:rPr>
          <w:rFonts w:cs="Arial"/>
        </w:rPr>
        <w:t>Standard&amp;Poor´s</w:t>
      </w:r>
      <w:proofErr w:type="spellEnd"/>
      <w:r w:rsidRPr="00B01865">
        <w:rPr>
          <w:rFonts w:cs="Arial"/>
        </w:rPr>
        <w:t xml:space="preserve"> asignó a la deuda a largo plazo de Navarra la calificación de “A con perspectiva estable”, nota de solvencia dos escalones superior a la del Reino de España (BBB+). En marzo de 2018, la citada agencia calificó la deuda de Navarra en “A con perspectiva positiva”, nivel máximo permitido, por lo que la Comunidad Foral ha mejorado su posición.</w:t>
      </w:r>
    </w:p>
    <w:p w:rsidR="00B01865" w:rsidRPr="00B01865" w:rsidRDefault="00B01865" w:rsidP="00B01865">
      <w:pPr>
        <w:spacing w:before="240" w:after="12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Avales y cartas de compromiso concedidas</w:t>
      </w:r>
    </w:p>
    <w:p w:rsidR="00B01865" w:rsidRPr="006217CE" w:rsidRDefault="00B01865" w:rsidP="006217CE">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 xml:space="preserve">El </w:t>
      </w:r>
      <w:r w:rsidRPr="006217CE">
        <w:rPr>
          <w:rFonts w:cs="Arial"/>
        </w:rPr>
        <w:t>saldo a 31 de diciembre de los avales concedidos por la Comunidad F</w:t>
      </w:r>
      <w:r w:rsidRPr="006217CE">
        <w:rPr>
          <w:rFonts w:cs="Arial"/>
        </w:rPr>
        <w:t>o</w:t>
      </w:r>
      <w:r w:rsidRPr="006217CE">
        <w:rPr>
          <w:rFonts w:cs="Arial"/>
        </w:rPr>
        <w:t>ral ascendía a 122,10 millones de euros y corresponden a:</w:t>
      </w:r>
    </w:p>
    <w:tbl>
      <w:tblPr>
        <w:tblW w:w="8876" w:type="dxa"/>
        <w:jc w:val="center"/>
        <w:tblInd w:w="367" w:type="dxa"/>
        <w:tblBorders>
          <w:top w:val="single" w:sz="4" w:space="0" w:color="000000"/>
          <w:bottom w:val="single" w:sz="4" w:space="0" w:color="000000"/>
        </w:tblBorders>
        <w:tblLayout w:type="fixed"/>
        <w:tblCellMar>
          <w:left w:w="70" w:type="dxa"/>
          <w:right w:w="70" w:type="dxa"/>
        </w:tblCellMar>
        <w:tblLook w:val="0000" w:firstRow="0" w:lastRow="0" w:firstColumn="0" w:lastColumn="0" w:noHBand="0" w:noVBand="0"/>
      </w:tblPr>
      <w:tblGrid>
        <w:gridCol w:w="5280"/>
        <w:gridCol w:w="1189"/>
        <w:gridCol w:w="1207"/>
        <w:gridCol w:w="28"/>
        <w:gridCol w:w="1172"/>
      </w:tblGrid>
      <w:tr w:rsidR="00B01865" w:rsidRPr="00B01865" w:rsidTr="00B11BFB">
        <w:trPr>
          <w:trHeight w:val="255"/>
          <w:jc w:val="center"/>
        </w:trPr>
        <w:tc>
          <w:tcPr>
            <w:tcW w:w="8876" w:type="dxa"/>
            <w:gridSpan w:val="5"/>
            <w:tcBorders>
              <w:top w:val="nil"/>
              <w:bottom w:val="single" w:sz="4" w:space="0" w:color="000000"/>
            </w:tcBorders>
            <w:shd w:val="clear" w:color="auto" w:fill="auto"/>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7"/>
                <w:szCs w:val="17"/>
              </w:rPr>
            </w:pPr>
            <w:r w:rsidRPr="00B01865">
              <w:rPr>
                <w:rFonts w:ascii="Arial" w:hAnsi="Arial"/>
                <w:spacing w:val="6"/>
                <w:sz w:val="17"/>
                <w:szCs w:val="17"/>
              </w:rPr>
              <w:t>(en miles de euros)</w:t>
            </w:r>
          </w:p>
        </w:tc>
      </w:tr>
      <w:tr w:rsidR="00B01865" w:rsidRPr="00B01865" w:rsidTr="00B11BFB">
        <w:trPr>
          <w:trHeight w:val="255"/>
          <w:jc w:val="center"/>
        </w:trPr>
        <w:tc>
          <w:tcPr>
            <w:tcW w:w="5280" w:type="dxa"/>
            <w:tcBorders>
              <w:top w:val="single" w:sz="4" w:space="0" w:color="000000"/>
              <w:bottom w:val="single" w:sz="4" w:space="0" w:color="000000"/>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B01865">
              <w:rPr>
                <w:rFonts w:ascii="Arial" w:hAnsi="Arial"/>
                <w:spacing w:val="6"/>
                <w:sz w:val="18"/>
                <w:szCs w:val="24"/>
              </w:rPr>
              <w:t>Avales concedidos </w:t>
            </w:r>
          </w:p>
        </w:tc>
        <w:tc>
          <w:tcPr>
            <w:tcW w:w="1189"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Saldo 31/12/2016</w:t>
            </w:r>
          </w:p>
        </w:tc>
        <w:tc>
          <w:tcPr>
            <w:tcW w:w="1207"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Saldo 31/12/2017</w:t>
            </w:r>
          </w:p>
        </w:tc>
        <w:tc>
          <w:tcPr>
            <w:tcW w:w="1200" w:type="dxa"/>
            <w:gridSpan w:val="2"/>
            <w:tcBorders>
              <w:top w:val="single" w:sz="4" w:space="0" w:color="000000"/>
              <w:bottom w:val="single" w:sz="4" w:space="0" w:color="000000"/>
            </w:tcBorders>
            <w:shd w:val="clear" w:color="auto" w:fill="8DB3E2" w:themeFill="text2" w:themeFillTint="66"/>
            <w:noWrap/>
            <w:vAlign w:val="center"/>
          </w:tcPr>
          <w:p w:rsidR="00C715B8"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 varia</w:t>
            </w:r>
            <w:r w:rsidR="00C715B8">
              <w:rPr>
                <w:rFonts w:ascii="Arial" w:hAnsi="Arial"/>
                <w:spacing w:val="6"/>
                <w:sz w:val="18"/>
                <w:szCs w:val="24"/>
              </w:rPr>
              <w:t>ción</w:t>
            </w:r>
          </w:p>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2017/2016</w:t>
            </w:r>
          </w:p>
        </w:tc>
      </w:tr>
      <w:tr w:rsidR="00B01865" w:rsidRPr="00B01865" w:rsidTr="00B11BFB">
        <w:trPr>
          <w:trHeight w:val="198"/>
          <w:jc w:val="center"/>
        </w:trPr>
        <w:tc>
          <w:tcPr>
            <w:tcW w:w="5280" w:type="dxa"/>
            <w:tcBorders>
              <w:top w:val="single" w:sz="4" w:space="0" w:color="000000"/>
              <w:bottom w:val="single" w:sz="2" w:space="0" w:color="000000"/>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I+D</w:t>
            </w:r>
          </w:p>
        </w:tc>
        <w:tc>
          <w:tcPr>
            <w:tcW w:w="1189" w:type="dxa"/>
            <w:tcBorders>
              <w:top w:val="single" w:sz="4"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164</w:t>
            </w:r>
          </w:p>
        </w:tc>
        <w:tc>
          <w:tcPr>
            <w:tcW w:w="1207" w:type="dxa"/>
            <w:tcBorders>
              <w:top w:val="single" w:sz="4" w:space="0" w:color="000000"/>
              <w:bottom w:val="single" w:sz="2" w:space="0" w:color="000000"/>
            </w:tcBorders>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117</w:t>
            </w:r>
          </w:p>
        </w:tc>
        <w:tc>
          <w:tcPr>
            <w:tcW w:w="1200" w:type="dxa"/>
            <w:gridSpan w:val="2"/>
            <w:tcBorders>
              <w:top w:val="single" w:sz="4" w:space="0" w:color="000000"/>
              <w:bottom w:val="single" w:sz="2" w:space="0" w:color="000000"/>
            </w:tcBorders>
            <w:noWrap/>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-28</w:t>
            </w:r>
          </w:p>
        </w:tc>
      </w:tr>
      <w:tr w:rsidR="00B01865" w:rsidRPr="00B01865" w:rsidTr="00B11BFB">
        <w:trPr>
          <w:trHeight w:val="198"/>
          <w:jc w:val="center"/>
        </w:trPr>
        <w:tc>
          <w:tcPr>
            <w:tcW w:w="5280" w:type="dxa"/>
            <w:tcBorders>
              <w:top w:val="single" w:sz="2" w:space="0" w:color="000000"/>
              <w:bottom w:val="single" w:sz="2" w:space="0" w:color="000000"/>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Empresas en dificultad y ayudas a la inversión</w:t>
            </w:r>
          </w:p>
        </w:tc>
        <w:tc>
          <w:tcPr>
            <w:tcW w:w="118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4.958</w:t>
            </w:r>
          </w:p>
        </w:tc>
        <w:tc>
          <w:tcPr>
            <w:tcW w:w="1207" w:type="dxa"/>
            <w:tcBorders>
              <w:top w:val="single" w:sz="2" w:space="0" w:color="000000"/>
              <w:bottom w:val="single" w:sz="2" w:space="0" w:color="000000"/>
            </w:tcBorders>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3.538</w:t>
            </w:r>
          </w:p>
        </w:tc>
        <w:tc>
          <w:tcPr>
            <w:tcW w:w="1200" w:type="dxa"/>
            <w:gridSpan w:val="2"/>
            <w:tcBorders>
              <w:top w:val="single" w:sz="2" w:space="0" w:color="000000"/>
              <w:bottom w:val="single" w:sz="2" w:space="0" w:color="000000"/>
            </w:tcBorders>
            <w:noWrap/>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-29</w:t>
            </w:r>
          </w:p>
        </w:tc>
      </w:tr>
      <w:tr w:rsidR="00B01865" w:rsidRPr="00B01865" w:rsidTr="00B11BFB">
        <w:trPr>
          <w:trHeight w:val="198"/>
          <w:jc w:val="center"/>
        </w:trPr>
        <w:tc>
          <w:tcPr>
            <w:tcW w:w="5280" w:type="dxa"/>
            <w:tcBorders>
              <w:top w:val="single" w:sz="2" w:space="0" w:color="000000"/>
              <w:bottom w:val="single" w:sz="2" w:space="0" w:color="000000"/>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Programa “Aval Navarra”</w:t>
            </w:r>
          </w:p>
        </w:tc>
        <w:tc>
          <w:tcPr>
            <w:tcW w:w="118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2.940</w:t>
            </w:r>
          </w:p>
        </w:tc>
        <w:tc>
          <w:tcPr>
            <w:tcW w:w="1207" w:type="dxa"/>
            <w:tcBorders>
              <w:top w:val="single" w:sz="2" w:space="0" w:color="000000"/>
              <w:bottom w:val="single" w:sz="2" w:space="0" w:color="000000"/>
            </w:tcBorders>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2.653</w:t>
            </w:r>
          </w:p>
        </w:tc>
        <w:tc>
          <w:tcPr>
            <w:tcW w:w="1200" w:type="dxa"/>
            <w:gridSpan w:val="2"/>
            <w:tcBorders>
              <w:top w:val="single" w:sz="2" w:space="0" w:color="000000"/>
              <w:bottom w:val="single" w:sz="2" w:space="0" w:color="000000"/>
            </w:tcBorders>
            <w:noWrap/>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-10</w:t>
            </w:r>
          </w:p>
        </w:tc>
      </w:tr>
      <w:tr w:rsidR="00B01865" w:rsidRPr="00B01865" w:rsidTr="00B11BFB">
        <w:trPr>
          <w:trHeight w:val="198"/>
          <w:jc w:val="center"/>
        </w:trPr>
        <w:tc>
          <w:tcPr>
            <w:tcW w:w="5280" w:type="dxa"/>
            <w:tcBorders>
              <w:top w:val="single" w:sz="2" w:space="0" w:color="000000"/>
              <w:bottom w:val="single" w:sz="2" w:space="0" w:color="000000"/>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C.A. Osasuna</w:t>
            </w:r>
          </w:p>
        </w:tc>
        <w:tc>
          <w:tcPr>
            <w:tcW w:w="118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11.212</w:t>
            </w:r>
          </w:p>
        </w:tc>
        <w:tc>
          <w:tcPr>
            <w:tcW w:w="1207" w:type="dxa"/>
            <w:tcBorders>
              <w:top w:val="single" w:sz="2" w:space="0" w:color="000000"/>
              <w:bottom w:val="single" w:sz="2" w:space="0" w:color="000000"/>
            </w:tcBorders>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10.787</w:t>
            </w:r>
          </w:p>
        </w:tc>
        <w:tc>
          <w:tcPr>
            <w:tcW w:w="1200" w:type="dxa"/>
            <w:gridSpan w:val="2"/>
            <w:tcBorders>
              <w:top w:val="single" w:sz="2" w:space="0" w:color="000000"/>
              <w:bottom w:val="single" w:sz="2" w:space="0" w:color="000000"/>
            </w:tcBorders>
            <w:noWrap/>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-4</w:t>
            </w:r>
          </w:p>
        </w:tc>
      </w:tr>
      <w:tr w:rsidR="00B01865" w:rsidRPr="00B01865" w:rsidTr="00B11BFB">
        <w:trPr>
          <w:trHeight w:val="198"/>
          <w:jc w:val="center"/>
        </w:trPr>
        <w:tc>
          <w:tcPr>
            <w:tcW w:w="5280" w:type="dxa"/>
            <w:tcBorders>
              <w:top w:val="single" w:sz="2" w:space="0" w:color="000000"/>
              <w:bottom w:val="single" w:sz="2" w:space="0" w:color="000000"/>
            </w:tcBorders>
            <w:noWrap/>
            <w:vAlign w:val="center"/>
          </w:tcPr>
          <w:p w:rsidR="00B01865" w:rsidRPr="00B01865" w:rsidRDefault="00B01865" w:rsidP="00C715B8">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N</w:t>
            </w:r>
            <w:r w:rsidR="00C715B8">
              <w:rPr>
                <w:rFonts w:ascii="Arial Narrow" w:hAnsi="Arial Narrow"/>
                <w:spacing w:val="6"/>
              </w:rPr>
              <w:t>IC</w:t>
            </w:r>
            <w:r w:rsidRPr="00B01865">
              <w:rPr>
                <w:rFonts w:ascii="Arial Narrow" w:hAnsi="Arial Narrow"/>
                <w:spacing w:val="6"/>
              </w:rPr>
              <w:t>DO</w:t>
            </w:r>
            <w:r w:rsidR="00C715B8">
              <w:rPr>
                <w:rFonts w:ascii="Arial Narrow" w:hAnsi="Arial Narrow"/>
                <w:spacing w:val="6"/>
              </w:rPr>
              <w:t>-</w:t>
            </w:r>
            <w:r w:rsidRPr="00B01865">
              <w:rPr>
                <w:rFonts w:ascii="Arial Narrow" w:hAnsi="Arial Narrow"/>
                <w:spacing w:val="6"/>
              </w:rPr>
              <w:t xml:space="preserve">Circuito de los Arcos </w:t>
            </w:r>
          </w:p>
        </w:tc>
        <w:tc>
          <w:tcPr>
            <w:tcW w:w="118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20.192</w:t>
            </w:r>
          </w:p>
        </w:tc>
        <w:tc>
          <w:tcPr>
            <w:tcW w:w="1207" w:type="dxa"/>
            <w:tcBorders>
              <w:top w:val="single" w:sz="2" w:space="0" w:color="000000"/>
              <w:bottom w:val="single" w:sz="2" w:space="0" w:color="000000"/>
            </w:tcBorders>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17.500</w:t>
            </w:r>
          </w:p>
        </w:tc>
        <w:tc>
          <w:tcPr>
            <w:tcW w:w="1200" w:type="dxa"/>
            <w:gridSpan w:val="2"/>
            <w:tcBorders>
              <w:top w:val="single" w:sz="2" w:space="0" w:color="000000"/>
              <w:bottom w:val="single" w:sz="2" w:space="0" w:color="000000"/>
            </w:tcBorders>
            <w:noWrap/>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-13</w:t>
            </w:r>
          </w:p>
        </w:tc>
      </w:tr>
      <w:tr w:rsidR="00B01865" w:rsidRPr="00B01865" w:rsidTr="00B11BFB">
        <w:trPr>
          <w:trHeight w:val="198"/>
          <w:jc w:val="center"/>
        </w:trPr>
        <w:tc>
          <w:tcPr>
            <w:tcW w:w="5280" w:type="dxa"/>
            <w:tcBorders>
              <w:top w:val="single" w:sz="2" w:space="0" w:color="000000"/>
              <w:bottom w:val="single" w:sz="2" w:space="0" w:color="000000"/>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proofErr w:type="spellStart"/>
            <w:r w:rsidRPr="00B01865">
              <w:rPr>
                <w:rFonts w:ascii="Arial Narrow" w:hAnsi="Arial Narrow"/>
                <w:spacing w:val="6"/>
              </w:rPr>
              <w:t>Sodena</w:t>
            </w:r>
            <w:proofErr w:type="spellEnd"/>
            <w:r w:rsidRPr="00B01865">
              <w:rPr>
                <w:rFonts w:ascii="Arial Narrow" w:hAnsi="Arial Narrow"/>
                <w:spacing w:val="6"/>
              </w:rPr>
              <w:t>-Banco Europeo de Inversiones</w:t>
            </w:r>
          </w:p>
        </w:tc>
        <w:tc>
          <w:tcPr>
            <w:tcW w:w="1189" w:type="dxa"/>
            <w:tcBorders>
              <w:top w:val="single" w:sz="2" w:space="0" w:color="000000"/>
              <w:bottom w:val="single" w:sz="2"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102.957</w:t>
            </w:r>
          </w:p>
        </w:tc>
        <w:tc>
          <w:tcPr>
            <w:tcW w:w="1207" w:type="dxa"/>
            <w:tcBorders>
              <w:top w:val="single" w:sz="2" w:space="0" w:color="000000"/>
              <w:bottom w:val="single" w:sz="2" w:space="0" w:color="000000"/>
            </w:tcBorders>
            <w:vAlign w:val="bottom"/>
          </w:tcPr>
          <w:p w:rsidR="00B01865" w:rsidRPr="00B01865" w:rsidRDefault="005A53B4"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90.067</w:t>
            </w:r>
          </w:p>
        </w:tc>
        <w:tc>
          <w:tcPr>
            <w:tcW w:w="1200" w:type="dxa"/>
            <w:gridSpan w:val="2"/>
            <w:tcBorders>
              <w:top w:val="single" w:sz="2" w:space="0" w:color="000000"/>
              <w:bottom w:val="single" w:sz="2" w:space="0" w:color="000000"/>
            </w:tcBorders>
            <w:noWrap/>
            <w:vAlign w:val="bottom"/>
          </w:tcPr>
          <w:p w:rsidR="00B01865" w:rsidRPr="00B01865" w:rsidRDefault="00B01865" w:rsidP="005A53B4">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w:t>
            </w:r>
            <w:r w:rsidR="005A53B4">
              <w:rPr>
                <w:rFonts w:ascii="Arial Narrow" w:hAnsi="Arial Narrow"/>
                <w:spacing w:val="6"/>
              </w:rPr>
              <w:t>3</w:t>
            </w:r>
          </w:p>
        </w:tc>
      </w:tr>
      <w:tr w:rsidR="00B01865" w:rsidRPr="00B01865" w:rsidTr="00B11BFB">
        <w:trPr>
          <w:trHeight w:val="198"/>
          <w:jc w:val="center"/>
        </w:trPr>
        <w:tc>
          <w:tcPr>
            <w:tcW w:w="5280" w:type="dxa"/>
            <w:tcBorders>
              <w:top w:val="single" w:sz="2" w:space="0" w:color="000000"/>
              <w:bottom w:val="single" w:sz="4" w:space="0" w:color="000000"/>
            </w:tcBorders>
            <w:noWrap/>
            <w:vAlign w:val="center"/>
          </w:tcPr>
          <w:p w:rsidR="00B01865" w:rsidRPr="00B01865" w:rsidRDefault="00C715B8"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Cartas de compromiso</w:t>
            </w:r>
            <w:r w:rsidR="00B01865" w:rsidRPr="00B01865">
              <w:rPr>
                <w:rFonts w:ascii="Arial Narrow" w:hAnsi="Arial Narrow"/>
                <w:spacing w:val="6"/>
              </w:rPr>
              <w:t xml:space="preserve"> Ciudad Agroalimentaria de Tudela (CAT)</w:t>
            </w:r>
          </w:p>
        </w:tc>
        <w:tc>
          <w:tcPr>
            <w:tcW w:w="1189" w:type="dxa"/>
            <w:tcBorders>
              <w:top w:val="single" w:sz="2" w:space="0" w:color="000000"/>
              <w:bottom w:val="single" w:sz="4" w:space="0" w:color="000000"/>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21.100</w:t>
            </w:r>
          </w:p>
        </w:tc>
        <w:tc>
          <w:tcPr>
            <w:tcW w:w="1207" w:type="dxa"/>
            <w:tcBorders>
              <w:top w:val="single" w:sz="2" w:space="0" w:color="000000"/>
              <w:bottom w:val="single" w:sz="4" w:space="0" w:color="000000"/>
            </w:tcBorders>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0</w:t>
            </w:r>
          </w:p>
        </w:tc>
        <w:tc>
          <w:tcPr>
            <w:tcW w:w="1200" w:type="dxa"/>
            <w:gridSpan w:val="2"/>
            <w:tcBorders>
              <w:top w:val="single" w:sz="2" w:space="0" w:color="000000"/>
              <w:bottom w:val="single" w:sz="4" w:space="0" w:color="000000"/>
            </w:tcBorders>
            <w:noWrap/>
            <w:vAlign w:val="bottom"/>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-100</w:t>
            </w:r>
          </w:p>
        </w:tc>
      </w:tr>
      <w:tr w:rsidR="00B01865" w:rsidRPr="00B01865" w:rsidTr="00B11BFB">
        <w:trPr>
          <w:trHeight w:val="255"/>
          <w:jc w:val="center"/>
        </w:trPr>
        <w:tc>
          <w:tcPr>
            <w:tcW w:w="5280" w:type="dxa"/>
            <w:tcBorders>
              <w:top w:val="single" w:sz="4" w:space="0" w:color="000000"/>
              <w:bottom w:val="single" w:sz="4" w:space="0" w:color="000000"/>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B01865">
              <w:rPr>
                <w:rFonts w:ascii="Arial" w:hAnsi="Arial"/>
                <w:spacing w:val="6"/>
                <w:sz w:val="18"/>
                <w:szCs w:val="24"/>
              </w:rPr>
              <w:t>Total</w:t>
            </w:r>
          </w:p>
        </w:tc>
        <w:tc>
          <w:tcPr>
            <w:tcW w:w="1189" w:type="dxa"/>
            <w:tcBorders>
              <w:top w:val="single" w:sz="4" w:space="0" w:color="000000"/>
              <w:bottom w:val="single" w:sz="4" w:space="0" w:color="000000"/>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163.523</w:t>
            </w:r>
          </w:p>
        </w:tc>
        <w:tc>
          <w:tcPr>
            <w:tcW w:w="1235" w:type="dxa"/>
            <w:gridSpan w:val="2"/>
            <w:tcBorders>
              <w:top w:val="single" w:sz="4" w:space="0" w:color="000000"/>
              <w:bottom w:val="single" w:sz="4" w:space="0" w:color="000000"/>
            </w:tcBorders>
            <w:shd w:val="clear" w:color="auto" w:fill="8DB3E2" w:themeFill="text2" w:themeFillTint="66"/>
            <w:vAlign w:val="center"/>
          </w:tcPr>
          <w:p w:rsidR="00B01865" w:rsidRPr="00B01865" w:rsidRDefault="005A53B4"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pacing w:val="6"/>
                <w:sz w:val="18"/>
                <w:szCs w:val="24"/>
              </w:rPr>
              <w:t>124.662</w:t>
            </w:r>
          </w:p>
        </w:tc>
        <w:tc>
          <w:tcPr>
            <w:tcW w:w="1172" w:type="dxa"/>
            <w:tcBorders>
              <w:top w:val="single" w:sz="4" w:space="0" w:color="000000"/>
              <w:bottom w:val="single" w:sz="4" w:space="0" w:color="000000"/>
            </w:tcBorders>
            <w:shd w:val="clear" w:color="auto" w:fill="8DB3E2" w:themeFill="text2" w:themeFillTint="66"/>
            <w:noWrap/>
            <w:vAlign w:val="center"/>
          </w:tcPr>
          <w:p w:rsidR="00B01865" w:rsidRPr="00B01865" w:rsidRDefault="00B01865" w:rsidP="005A53B4">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-2</w:t>
            </w:r>
            <w:r w:rsidR="005A53B4">
              <w:rPr>
                <w:rFonts w:ascii="Arial" w:hAnsi="Arial"/>
                <w:spacing w:val="6"/>
                <w:sz w:val="18"/>
                <w:szCs w:val="24"/>
              </w:rPr>
              <w:t>4</w:t>
            </w:r>
          </w:p>
        </w:tc>
      </w:tr>
    </w:tbl>
    <w:p w:rsidR="00B01865" w:rsidRPr="00B01865" w:rsidRDefault="00B01865" w:rsidP="00C715B8">
      <w:pPr>
        <w:pStyle w:val="texto"/>
        <w:spacing w:before="240"/>
        <w:rPr>
          <w:lang w:val="es-ES"/>
        </w:rPr>
      </w:pPr>
      <w:r w:rsidRPr="00B01865">
        <w:rPr>
          <w:lang w:val="es-ES"/>
        </w:rPr>
        <w:t>El saldo vivo total ha disminuido un 2</w:t>
      </w:r>
      <w:r w:rsidR="005A53B4">
        <w:rPr>
          <w:lang w:val="es-ES"/>
        </w:rPr>
        <w:t>4</w:t>
      </w:r>
      <w:r w:rsidRPr="00B01865">
        <w:rPr>
          <w:lang w:val="es-ES"/>
        </w:rPr>
        <w:t xml:space="preserve"> por ciento (</w:t>
      </w:r>
      <w:r w:rsidR="005A53B4">
        <w:rPr>
          <w:lang w:val="es-ES"/>
        </w:rPr>
        <w:t>38,86</w:t>
      </w:r>
      <w:r w:rsidRPr="00B01865">
        <w:rPr>
          <w:lang w:val="es-ES"/>
        </w:rPr>
        <w:t xml:space="preserve"> millones de euros) destacando los descensos de las empresas en dificultad (1,42 millones) o la cancelación de las operaciones de las </w:t>
      </w:r>
      <w:r w:rsidR="00C715B8">
        <w:rPr>
          <w:lang w:val="es-ES"/>
        </w:rPr>
        <w:t>cartas de compromiso</w:t>
      </w:r>
      <w:r w:rsidRPr="00B01865">
        <w:rPr>
          <w:lang w:val="es-ES"/>
        </w:rPr>
        <w:t xml:space="preserve"> con CAT.</w:t>
      </w:r>
    </w:p>
    <w:p w:rsidR="00B01865" w:rsidRPr="00B01865" w:rsidRDefault="00B01865" w:rsidP="006217CE">
      <w:pPr>
        <w:pStyle w:val="texto"/>
        <w:rPr>
          <w:lang w:val="es-ES"/>
        </w:rPr>
      </w:pPr>
      <w:r w:rsidRPr="00B01865">
        <w:rPr>
          <w:lang w:val="es-ES"/>
        </w:rPr>
        <w:t>Durante 2017 no se ha avalado ninguna operación nueva ni se ha formaliz</w:t>
      </w:r>
      <w:r w:rsidRPr="00B01865">
        <w:rPr>
          <w:lang w:val="es-ES"/>
        </w:rPr>
        <w:t>a</w:t>
      </w:r>
      <w:r w:rsidRPr="00B01865">
        <w:rPr>
          <w:lang w:val="es-ES"/>
        </w:rPr>
        <w:t>do ninguna carta de compromiso adicional, si bien se ha producido la novación de los avales de dos préstamos de una empresa. En ambas operaciones se ha ampliado el plazo de duración de los préstamos hasta los 15 años y el tipo de interés; además, en una novación se ha modificado el calendario de amortiz</w:t>
      </w:r>
      <w:r w:rsidRPr="00B01865">
        <w:rPr>
          <w:lang w:val="es-ES"/>
        </w:rPr>
        <w:t>a</w:t>
      </w:r>
      <w:r w:rsidRPr="00B01865">
        <w:rPr>
          <w:lang w:val="es-ES"/>
        </w:rPr>
        <w:t>ción.</w:t>
      </w:r>
    </w:p>
    <w:p w:rsidR="00B01865" w:rsidRPr="00B01865" w:rsidRDefault="00B01865" w:rsidP="006217CE">
      <w:pPr>
        <w:pStyle w:val="texto"/>
      </w:pPr>
      <w:r w:rsidRPr="00B01865">
        <w:t>En 201</w:t>
      </w:r>
      <w:r w:rsidR="00C715B8">
        <w:t>7</w:t>
      </w:r>
      <w:r w:rsidRPr="00B01865">
        <w:t>, el Gobierno de Navarra ha reconocido un gasto por incumplimiento de obligaciones afianzadas de 0,48 millones de euros originados por los incu</w:t>
      </w:r>
      <w:r w:rsidRPr="00B01865">
        <w:t>m</w:t>
      </w:r>
      <w:r w:rsidRPr="00B01865">
        <w:t>plimientos en una operación de una empresa avalada.</w:t>
      </w:r>
    </w:p>
    <w:p w:rsidR="00B01865" w:rsidRPr="00B01865" w:rsidRDefault="00B01865" w:rsidP="006217CE">
      <w:pPr>
        <w:pStyle w:val="texto"/>
      </w:pPr>
      <w:r w:rsidRPr="00B01865">
        <w:t xml:space="preserve">El aval a </w:t>
      </w:r>
      <w:r w:rsidR="00C715B8">
        <w:t>SODENA</w:t>
      </w:r>
      <w:r w:rsidRPr="00B01865">
        <w:t xml:space="preserve"> se constituyó para garantizar un préstamo de esta soci</w:t>
      </w:r>
      <w:r w:rsidRPr="00B01865">
        <w:t>e</w:t>
      </w:r>
      <w:r w:rsidRPr="00B01865">
        <w:t>dad recibido del Banco Europeo de Inversiones y destinado a financiar proye</w:t>
      </w:r>
      <w:r w:rsidRPr="00B01865">
        <w:t>c</w:t>
      </w:r>
      <w:r w:rsidRPr="00B01865">
        <w:t>tos de inversión de las pequeñas y medianas empresas en el marco del Plan Moderna. Es un aval sobre el principal (100 millones de euros) así como cua</w:t>
      </w:r>
      <w:r w:rsidRPr="00B01865">
        <w:t>l</w:t>
      </w:r>
      <w:r w:rsidRPr="00B01865">
        <w:t xml:space="preserve">quier suma que </w:t>
      </w:r>
      <w:r w:rsidR="00C715B8">
        <w:t>SODENA</w:t>
      </w:r>
      <w:r w:rsidRPr="00B01865">
        <w:t xml:space="preserve"> pudiera adeudar al Banco Europeo de Inversiones por cualquier concepto del contrato de financiación (intereses, comisiones, ca</w:t>
      </w:r>
      <w:r w:rsidRPr="00B01865">
        <w:t>r</w:t>
      </w:r>
      <w:r w:rsidRPr="00B01865">
        <w:t xml:space="preserve">gas, etc.) en el momento de ser ejecutado el aval. En el resto de avales, la </w:t>
      </w:r>
      <w:r w:rsidR="00C715B8">
        <w:t>ACFN</w:t>
      </w:r>
      <w:r w:rsidRPr="00B01865">
        <w:t xml:space="preserve"> responde exclusivamente del principal del préstamo.</w:t>
      </w:r>
    </w:p>
    <w:p w:rsidR="00B01865" w:rsidRPr="00B01865" w:rsidRDefault="00B01865" w:rsidP="006217CE">
      <w:pPr>
        <w:pStyle w:val="texto"/>
        <w:rPr>
          <w:lang w:val="es-ES"/>
        </w:rPr>
      </w:pPr>
      <w:r w:rsidRPr="00B01865">
        <w:rPr>
          <w:lang w:val="es-ES"/>
        </w:rPr>
        <w:lastRenderedPageBreak/>
        <w:t xml:space="preserve">No están provisionados todos los riesgos derivados del incumplimiento de las obligaciones avaladas. </w:t>
      </w:r>
    </w:p>
    <w:p w:rsidR="00B01865" w:rsidRPr="00B01865" w:rsidRDefault="00B01865" w:rsidP="00B01865">
      <w:pPr>
        <w:spacing w:before="240" w:after="120"/>
        <w:ind w:firstLine="284"/>
        <w:rPr>
          <w:rFonts w:ascii="Arial" w:hAnsi="Arial"/>
          <w:i/>
          <w:iCs/>
          <w:spacing w:val="10"/>
          <w:kern w:val="28"/>
          <w:sz w:val="25"/>
          <w:szCs w:val="26"/>
          <w:lang w:val="es-ES"/>
        </w:rPr>
      </w:pPr>
      <w:r w:rsidRPr="00B01865">
        <w:rPr>
          <w:rFonts w:ascii="Arial" w:hAnsi="Arial"/>
          <w:i/>
          <w:iCs/>
          <w:spacing w:val="10"/>
          <w:kern w:val="28"/>
          <w:sz w:val="25"/>
          <w:szCs w:val="26"/>
          <w:lang w:val="es-ES"/>
        </w:rPr>
        <w:t>Revisión muestra de ingresos en activos e ingresos financieros</w:t>
      </w:r>
    </w:p>
    <w:p w:rsidR="00B01865" w:rsidRPr="00B01865" w:rsidRDefault="00B01865" w:rsidP="006217CE">
      <w:pPr>
        <w:pStyle w:val="texto"/>
        <w:spacing w:after="240"/>
      </w:pPr>
      <w:r w:rsidRPr="00B01865">
        <w:t>Hemos revisado la siguiente muestra:</w:t>
      </w:r>
    </w:p>
    <w:tbl>
      <w:tblPr>
        <w:tblW w:w="8803" w:type="dxa"/>
        <w:jc w:val="center"/>
        <w:tblInd w:w="-8" w:type="dxa"/>
        <w:tblLayout w:type="fixed"/>
        <w:tblCellMar>
          <w:left w:w="70" w:type="dxa"/>
          <w:right w:w="70" w:type="dxa"/>
        </w:tblCellMar>
        <w:tblLook w:val="0000" w:firstRow="0" w:lastRow="0" w:firstColumn="0" w:lastColumn="0" w:noHBand="0" w:noVBand="0"/>
      </w:tblPr>
      <w:tblGrid>
        <w:gridCol w:w="7282"/>
        <w:gridCol w:w="1521"/>
      </w:tblGrid>
      <w:tr w:rsidR="00B01865" w:rsidRPr="00B01865" w:rsidTr="006217CE">
        <w:trPr>
          <w:trHeight w:val="255"/>
          <w:jc w:val="center"/>
        </w:trPr>
        <w:tc>
          <w:tcPr>
            <w:tcW w:w="7282" w:type="dxa"/>
            <w:tcBorders>
              <w:top w:val="single" w:sz="4" w:space="0" w:color="auto"/>
              <w:bottom w:val="single" w:sz="4" w:space="0" w:color="auto"/>
            </w:tcBorders>
            <w:shd w:val="clear" w:color="auto" w:fill="8DB3E2" w:themeFill="text2" w:themeFillTint="66"/>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B01865">
              <w:rPr>
                <w:rFonts w:ascii="Arial" w:hAnsi="Arial"/>
                <w:spacing w:val="6"/>
                <w:sz w:val="18"/>
                <w:szCs w:val="24"/>
              </w:rPr>
              <w:t>Concepto</w:t>
            </w:r>
          </w:p>
        </w:tc>
        <w:tc>
          <w:tcPr>
            <w:tcW w:w="1521" w:type="dxa"/>
            <w:tcBorders>
              <w:top w:val="single" w:sz="4" w:space="0" w:color="auto"/>
              <w:bottom w:val="single" w:sz="4" w:space="0" w:color="auto"/>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B01865">
              <w:rPr>
                <w:rFonts w:ascii="Arial" w:hAnsi="Arial"/>
                <w:spacing w:val="6"/>
                <w:sz w:val="18"/>
                <w:szCs w:val="24"/>
              </w:rPr>
              <w:t xml:space="preserve">Importe 2017 </w:t>
            </w:r>
          </w:p>
        </w:tc>
      </w:tr>
      <w:tr w:rsidR="00B01865" w:rsidRPr="00B01865" w:rsidTr="006217CE">
        <w:trPr>
          <w:trHeight w:val="198"/>
          <w:jc w:val="center"/>
        </w:trPr>
        <w:tc>
          <w:tcPr>
            <w:tcW w:w="7282" w:type="dxa"/>
            <w:tcBorders>
              <w:top w:val="single" w:sz="4" w:space="0" w:color="auto"/>
              <w:bottom w:val="single" w:sz="2"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Ingreso cap. IX Pasivos Financieros: Reembolso préstamo Fundación CETENA</w:t>
            </w:r>
          </w:p>
        </w:tc>
        <w:tc>
          <w:tcPr>
            <w:tcW w:w="1521" w:type="dxa"/>
            <w:tcBorders>
              <w:top w:val="single" w:sz="4" w:space="0" w:color="auto"/>
              <w:bottom w:val="single" w:sz="2"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33.340</w:t>
            </w:r>
          </w:p>
        </w:tc>
      </w:tr>
      <w:tr w:rsidR="00B01865" w:rsidRPr="00B01865" w:rsidTr="006217CE">
        <w:trPr>
          <w:trHeight w:val="198"/>
          <w:jc w:val="center"/>
        </w:trPr>
        <w:tc>
          <w:tcPr>
            <w:tcW w:w="7282" w:type="dxa"/>
            <w:tcBorders>
              <w:top w:val="single" w:sz="2" w:space="0" w:color="auto"/>
              <w:bottom w:val="single" w:sz="4" w:space="0" w:color="auto"/>
            </w:tcBorders>
            <w:noWrap/>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Narrow" w:hAnsi="Arial Narrow"/>
                <w:spacing w:val="6"/>
              </w:rPr>
            </w:pPr>
            <w:r w:rsidRPr="00B01865">
              <w:rPr>
                <w:rFonts w:ascii="Arial Narrow" w:hAnsi="Arial Narrow"/>
                <w:spacing w:val="6"/>
              </w:rPr>
              <w:t xml:space="preserve">Ingreso </w:t>
            </w:r>
            <w:proofErr w:type="spellStart"/>
            <w:r w:rsidRPr="00B01865">
              <w:rPr>
                <w:rFonts w:ascii="Arial Narrow" w:hAnsi="Arial Narrow"/>
                <w:spacing w:val="6"/>
              </w:rPr>
              <w:t>cap.VIII</w:t>
            </w:r>
            <w:proofErr w:type="spellEnd"/>
            <w:r w:rsidRPr="00B01865">
              <w:rPr>
                <w:rFonts w:ascii="Arial Narrow" w:hAnsi="Arial Narrow"/>
                <w:spacing w:val="6"/>
              </w:rPr>
              <w:t xml:space="preserve"> Activos Financieros: Enajenación derechos emisión dióxido carbono</w:t>
            </w:r>
          </w:p>
        </w:tc>
        <w:tc>
          <w:tcPr>
            <w:tcW w:w="1521" w:type="dxa"/>
            <w:tcBorders>
              <w:top w:val="single" w:sz="2" w:space="0" w:color="auto"/>
              <w:bottom w:val="single" w:sz="4" w:space="0" w:color="auto"/>
            </w:tcBorders>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B01865">
              <w:rPr>
                <w:rFonts w:ascii="Arial Narrow" w:hAnsi="Arial Narrow"/>
                <w:spacing w:val="6"/>
              </w:rPr>
              <w:t>6.753</w:t>
            </w:r>
          </w:p>
        </w:tc>
      </w:tr>
    </w:tbl>
    <w:p w:rsidR="00B01865" w:rsidRPr="00B01865" w:rsidRDefault="00B01865" w:rsidP="006217CE">
      <w:pPr>
        <w:pStyle w:val="texto"/>
        <w:spacing w:before="240" w:after="240"/>
      </w:pPr>
      <w:r w:rsidRPr="00B01865">
        <w:t>Del trabajo realizado hemos obtenido las siguientes conclusiones:</w:t>
      </w:r>
    </w:p>
    <w:p w:rsidR="00B01865" w:rsidRPr="00260377" w:rsidRDefault="00B01865" w:rsidP="0026037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B01865">
        <w:rPr>
          <w:rFonts w:cs="Arial"/>
        </w:rPr>
        <w:t>El préstamo de la Fundación CETENA se corresponde con uno concedido por el Estado en el que la ACFN es una mera intermediaria, por lo que no deb</w:t>
      </w:r>
      <w:r w:rsidRPr="00B01865">
        <w:rPr>
          <w:rFonts w:cs="Arial"/>
        </w:rPr>
        <w:t>e</w:t>
      </w:r>
      <w:r w:rsidRPr="00B01865">
        <w:rPr>
          <w:rFonts w:cs="Arial"/>
        </w:rPr>
        <w:t>ría registrarse en el presupuesto. Este préstamo se concedió en 2009 y comenzó a amortizarse en 2012; el importe anual registrado en los presupuestos del p</w:t>
      </w:r>
      <w:r w:rsidRPr="00B01865">
        <w:rPr>
          <w:rFonts w:cs="Arial"/>
        </w:rPr>
        <w:t>e</w:t>
      </w:r>
      <w:r w:rsidRPr="00B01865">
        <w:rPr>
          <w:rFonts w:cs="Arial"/>
        </w:rPr>
        <w:t xml:space="preserve">riodo 2012-2016 inadecuadamente ha sido el mismo que en 2017, 33.340 euros. </w:t>
      </w:r>
    </w:p>
    <w:p w:rsidR="00B01865" w:rsidRPr="00260377" w:rsidRDefault="00B01865" w:rsidP="0026037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260377">
        <w:rPr>
          <w:rFonts w:cs="Arial"/>
        </w:rPr>
        <w:t xml:space="preserve">Respecto a la otra operación analizada señalamos lo siguiente: </w:t>
      </w:r>
    </w:p>
    <w:p w:rsidR="00B01865" w:rsidRPr="00B01865" w:rsidRDefault="00B01865" w:rsidP="00260377">
      <w:pPr>
        <w:pStyle w:val="texto"/>
      </w:pPr>
      <w:r w:rsidRPr="00B01865">
        <w:t xml:space="preserve">En diciembre de 2006 </w:t>
      </w:r>
      <w:r w:rsidR="00C715B8">
        <w:t xml:space="preserve">se autorizó la suscripción de </w:t>
      </w:r>
      <w:r w:rsidRPr="00B01865">
        <w:t xml:space="preserve">participaciones en el “Fondo de Carbono para la empresa española” hasta un importe máximo de cinco millones de euros </w:t>
      </w:r>
      <w:r w:rsidR="00C715B8">
        <w:t>con el fin de</w:t>
      </w:r>
      <w:r w:rsidRPr="00B01865">
        <w:t xml:space="preserve"> ponerlos a disposición de la industria n</w:t>
      </w:r>
      <w:r w:rsidRPr="00B01865">
        <w:t>a</w:t>
      </w:r>
      <w:r w:rsidRPr="00B01865">
        <w:t xml:space="preserve">varra para el cumplimiento de sus obligaciones medioambientales. Este fondo se constituyó con una duración inicial de siete años, para el periodo 2006-2013. Los gastos de este fondo </w:t>
      </w:r>
      <w:r w:rsidR="00E14E81">
        <w:t>eran</w:t>
      </w:r>
      <w:r w:rsidRPr="00B01865">
        <w:t xml:space="preserve"> desembolsos </w:t>
      </w:r>
      <w:r w:rsidR="00E14E81">
        <w:t xml:space="preserve">o </w:t>
      </w:r>
      <w:r w:rsidRPr="00B01865">
        <w:t xml:space="preserve">llamadas de capital y comisiones. </w:t>
      </w:r>
    </w:p>
    <w:p w:rsidR="00B01865" w:rsidRPr="00B01865" w:rsidRDefault="00B01865" w:rsidP="00260377">
      <w:pPr>
        <w:pStyle w:val="texto"/>
      </w:pPr>
      <w:r w:rsidRPr="00B01865">
        <w:t>En 2011 a la vista de los resultados</w:t>
      </w:r>
      <w:r w:rsidR="00E14E81">
        <w:t>,</w:t>
      </w:r>
      <w:r w:rsidRPr="00B01865">
        <w:t xml:space="preserve"> de la evolución del fondo en los merc</w:t>
      </w:r>
      <w:r w:rsidRPr="00B01865">
        <w:t>a</w:t>
      </w:r>
      <w:r w:rsidRPr="00B01865">
        <w:t xml:space="preserve">dos de derechos de emisión, de la no existencia de un tratado posterior al de </w:t>
      </w:r>
      <w:proofErr w:type="spellStart"/>
      <w:r w:rsidRPr="00B01865">
        <w:t>Kyoto</w:t>
      </w:r>
      <w:proofErr w:type="spellEnd"/>
      <w:r w:rsidRPr="00B01865">
        <w:t xml:space="preserve">, y de la incertidumbre legal existente en la Unión Europea al respecto, la ACFN decidió </w:t>
      </w:r>
      <w:r w:rsidR="00E14E81">
        <w:t>salir</w:t>
      </w:r>
      <w:r w:rsidRPr="00B01865">
        <w:t xml:space="preserve"> del fondo en 2013 </w:t>
      </w:r>
      <w:r w:rsidR="00E14E81">
        <w:t>cuando finalizara su vigencia</w:t>
      </w:r>
      <w:r w:rsidRPr="00B01865">
        <w:t xml:space="preserve">. </w:t>
      </w:r>
    </w:p>
    <w:p w:rsidR="00B01865" w:rsidRPr="00B01865" w:rsidRDefault="00B01865" w:rsidP="00260377">
      <w:pPr>
        <w:pStyle w:val="texto"/>
      </w:pPr>
      <w:r w:rsidRPr="00B01865">
        <w:t xml:space="preserve">Previamente a la salida en firme del fondo, en 2013 hubo un cambio en la normativa europea en los mercados de derechos de emisión que afectaba a la vigencia de los </w:t>
      </w:r>
      <w:r w:rsidR="00E14E81">
        <w:t xml:space="preserve">derechos adquiridos por la ACFN que </w:t>
      </w:r>
      <w:r w:rsidRPr="00B01865">
        <w:t>suponía un deterioro de su valor de cotización</w:t>
      </w:r>
      <w:r w:rsidR="00F93001">
        <w:t xml:space="preserve">, por lo que </w:t>
      </w:r>
      <w:r w:rsidR="00E14E81">
        <w:t>se</w:t>
      </w:r>
      <w:r w:rsidRPr="00B01865">
        <w:t xml:space="preserve"> dotó la correspondiente provisión a finales de 2012 y 2013. </w:t>
      </w:r>
      <w:r w:rsidR="00F93001">
        <w:t>E</w:t>
      </w:r>
      <w:r w:rsidRPr="00B01865">
        <w:t>n 2014, se estimó conveniente permanecer en el mercado i</w:t>
      </w:r>
      <w:r w:rsidRPr="00B01865">
        <w:t>n</w:t>
      </w:r>
      <w:r w:rsidRPr="00B01865">
        <w:t>tercambiando los derechos que se poseían por otros a través de una operación de compraventa a la cual se</w:t>
      </w:r>
      <w:r w:rsidR="00A050F1">
        <w:t xml:space="preserve"> le aplicó la provisión citada. El valor de los der</w:t>
      </w:r>
      <w:r w:rsidR="00A050F1">
        <w:t>e</w:t>
      </w:r>
      <w:r w:rsidR="00A050F1">
        <w:t>chos intercambiados ascendió a 6.151 euros.</w:t>
      </w:r>
    </w:p>
    <w:p w:rsidR="00B01865" w:rsidRPr="00B01865" w:rsidRDefault="00B01865" w:rsidP="00260377">
      <w:pPr>
        <w:pStyle w:val="texto"/>
      </w:pPr>
      <w:r w:rsidRPr="00B01865">
        <w:t>El ingreso registrado ahora en 2017 se corresponde con la enajenación de los derechos adquirido</w:t>
      </w:r>
      <w:r w:rsidR="00F93001">
        <w:t>s</w:t>
      </w:r>
      <w:r w:rsidRPr="00B01865">
        <w:t xml:space="preserve"> en 2014; las razones que motivaron su venta fueron las s</w:t>
      </w:r>
      <w:r w:rsidRPr="00B01865">
        <w:t>i</w:t>
      </w:r>
      <w:r w:rsidRPr="00B01865">
        <w:t>guientes: la cotización de los derechos fluctuaba de manera significativa; los costes de mantenimiento de los mismos eran elevados; el interés público por este tipo de derechos ha</w:t>
      </w:r>
      <w:r w:rsidR="00F93001">
        <w:t>bía</w:t>
      </w:r>
      <w:r w:rsidRPr="00B01865">
        <w:t xml:space="preserve"> descendido considerablemente, y finalmente, la ge</w:t>
      </w:r>
      <w:r w:rsidRPr="00B01865">
        <w:t>s</w:t>
      </w:r>
      <w:r w:rsidRPr="00B01865">
        <w:t>tión administrativa era demasiado compleja.</w:t>
      </w:r>
    </w:p>
    <w:p w:rsidR="00B01865" w:rsidRPr="00B01865" w:rsidRDefault="00B01865" w:rsidP="00260377">
      <w:pPr>
        <w:pStyle w:val="texto"/>
        <w:spacing w:after="240"/>
      </w:pPr>
      <w:r w:rsidRPr="00B01865">
        <w:lastRenderedPageBreak/>
        <w:t xml:space="preserve">En resumen, los gastos e ingresos asociados a </w:t>
      </w:r>
      <w:r w:rsidR="00F93001">
        <w:t>este fondo</w:t>
      </w:r>
      <w:r w:rsidRPr="00B01865">
        <w:t xml:space="preserve"> </w:t>
      </w:r>
      <w:r w:rsidR="00F93001">
        <w:t>han sido</w:t>
      </w:r>
      <w:r w:rsidRPr="00B01865">
        <w:t>:</w:t>
      </w:r>
    </w:p>
    <w:tbl>
      <w:tblPr>
        <w:tblW w:w="8874" w:type="dxa"/>
        <w:tblInd w:w="55" w:type="dxa"/>
        <w:tblCellMar>
          <w:left w:w="70" w:type="dxa"/>
          <w:right w:w="70" w:type="dxa"/>
        </w:tblCellMar>
        <w:tblLook w:val="04A0" w:firstRow="1" w:lastRow="0" w:firstColumn="1" w:lastColumn="0" w:noHBand="0" w:noVBand="1"/>
      </w:tblPr>
      <w:tblGrid>
        <w:gridCol w:w="4410"/>
        <w:gridCol w:w="1205"/>
        <w:gridCol w:w="1198"/>
        <w:gridCol w:w="2061"/>
      </w:tblGrid>
      <w:tr w:rsidR="00B01865" w:rsidRPr="00B01865" w:rsidTr="00AC7529">
        <w:trPr>
          <w:trHeight w:val="255"/>
        </w:trPr>
        <w:tc>
          <w:tcPr>
            <w:tcW w:w="441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left"/>
              <w:rPr>
                <w:rFonts w:ascii="Arial" w:hAnsi="Arial" w:cs="Arial"/>
                <w:bCs/>
                <w:color w:val="000000"/>
                <w:sz w:val="18"/>
                <w:szCs w:val="18"/>
                <w:lang w:val="es-ES" w:eastAsia="es-ES"/>
              </w:rPr>
            </w:pPr>
            <w:r w:rsidRPr="00B01865">
              <w:rPr>
                <w:rFonts w:ascii="Arial" w:hAnsi="Arial" w:cs="Arial"/>
                <w:bCs/>
                <w:color w:val="000000"/>
                <w:sz w:val="18"/>
                <w:szCs w:val="18"/>
                <w:lang w:val="es-ES" w:eastAsia="es-ES"/>
              </w:rPr>
              <w:t>Concepto</w:t>
            </w:r>
          </w:p>
        </w:tc>
        <w:tc>
          <w:tcPr>
            <w:tcW w:w="1205"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right"/>
              <w:rPr>
                <w:rFonts w:ascii="Arial" w:hAnsi="Arial" w:cs="Arial"/>
                <w:bCs/>
                <w:color w:val="000000"/>
                <w:sz w:val="18"/>
                <w:szCs w:val="18"/>
                <w:lang w:val="es-ES" w:eastAsia="es-ES"/>
              </w:rPr>
            </w:pPr>
            <w:r w:rsidRPr="00B01865">
              <w:rPr>
                <w:rFonts w:ascii="Arial" w:hAnsi="Arial" w:cs="Arial"/>
                <w:bCs/>
                <w:color w:val="000000"/>
                <w:sz w:val="18"/>
                <w:szCs w:val="18"/>
                <w:lang w:val="es-ES" w:eastAsia="es-ES"/>
              </w:rPr>
              <w:t>Gastos</w:t>
            </w:r>
          </w:p>
        </w:tc>
        <w:tc>
          <w:tcPr>
            <w:tcW w:w="1198"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right"/>
              <w:rPr>
                <w:rFonts w:ascii="Arial" w:hAnsi="Arial" w:cs="Arial"/>
                <w:bCs/>
                <w:color w:val="000000"/>
                <w:sz w:val="18"/>
                <w:szCs w:val="18"/>
                <w:lang w:val="es-ES" w:eastAsia="es-ES"/>
              </w:rPr>
            </w:pPr>
            <w:r w:rsidRPr="00B01865">
              <w:rPr>
                <w:rFonts w:ascii="Arial" w:hAnsi="Arial" w:cs="Arial"/>
                <w:bCs/>
                <w:color w:val="000000"/>
                <w:sz w:val="18"/>
                <w:szCs w:val="18"/>
                <w:lang w:val="es-ES" w:eastAsia="es-ES"/>
              </w:rPr>
              <w:t>Ingresos</w:t>
            </w:r>
          </w:p>
        </w:tc>
        <w:tc>
          <w:tcPr>
            <w:tcW w:w="2061"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right"/>
              <w:rPr>
                <w:rFonts w:ascii="Arial" w:hAnsi="Arial" w:cs="Arial"/>
                <w:bCs/>
                <w:color w:val="000000"/>
                <w:sz w:val="18"/>
                <w:szCs w:val="18"/>
                <w:lang w:val="es-ES" w:eastAsia="es-ES"/>
              </w:rPr>
            </w:pPr>
            <w:r w:rsidRPr="00B01865">
              <w:rPr>
                <w:rFonts w:ascii="Arial" w:hAnsi="Arial" w:cs="Arial"/>
                <w:bCs/>
                <w:color w:val="000000"/>
                <w:sz w:val="18"/>
                <w:szCs w:val="18"/>
                <w:lang w:val="es-ES" w:eastAsia="es-ES"/>
              </w:rPr>
              <w:t>Años hechos contables</w:t>
            </w:r>
          </w:p>
        </w:tc>
      </w:tr>
      <w:tr w:rsidR="00B01865" w:rsidRPr="00B01865" w:rsidTr="00F93001">
        <w:trPr>
          <w:trHeight w:val="170"/>
        </w:trPr>
        <w:tc>
          <w:tcPr>
            <w:tcW w:w="4410"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Llamadas de capital</w:t>
            </w:r>
          </w:p>
        </w:tc>
        <w:tc>
          <w:tcPr>
            <w:tcW w:w="1205"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2.899.441  </w:t>
            </w:r>
          </w:p>
        </w:tc>
        <w:tc>
          <w:tcPr>
            <w:tcW w:w="1198"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0 </w:t>
            </w:r>
          </w:p>
        </w:tc>
        <w:tc>
          <w:tcPr>
            <w:tcW w:w="2061"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2007-2013</w:t>
            </w:r>
          </w:p>
        </w:tc>
      </w:tr>
      <w:tr w:rsidR="00B01865" w:rsidRPr="00B01865" w:rsidTr="00F93001">
        <w:trPr>
          <w:trHeight w:val="170"/>
        </w:trPr>
        <w:tc>
          <w:tcPr>
            <w:tcW w:w="4410"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Comisiones de gestión</w:t>
            </w:r>
          </w:p>
        </w:tc>
        <w:tc>
          <w:tcPr>
            <w:tcW w:w="1205"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776.932  </w:t>
            </w:r>
          </w:p>
        </w:tc>
        <w:tc>
          <w:tcPr>
            <w:tcW w:w="1198"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0 </w:t>
            </w:r>
          </w:p>
        </w:tc>
        <w:tc>
          <w:tcPr>
            <w:tcW w:w="2061"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2007-2013</w:t>
            </w:r>
          </w:p>
        </w:tc>
      </w:tr>
      <w:tr w:rsidR="00B01865" w:rsidRPr="00B01865" w:rsidTr="00F93001">
        <w:trPr>
          <w:trHeight w:val="170"/>
        </w:trPr>
        <w:tc>
          <w:tcPr>
            <w:tcW w:w="4410"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Intereses Generados</w:t>
            </w:r>
          </w:p>
        </w:tc>
        <w:tc>
          <w:tcPr>
            <w:tcW w:w="1205"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0</w:t>
            </w:r>
          </w:p>
        </w:tc>
        <w:tc>
          <w:tcPr>
            <w:tcW w:w="1198"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459.826  </w:t>
            </w:r>
          </w:p>
        </w:tc>
        <w:tc>
          <w:tcPr>
            <w:tcW w:w="2061"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2007-2013 </w:t>
            </w:r>
          </w:p>
        </w:tc>
      </w:tr>
      <w:tr w:rsidR="00B01865" w:rsidRPr="00B01865" w:rsidTr="00F93001">
        <w:trPr>
          <w:trHeight w:val="170"/>
        </w:trPr>
        <w:tc>
          <w:tcPr>
            <w:tcW w:w="4410"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Reembolsos</w:t>
            </w:r>
          </w:p>
        </w:tc>
        <w:tc>
          <w:tcPr>
            <w:tcW w:w="1205"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0</w:t>
            </w:r>
          </w:p>
        </w:tc>
        <w:tc>
          <w:tcPr>
            <w:tcW w:w="1198"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36.525  </w:t>
            </w:r>
          </w:p>
        </w:tc>
        <w:tc>
          <w:tcPr>
            <w:tcW w:w="2061"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2012 y 2015</w:t>
            </w:r>
          </w:p>
        </w:tc>
      </w:tr>
      <w:tr w:rsidR="00B01865" w:rsidRPr="00B01865" w:rsidTr="00F93001">
        <w:trPr>
          <w:trHeight w:val="170"/>
        </w:trPr>
        <w:tc>
          <w:tcPr>
            <w:tcW w:w="4410"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Venta derechos adquiridos previamente a 2013</w:t>
            </w:r>
          </w:p>
        </w:tc>
        <w:tc>
          <w:tcPr>
            <w:tcW w:w="1205"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0</w:t>
            </w:r>
          </w:p>
        </w:tc>
        <w:tc>
          <w:tcPr>
            <w:tcW w:w="1198"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6.153  </w:t>
            </w:r>
          </w:p>
        </w:tc>
        <w:tc>
          <w:tcPr>
            <w:tcW w:w="2061"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2014</w:t>
            </w:r>
          </w:p>
        </w:tc>
      </w:tr>
      <w:tr w:rsidR="00B01865" w:rsidRPr="00B01865" w:rsidTr="00F93001">
        <w:trPr>
          <w:trHeight w:val="170"/>
        </w:trPr>
        <w:tc>
          <w:tcPr>
            <w:tcW w:w="4410"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Compra derechos en 2014 (intercambio con los poseídos)</w:t>
            </w:r>
          </w:p>
        </w:tc>
        <w:tc>
          <w:tcPr>
            <w:tcW w:w="1205"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6.151  </w:t>
            </w:r>
          </w:p>
        </w:tc>
        <w:tc>
          <w:tcPr>
            <w:tcW w:w="1198"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w:t>
            </w:r>
          </w:p>
        </w:tc>
        <w:tc>
          <w:tcPr>
            <w:tcW w:w="2061"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2014</w:t>
            </w:r>
          </w:p>
        </w:tc>
      </w:tr>
      <w:tr w:rsidR="00B01865" w:rsidRPr="00B01865" w:rsidTr="00F93001">
        <w:trPr>
          <w:trHeight w:val="170"/>
        </w:trPr>
        <w:tc>
          <w:tcPr>
            <w:tcW w:w="4410"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Venta derechos adquiridos en 2014</w:t>
            </w:r>
          </w:p>
        </w:tc>
        <w:tc>
          <w:tcPr>
            <w:tcW w:w="1205"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0</w:t>
            </w:r>
          </w:p>
        </w:tc>
        <w:tc>
          <w:tcPr>
            <w:tcW w:w="1198"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6.752  </w:t>
            </w:r>
          </w:p>
        </w:tc>
        <w:tc>
          <w:tcPr>
            <w:tcW w:w="2061"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2017</w:t>
            </w:r>
          </w:p>
        </w:tc>
      </w:tr>
      <w:tr w:rsidR="00B01865" w:rsidRPr="00B01865" w:rsidTr="00F93001">
        <w:trPr>
          <w:trHeight w:val="170"/>
        </w:trPr>
        <w:tc>
          <w:tcPr>
            <w:tcW w:w="4410"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left"/>
              <w:rPr>
                <w:rFonts w:ascii="Arial Narrow" w:hAnsi="Arial Narrow"/>
                <w:color w:val="000000"/>
                <w:lang w:val="es-ES" w:eastAsia="es-ES"/>
              </w:rPr>
            </w:pPr>
            <w:r w:rsidRPr="00B01865">
              <w:rPr>
                <w:rFonts w:ascii="Arial Narrow" w:hAnsi="Arial Narrow"/>
                <w:color w:val="000000"/>
                <w:lang w:val="es-ES" w:eastAsia="es-ES"/>
              </w:rPr>
              <w:t>Comisiones gestión derechos adquiridos en 2014</w:t>
            </w:r>
          </w:p>
        </w:tc>
        <w:tc>
          <w:tcPr>
            <w:tcW w:w="1205"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 xml:space="preserve">1.286  </w:t>
            </w:r>
          </w:p>
        </w:tc>
        <w:tc>
          <w:tcPr>
            <w:tcW w:w="1198"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0 </w:t>
            </w:r>
          </w:p>
        </w:tc>
        <w:tc>
          <w:tcPr>
            <w:tcW w:w="2061" w:type="dxa"/>
            <w:tcBorders>
              <w:top w:val="single" w:sz="4" w:space="0" w:color="auto"/>
              <w:bottom w:val="single" w:sz="4" w:space="0" w:color="auto"/>
            </w:tcBorders>
            <w:shd w:val="clear" w:color="auto" w:fill="auto"/>
            <w:noWrap/>
            <w:vAlign w:val="center"/>
            <w:hideMark/>
          </w:tcPr>
          <w:p w:rsidR="00B01865" w:rsidRPr="00B01865" w:rsidRDefault="00B01865" w:rsidP="00B01865">
            <w:pPr>
              <w:spacing w:after="0"/>
              <w:ind w:firstLine="0"/>
              <w:jc w:val="right"/>
              <w:rPr>
                <w:rFonts w:ascii="Arial Narrow" w:hAnsi="Arial Narrow"/>
                <w:color w:val="000000"/>
                <w:lang w:val="es-ES" w:eastAsia="es-ES"/>
              </w:rPr>
            </w:pPr>
            <w:r w:rsidRPr="00B01865">
              <w:rPr>
                <w:rFonts w:ascii="Arial Narrow" w:hAnsi="Arial Narrow"/>
                <w:color w:val="000000"/>
                <w:lang w:val="es-ES" w:eastAsia="es-ES"/>
              </w:rPr>
              <w:t>2014-2018</w:t>
            </w:r>
          </w:p>
        </w:tc>
      </w:tr>
      <w:tr w:rsidR="00B01865" w:rsidRPr="00B01865" w:rsidTr="00AC7529">
        <w:trPr>
          <w:trHeight w:val="255"/>
        </w:trPr>
        <w:tc>
          <w:tcPr>
            <w:tcW w:w="4410"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left"/>
              <w:rPr>
                <w:rFonts w:ascii="Arial" w:hAnsi="Arial" w:cs="Arial"/>
                <w:bCs/>
                <w:color w:val="000000"/>
                <w:sz w:val="18"/>
                <w:szCs w:val="18"/>
                <w:lang w:val="es-ES" w:eastAsia="es-ES"/>
              </w:rPr>
            </w:pPr>
            <w:r w:rsidRPr="00B01865">
              <w:rPr>
                <w:rFonts w:ascii="Arial" w:hAnsi="Arial" w:cs="Arial"/>
                <w:bCs/>
                <w:color w:val="000000"/>
                <w:sz w:val="18"/>
                <w:szCs w:val="18"/>
                <w:lang w:val="es-ES" w:eastAsia="es-ES"/>
              </w:rPr>
              <w:t>Total</w:t>
            </w:r>
          </w:p>
        </w:tc>
        <w:tc>
          <w:tcPr>
            <w:tcW w:w="1205"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right"/>
              <w:rPr>
                <w:rFonts w:ascii="Arial" w:hAnsi="Arial" w:cs="Arial"/>
                <w:bCs/>
                <w:color w:val="000000"/>
                <w:sz w:val="18"/>
                <w:szCs w:val="18"/>
                <w:lang w:val="es-ES" w:eastAsia="es-ES"/>
              </w:rPr>
            </w:pPr>
            <w:r w:rsidRPr="00B01865">
              <w:rPr>
                <w:rFonts w:ascii="Arial" w:hAnsi="Arial" w:cs="Arial"/>
                <w:bCs/>
                <w:color w:val="000000"/>
                <w:sz w:val="18"/>
                <w:szCs w:val="18"/>
                <w:lang w:val="es-ES" w:eastAsia="es-ES"/>
              </w:rPr>
              <w:t>3.683.810</w:t>
            </w:r>
          </w:p>
        </w:tc>
        <w:tc>
          <w:tcPr>
            <w:tcW w:w="1198"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right"/>
              <w:rPr>
                <w:rFonts w:ascii="Arial" w:hAnsi="Arial" w:cs="Arial"/>
                <w:bCs/>
                <w:color w:val="000000"/>
                <w:sz w:val="18"/>
                <w:szCs w:val="18"/>
                <w:lang w:val="es-ES" w:eastAsia="es-ES"/>
              </w:rPr>
            </w:pPr>
            <w:r w:rsidRPr="00B01865">
              <w:rPr>
                <w:rFonts w:ascii="Arial" w:hAnsi="Arial" w:cs="Arial"/>
                <w:bCs/>
                <w:color w:val="000000"/>
                <w:sz w:val="18"/>
                <w:szCs w:val="18"/>
                <w:lang w:val="es-ES" w:eastAsia="es-ES"/>
              </w:rPr>
              <w:t>509.256</w:t>
            </w:r>
          </w:p>
        </w:tc>
        <w:tc>
          <w:tcPr>
            <w:tcW w:w="2061" w:type="dxa"/>
            <w:tcBorders>
              <w:top w:val="single" w:sz="4" w:space="0" w:color="auto"/>
              <w:bottom w:val="single" w:sz="4" w:space="0" w:color="auto"/>
            </w:tcBorders>
            <w:shd w:val="clear" w:color="auto" w:fill="8DB3E2" w:themeFill="text2" w:themeFillTint="66"/>
            <w:noWrap/>
            <w:vAlign w:val="center"/>
            <w:hideMark/>
          </w:tcPr>
          <w:p w:rsidR="00B01865" w:rsidRPr="00B01865" w:rsidRDefault="00B01865" w:rsidP="00B01865">
            <w:pPr>
              <w:spacing w:after="0"/>
              <w:ind w:firstLine="0"/>
              <w:jc w:val="right"/>
              <w:rPr>
                <w:rFonts w:ascii="Arial" w:hAnsi="Arial" w:cs="Arial"/>
                <w:bCs/>
                <w:color w:val="000000"/>
                <w:sz w:val="18"/>
                <w:szCs w:val="18"/>
                <w:lang w:val="es-ES" w:eastAsia="es-ES"/>
              </w:rPr>
            </w:pPr>
          </w:p>
        </w:tc>
      </w:tr>
    </w:tbl>
    <w:p w:rsidR="00B01865" w:rsidRPr="00B01865" w:rsidRDefault="00B01865" w:rsidP="00C715B8">
      <w:pPr>
        <w:tabs>
          <w:tab w:val="center" w:pos="2835"/>
          <w:tab w:val="center" w:pos="3969"/>
          <w:tab w:val="center" w:pos="5103"/>
          <w:tab w:val="center" w:pos="6237"/>
          <w:tab w:val="center" w:pos="7371"/>
        </w:tabs>
        <w:spacing w:before="240" w:after="120"/>
        <w:ind w:firstLine="284"/>
        <w:rPr>
          <w:spacing w:val="6"/>
          <w:sz w:val="26"/>
          <w:szCs w:val="24"/>
        </w:rPr>
      </w:pPr>
      <w:r w:rsidRPr="00B01865">
        <w:rPr>
          <w:spacing w:val="6"/>
          <w:sz w:val="26"/>
          <w:szCs w:val="24"/>
        </w:rPr>
        <w:t>El resultado final de la operación ha sido una pérdida de 3,17 millones de e</w:t>
      </w:r>
      <w:r w:rsidRPr="00B01865">
        <w:rPr>
          <w:spacing w:val="6"/>
          <w:sz w:val="26"/>
          <w:szCs w:val="24"/>
        </w:rPr>
        <w:t>u</w:t>
      </w:r>
      <w:r w:rsidRPr="00B01865">
        <w:rPr>
          <w:spacing w:val="6"/>
          <w:sz w:val="26"/>
          <w:szCs w:val="24"/>
        </w:rPr>
        <w:t>ros en el conjunto del periodo para la ACFN.</w:t>
      </w:r>
    </w:p>
    <w:p w:rsidR="00B01865" w:rsidRPr="00B01865" w:rsidRDefault="00B01865" w:rsidP="00C715B8">
      <w:pPr>
        <w:pStyle w:val="texto"/>
        <w:spacing w:before="120"/>
        <w:rPr>
          <w:lang w:val="es-ES"/>
        </w:rPr>
      </w:pPr>
      <w:r w:rsidRPr="00B01865">
        <w:rPr>
          <w:lang w:val="es-ES"/>
        </w:rPr>
        <w:t>Recomendamos:</w:t>
      </w:r>
    </w:p>
    <w:p w:rsidR="00B01865" w:rsidRPr="00260377" w:rsidRDefault="00B01865" w:rsidP="0026037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260377">
        <w:rPr>
          <w:rFonts w:cs="Arial"/>
          <w:i/>
        </w:rPr>
        <w:t>Registrar en el presupuesto exclusivamente aquellas operaciones contables que hayan tenido una trascendencia real en la actividad de la ACFN y no aquellas en las que se haya sido un mero intermediario.</w:t>
      </w:r>
    </w:p>
    <w:p w:rsidR="00B01865" w:rsidRPr="00260377" w:rsidRDefault="00B01865" w:rsidP="00260377">
      <w:pPr>
        <w:pStyle w:val="texto"/>
        <w:numPr>
          <w:ilvl w:val="0"/>
          <w:numId w:val="2"/>
        </w:numPr>
        <w:tabs>
          <w:tab w:val="clear" w:pos="1948"/>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i/>
        </w:rPr>
      </w:pPr>
      <w:r w:rsidRPr="00260377">
        <w:rPr>
          <w:rFonts w:cs="Arial"/>
          <w:i/>
        </w:rPr>
        <w:t>Provisionar los riesgos asociados al incumplimiento de las obligaciones avaladas.</w:t>
      </w:r>
    </w:p>
    <w:p w:rsidR="00B01865" w:rsidRPr="00260377" w:rsidRDefault="00B01865" w:rsidP="00844C81">
      <w:pPr>
        <w:pStyle w:val="atitulo2"/>
        <w:spacing w:before="240" w:after="120"/>
        <w:rPr>
          <w:bCs w:val="0"/>
          <w:iCs w:val="0"/>
          <w:lang w:val="es-ES"/>
        </w:rPr>
      </w:pPr>
      <w:bookmarkStart w:id="111" w:name="_Toc494270395"/>
      <w:bookmarkStart w:id="112" w:name="_Toc525907451"/>
      <w:bookmarkStart w:id="113" w:name="_Toc530034679"/>
      <w:r w:rsidRPr="00260377">
        <w:rPr>
          <w:bCs w:val="0"/>
          <w:iCs w:val="0"/>
          <w:lang w:val="es-ES"/>
        </w:rPr>
        <w:t>V.1</w:t>
      </w:r>
      <w:r w:rsidR="001C37BF">
        <w:rPr>
          <w:bCs w:val="0"/>
          <w:iCs w:val="0"/>
          <w:lang w:val="es-ES"/>
        </w:rPr>
        <w:t>4</w:t>
      </w:r>
      <w:r w:rsidRPr="00260377">
        <w:rPr>
          <w:bCs w:val="0"/>
          <w:iCs w:val="0"/>
          <w:lang w:val="es-ES"/>
        </w:rPr>
        <w:t>. Sociedades Públicas y Fundaciones Públicas</w:t>
      </w:r>
      <w:bookmarkEnd w:id="111"/>
      <w:bookmarkEnd w:id="112"/>
      <w:bookmarkEnd w:id="113"/>
    </w:p>
    <w:p w:rsidR="00B01865" w:rsidRPr="00B01865" w:rsidRDefault="00B01865" w:rsidP="00B01865">
      <w:pPr>
        <w:spacing w:before="120" w:after="12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Sociedades Públicas</w:t>
      </w:r>
    </w:p>
    <w:p w:rsidR="00B01865" w:rsidRPr="00B01865" w:rsidRDefault="00B01865" w:rsidP="00B01865">
      <w:pPr>
        <w:tabs>
          <w:tab w:val="center" w:pos="2835"/>
          <w:tab w:val="center" w:pos="3969"/>
          <w:tab w:val="center" w:pos="5103"/>
          <w:tab w:val="center" w:pos="6237"/>
          <w:tab w:val="center" w:pos="7371"/>
        </w:tabs>
        <w:spacing w:after="0"/>
        <w:ind w:firstLine="284"/>
        <w:rPr>
          <w:spacing w:val="6"/>
          <w:sz w:val="26"/>
          <w:szCs w:val="24"/>
          <w:lang w:val="es-ES"/>
        </w:rPr>
      </w:pPr>
      <w:r w:rsidRPr="00B01865">
        <w:rPr>
          <w:spacing w:val="6"/>
          <w:sz w:val="26"/>
          <w:szCs w:val="24"/>
          <w:lang w:val="es-ES"/>
        </w:rPr>
        <w:t>A continuación se presentan datos sobre las sociedades públicas de la Com</w:t>
      </w:r>
      <w:r w:rsidRPr="00B01865">
        <w:rPr>
          <w:spacing w:val="6"/>
          <w:sz w:val="26"/>
          <w:szCs w:val="24"/>
          <w:lang w:val="es-ES"/>
        </w:rPr>
        <w:t>u</w:t>
      </w:r>
      <w:r w:rsidRPr="00B01865">
        <w:rPr>
          <w:spacing w:val="6"/>
          <w:sz w:val="26"/>
          <w:szCs w:val="24"/>
          <w:lang w:val="es-ES"/>
        </w:rPr>
        <w:t>nidad Foral, según información contenida en la memoria de las Cuentas Gen</w:t>
      </w:r>
      <w:r w:rsidRPr="00B01865">
        <w:rPr>
          <w:spacing w:val="6"/>
          <w:sz w:val="26"/>
          <w:szCs w:val="24"/>
          <w:lang w:val="es-ES"/>
        </w:rPr>
        <w:t>e</w:t>
      </w:r>
      <w:r w:rsidRPr="00B01865">
        <w:rPr>
          <w:spacing w:val="6"/>
          <w:sz w:val="26"/>
          <w:szCs w:val="24"/>
          <w:lang w:val="es-ES"/>
        </w:rPr>
        <w:t>rales:</w:t>
      </w:r>
    </w:p>
    <w:p w:rsidR="00B01865" w:rsidRPr="00B01865" w:rsidRDefault="00B01865" w:rsidP="00201AEC">
      <w:pPr>
        <w:tabs>
          <w:tab w:val="center" w:pos="2835"/>
          <w:tab w:val="center" w:pos="3969"/>
          <w:tab w:val="center" w:pos="5103"/>
          <w:tab w:val="center" w:pos="6237"/>
          <w:tab w:val="center" w:pos="7371"/>
        </w:tabs>
        <w:spacing w:after="80"/>
        <w:ind w:right="-450" w:firstLine="284"/>
        <w:jc w:val="right"/>
        <w:rPr>
          <w:rFonts w:ascii="Arial" w:hAnsi="Arial"/>
          <w:spacing w:val="6"/>
          <w:sz w:val="17"/>
          <w:szCs w:val="17"/>
          <w:lang w:val="es-ES"/>
        </w:rPr>
      </w:pPr>
      <w:r w:rsidRPr="00B01865">
        <w:rPr>
          <w:rFonts w:ascii="Arial" w:hAnsi="Arial"/>
          <w:spacing w:val="6"/>
          <w:sz w:val="17"/>
          <w:szCs w:val="17"/>
          <w:lang w:val="es-ES"/>
        </w:rPr>
        <w:t>(en miles de euros, salvo que indique número)</w:t>
      </w:r>
    </w:p>
    <w:tbl>
      <w:tblPr>
        <w:tblW w:w="9841" w:type="dxa"/>
        <w:jc w:val="center"/>
        <w:tblLayout w:type="fixed"/>
        <w:tblCellMar>
          <w:left w:w="80" w:type="dxa"/>
          <w:right w:w="80" w:type="dxa"/>
        </w:tblCellMar>
        <w:tblLook w:val="04A0" w:firstRow="1" w:lastRow="0" w:firstColumn="1" w:lastColumn="0" w:noHBand="0" w:noVBand="1"/>
      </w:tblPr>
      <w:tblGrid>
        <w:gridCol w:w="2335"/>
        <w:gridCol w:w="1027"/>
        <w:gridCol w:w="1396"/>
        <w:gridCol w:w="1258"/>
        <w:gridCol w:w="1519"/>
        <w:gridCol w:w="1214"/>
        <w:gridCol w:w="1092"/>
      </w:tblGrid>
      <w:tr w:rsidR="0086300C" w:rsidRPr="00B01865" w:rsidTr="00844C81">
        <w:trPr>
          <w:trHeight w:val="198"/>
          <w:jc w:val="center"/>
        </w:trPr>
        <w:tc>
          <w:tcPr>
            <w:tcW w:w="2335" w:type="dxa"/>
            <w:tcBorders>
              <w:top w:val="single" w:sz="4" w:space="0" w:color="auto"/>
              <w:left w:val="nil"/>
              <w:bottom w:val="single" w:sz="4" w:space="0" w:color="auto"/>
              <w:right w:val="nil"/>
            </w:tcBorders>
            <w:shd w:val="clear" w:color="auto" w:fill="8DB3E2" w:themeFill="text2" w:themeFillTint="66"/>
            <w:vAlign w:val="center"/>
            <w:hideMark/>
          </w:tcPr>
          <w:p w:rsidR="0086300C" w:rsidRPr="00B01865" w:rsidRDefault="0086300C"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sidRPr="00B01865">
              <w:rPr>
                <w:rFonts w:ascii="Arial" w:hAnsi="Arial" w:cs="Arial"/>
                <w:spacing w:val="6"/>
                <w:sz w:val="16"/>
                <w:szCs w:val="16"/>
              </w:rPr>
              <w:t>Sociedad</w:t>
            </w:r>
          </w:p>
        </w:tc>
        <w:tc>
          <w:tcPr>
            <w:tcW w:w="1027" w:type="dxa"/>
            <w:tcBorders>
              <w:top w:val="single" w:sz="4" w:space="0" w:color="auto"/>
              <w:left w:val="nil"/>
              <w:bottom w:val="single" w:sz="4" w:space="0" w:color="auto"/>
              <w:right w:val="nil"/>
            </w:tcBorders>
            <w:shd w:val="clear" w:color="auto" w:fill="8DB3E2" w:themeFill="text2" w:themeFillTint="66"/>
            <w:vAlign w:val="center"/>
          </w:tcPr>
          <w:p w:rsidR="00844C81" w:rsidRDefault="00844C81" w:rsidP="00844C81">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cs="Arial"/>
                <w:spacing w:val="6"/>
                <w:sz w:val="16"/>
                <w:szCs w:val="16"/>
              </w:rPr>
              <w:t>Resultado</w:t>
            </w:r>
          </w:p>
          <w:p w:rsidR="0086300C" w:rsidRPr="00B01865" w:rsidRDefault="0086300C" w:rsidP="00844C81">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ejercicio</w:t>
            </w:r>
          </w:p>
        </w:tc>
        <w:tc>
          <w:tcPr>
            <w:tcW w:w="1396" w:type="dxa"/>
            <w:tcBorders>
              <w:top w:val="single" w:sz="4" w:space="0" w:color="auto"/>
              <w:left w:val="nil"/>
              <w:bottom w:val="single" w:sz="4" w:space="0" w:color="auto"/>
              <w:right w:val="nil"/>
            </w:tcBorders>
            <w:shd w:val="clear" w:color="auto" w:fill="8DB3E2" w:themeFill="text2" w:themeFillTint="66"/>
            <w:vAlign w:val="center"/>
            <w:hideMark/>
          </w:tcPr>
          <w:p w:rsidR="0086300C" w:rsidRPr="00B01865"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 xml:space="preserve">Subvenciones </w:t>
            </w:r>
          </w:p>
          <w:p w:rsidR="0086300C" w:rsidRPr="00B01865"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Admón. Foral</w:t>
            </w:r>
          </w:p>
        </w:tc>
        <w:tc>
          <w:tcPr>
            <w:tcW w:w="1258" w:type="dxa"/>
            <w:tcBorders>
              <w:top w:val="single" w:sz="4" w:space="0" w:color="auto"/>
              <w:left w:val="nil"/>
              <w:bottom w:val="single" w:sz="4" w:space="0" w:color="auto"/>
              <w:right w:val="nil"/>
            </w:tcBorders>
            <w:shd w:val="clear" w:color="auto" w:fill="8DB3E2" w:themeFill="text2" w:themeFillTint="66"/>
          </w:tcPr>
          <w:p w:rsidR="0086300C"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cs="Arial"/>
                <w:spacing w:val="6"/>
                <w:sz w:val="16"/>
                <w:szCs w:val="16"/>
              </w:rPr>
              <w:t>Aportaciones</w:t>
            </w:r>
          </w:p>
          <w:p w:rsidR="0086300C" w:rsidRPr="00B01865"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cs="Arial"/>
                <w:spacing w:val="6"/>
                <w:sz w:val="16"/>
                <w:szCs w:val="16"/>
              </w:rPr>
              <w:t>CPEN</w:t>
            </w:r>
          </w:p>
        </w:tc>
        <w:tc>
          <w:tcPr>
            <w:tcW w:w="1519" w:type="dxa"/>
            <w:tcBorders>
              <w:top w:val="single" w:sz="4" w:space="0" w:color="auto"/>
              <w:left w:val="nil"/>
              <w:bottom w:val="single" w:sz="4" w:space="0" w:color="auto"/>
              <w:right w:val="nil"/>
            </w:tcBorders>
            <w:shd w:val="clear" w:color="auto" w:fill="8DB3E2" w:themeFill="text2" w:themeFillTint="66"/>
            <w:vAlign w:val="center"/>
          </w:tcPr>
          <w:p w:rsidR="0086300C" w:rsidRPr="00B01865"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Endeudamiento largo plazo</w:t>
            </w:r>
            <w:r w:rsidRPr="00260377">
              <w:rPr>
                <w:rFonts w:ascii="Arial" w:hAnsi="Arial" w:cs="Arial"/>
                <w:spacing w:val="6"/>
                <w:sz w:val="16"/>
                <w:szCs w:val="16"/>
                <w:vertAlign w:val="superscript"/>
              </w:rPr>
              <w:t>(2)</w:t>
            </w:r>
          </w:p>
        </w:tc>
        <w:tc>
          <w:tcPr>
            <w:tcW w:w="1214" w:type="dxa"/>
            <w:tcBorders>
              <w:top w:val="single" w:sz="4" w:space="0" w:color="auto"/>
              <w:left w:val="nil"/>
              <w:bottom w:val="single" w:sz="4" w:space="0" w:color="auto"/>
              <w:right w:val="nil"/>
            </w:tcBorders>
            <w:shd w:val="clear" w:color="auto" w:fill="8DB3E2" w:themeFill="text2" w:themeFillTint="66"/>
            <w:vAlign w:val="center"/>
          </w:tcPr>
          <w:p w:rsidR="0086300C" w:rsidRPr="00B01865"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Patrimonio</w:t>
            </w:r>
          </w:p>
          <w:p w:rsidR="0086300C" w:rsidRPr="00B01865" w:rsidRDefault="0086300C" w:rsidP="00260377">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 xml:space="preserve"> neto</w:t>
            </w:r>
          </w:p>
        </w:tc>
        <w:tc>
          <w:tcPr>
            <w:tcW w:w="1092" w:type="dxa"/>
            <w:tcBorders>
              <w:top w:val="single" w:sz="4" w:space="0" w:color="auto"/>
              <w:left w:val="nil"/>
              <w:bottom w:val="single" w:sz="4" w:space="0" w:color="auto"/>
              <w:right w:val="nil"/>
            </w:tcBorders>
            <w:shd w:val="clear" w:color="auto" w:fill="8DB3E2" w:themeFill="text2" w:themeFillTint="66"/>
            <w:vAlign w:val="center"/>
            <w:hideMark/>
          </w:tcPr>
          <w:p w:rsidR="0086300C" w:rsidRDefault="0086300C" w:rsidP="0086300C">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cs="Arial"/>
                <w:spacing w:val="6"/>
                <w:sz w:val="16"/>
                <w:szCs w:val="16"/>
              </w:rPr>
              <w:t>Nº medio</w:t>
            </w:r>
          </w:p>
          <w:p w:rsidR="0086300C" w:rsidRPr="00B01865" w:rsidRDefault="0086300C" w:rsidP="0086300C">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empleados</w:t>
            </w:r>
          </w:p>
        </w:tc>
      </w:tr>
      <w:tr w:rsidR="0086300C" w:rsidRPr="00B01865" w:rsidTr="00844C81">
        <w:trPr>
          <w:trHeight w:val="170"/>
          <w:jc w:val="center"/>
        </w:trPr>
        <w:tc>
          <w:tcPr>
            <w:tcW w:w="2335" w:type="dxa"/>
            <w:tcBorders>
              <w:top w:val="single" w:sz="4"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CEIN</w:t>
            </w:r>
          </w:p>
        </w:tc>
        <w:tc>
          <w:tcPr>
            <w:tcW w:w="1027" w:type="dxa"/>
            <w:tcBorders>
              <w:top w:val="single" w:sz="4"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65</w:t>
            </w:r>
          </w:p>
        </w:tc>
        <w:tc>
          <w:tcPr>
            <w:tcW w:w="1396" w:type="dxa"/>
            <w:tcBorders>
              <w:top w:val="single" w:sz="4"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784</w:t>
            </w:r>
          </w:p>
        </w:tc>
        <w:tc>
          <w:tcPr>
            <w:tcW w:w="1258" w:type="dxa"/>
            <w:tcBorders>
              <w:top w:val="single" w:sz="4"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519" w:type="dxa"/>
            <w:tcBorders>
              <w:top w:val="single" w:sz="4"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13</w:t>
            </w:r>
          </w:p>
        </w:tc>
        <w:tc>
          <w:tcPr>
            <w:tcW w:w="1214" w:type="dxa"/>
            <w:tcBorders>
              <w:top w:val="single" w:sz="4"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641</w:t>
            </w:r>
          </w:p>
        </w:tc>
        <w:tc>
          <w:tcPr>
            <w:tcW w:w="1092" w:type="dxa"/>
            <w:tcBorders>
              <w:top w:val="single" w:sz="4"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31</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CNAI</w:t>
            </w:r>
          </w:p>
        </w:tc>
        <w:tc>
          <w:tcPr>
            <w:tcW w:w="1027"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-98</w:t>
            </w:r>
          </w:p>
        </w:tc>
        <w:tc>
          <w:tcPr>
            <w:tcW w:w="139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80</w:t>
            </w:r>
          </w:p>
        </w:tc>
        <w:tc>
          <w:tcPr>
            <w:tcW w:w="1519"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1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26</w:t>
            </w:r>
          </w:p>
        </w:tc>
        <w:tc>
          <w:tcPr>
            <w:tcW w:w="1092"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26</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CAT</w:t>
            </w:r>
          </w:p>
        </w:tc>
        <w:tc>
          <w:tcPr>
            <w:tcW w:w="1027"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144</w:t>
            </w:r>
          </w:p>
        </w:tc>
        <w:tc>
          <w:tcPr>
            <w:tcW w:w="139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19.400</w:t>
            </w:r>
          </w:p>
        </w:tc>
        <w:tc>
          <w:tcPr>
            <w:tcW w:w="1519"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76</w:t>
            </w:r>
          </w:p>
        </w:tc>
        <w:tc>
          <w:tcPr>
            <w:tcW w:w="121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51.410</w:t>
            </w:r>
          </w:p>
        </w:tc>
        <w:tc>
          <w:tcPr>
            <w:tcW w:w="1092"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3</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GAN</w:t>
            </w:r>
          </w:p>
        </w:tc>
        <w:tc>
          <w:tcPr>
            <w:tcW w:w="1027"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-276</w:t>
            </w:r>
          </w:p>
        </w:tc>
        <w:tc>
          <w:tcPr>
            <w:tcW w:w="139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296</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519"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14</w:t>
            </w:r>
          </w:p>
        </w:tc>
        <w:tc>
          <w:tcPr>
            <w:tcW w:w="121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2.974</w:t>
            </w:r>
          </w:p>
        </w:tc>
        <w:tc>
          <w:tcPr>
            <w:tcW w:w="1092"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102</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INTIA</w:t>
            </w:r>
          </w:p>
        </w:tc>
        <w:tc>
          <w:tcPr>
            <w:tcW w:w="1027"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-793</w:t>
            </w:r>
          </w:p>
        </w:tc>
        <w:tc>
          <w:tcPr>
            <w:tcW w:w="139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3.763</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375</w:t>
            </w:r>
          </w:p>
        </w:tc>
        <w:tc>
          <w:tcPr>
            <w:tcW w:w="1519"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14</w:t>
            </w:r>
          </w:p>
        </w:tc>
        <w:tc>
          <w:tcPr>
            <w:tcW w:w="121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554</w:t>
            </w:r>
          </w:p>
        </w:tc>
        <w:tc>
          <w:tcPr>
            <w:tcW w:w="1092"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194</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lang w:val="es-ES" w:eastAsia="es-ES"/>
              </w:rPr>
            </w:pPr>
            <w:proofErr w:type="spellStart"/>
            <w:r w:rsidRPr="00B01865">
              <w:rPr>
                <w:rFonts w:ascii="Arial Narrow" w:hAnsi="Arial Narrow" w:cs="Arial"/>
                <w:sz w:val="18"/>
                <w:szCs w:val="18"/>
                <w:lang w:val="es-ES" w:eastAsia="es-ES"/>
              </w:rPr>
              <w:t>Nasertic</w:t>
            </w:r>
            <w:proofErr w:type="spellEnd"/>
          </w:p>
        </w:tc>
        <w:tc>
          <w:tcPr>
            <w:tcW w:w="1027"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427</w:t>
            </w:r>
          </w:p>
        </w:tc>
        <w:tc>
          <w:tcPr>
            <w:tcW w:w="139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519"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1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7.975</w:t>
            </w:r>
          </w:p>
        </w:tc>
        <w:tc>
          <w:tcPr>
            <w:tcW w:w="1092"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99</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shd w:val="clear" w:color="auto" w:fill="auto"/>
            <w:vAlign w:val="center"/>
          </w:tcPr>
          <w:p w:rsidR="0086300C" w:rsidRPr="00B01865" w:rsidRDefault="0086300C" w:rsidP="00B01865">
            <w:pPr>
              <w:spacing w:after="0"/>
              <w:ind w:firstLine="0"/>
              <w:jc w:val="left"/>
              <w:rPr>
                <w:rFonts w:ascii="Arial Narrow" w:hAnsi="Arial Narrow" w:cs="Arial"/>
                <w:sz w:val="18"/>
                <w:szCs w:val="18"/>
                <w:lang w:val="es-ES" w:eastAsia="es-ES"/>
              </w:rPr>
            </w:pPr>
            <w:proofErr w:type="spellStart"/>
            <w:r w:rsidRPr="00B01865">
              <w:rPr>
                <w:rFonts w:ascii="Arial Narrow" w:hAnsi="Arial Narrow" w:cs="Arial"/>
                <w:sz w:val="18"/>
                <w:szCs w:val="18"/>
                <w:lang w:val="es-ES" w:eastAsia="es-ES"/>
              </w:rPr>
              <w:t>Nasuvinsa</w:t>
            </w:r>
            <w:proofErr w:type="spellEnd"/>
          </w:p>
        </w:tc>
        <w:tc>
          <w:tcPr>
            <w:tcW w:w="1027"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837</w:t>
            </w:r>
          </w:p>
        </w:tc>
        <w:tc>
          <w:tcPr>
            <w:tcW w:w="139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4.435</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5.000</w:t>
            </w:r>
          </w:p>
        </w:tc>
        <w:tc>
          <w:tcPr>
            <w:tcW w:w="1519"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28.983</w:t>
            </w:r>
          </w:p>
        </w:tc>
        <w:tc>
          <w:tcPr>
            <w:tcW w:w="1214"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210.637</w:t>
            </w:r>
          </w:p>
        </w:tc>
        <w:tc>
          <w:tcPr>
            <w:tcW w:w="1092"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88</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shd w:val="clear" w:color="auto" w:fill="auto"/>
            <w:vAlign w:val="center"/>
          </w:tcPr>
          <w:p w:rsidR="0086300C" w:rsidRPr="00B01865" w:rsidRDefault="0086300C" w:rsidP="00B01865">
            <w:pPr>
              <w:spacing w:after="0"/>
              <w:ind w:firstLine="0"/>
              <w:jc w:val="left"/>
              <w:rPr>
                <w:rFonts w:ascii="Arial Narrow" w:hAnsi="Arial Narrow" w:cs="Arial"/>
                <w:sz w:val="18"/>
                <w:szCs w:val="18"/>
                <w:lang w:val="en-US" w:eastAsia="es-ES"/>
              </w:rPr>
            </w:pPr>
            <w:r w:rsidRPr="00B01865">
              <w:rPr>
                <w:rFonts w:ascii="Arial Narrow" w:hAnsi="Arial Narrow" w:cs="Arial"/>
                <w:sz w:val="18"/>
                <w:szCs w:val="18"/>
                <w:lang w:val="en-US" w:eastAsia="es-ES"/>
              </w:rPr>
              <w:t xml:space="preserve">Natural Climate </w:t>
            </w:r>
            <w:proofErr w:type="spellStart"/>
            <w:r w:rsidRPr="00B01865">
              <w:rPr>
                <w:rFonts w:ascii="Arial Narrow" w:hAnsi="Arial Narrow" w:cs="Arial"/>
                <w:sz w:val="18"/>
                <w:szCs w:val="18"/>
                <w:lang w:val="en-US" w:eastAsia="es-ES"/>
              </w:rPr>
              <w:t>Systems,S.A</w:t>
            </w:r>
            <w:proofErr w:type="spellEnd"/>
            <w:r w:rsidRPr="00B01865">
              <w:rPr>
                <w:rFonts w:ascii="Arial Narrow" w:hAnsi="Arial Narrow" w:cs="Arial"/>
                <w:sz w:val="18"/>
                <w:szCs w:val="18"/>
                <w:lang w:val="en-US" w:eastAsia="es-ES"/>
              </w:rPr>
              <w:t>.</w:t>
            </w:r>
          </w:p>
        </w:tc>
        <w:tc>
          <w:tcPr>
            <w:tcW w:w="1027"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-33</w:t>
            </w:r>
          </w:p>
        </w:tc>
        <w:tc>
          <w:tcPr>
            <w:tcW w:w="139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vertAlign w:val="superscript"/>
                <w:lang w:val="es-ES" w:eastAsia="es-ES"/>
              </w:rPr>
            </w:pPr>
            <w:r w:rsidRPr="00844C81">
              <w:rPr>
                <w:rFonts w:ascii="Arial Narrow" w:hAnsi="Arial Narrow" w:cs="Arial"/>
                <w:sz w:val="18"/>
                <w:szCs w:val="18"/>
                <w:lang w:val="es-ES" w:eastAsia="es-ES"/>
              </w:rPr>
              <w:t>20</w:t>
            </w:r>
            <w:r w:rsidR="00844C81" w:rsidRPr="00844C81">
              <w:rPr>
                <w:rFonts w:ascii="Arial Narrow" w:hAnsi="Arial Narrow" w:cs="Arial"/>
                <w:sz w:val="18"/>
                <w:szCs w:val="18"/>
                <w:vertAlign w:val="superscript"/>
                <w:lang w:val="es-ES" w:eastAsia="es-ES"/>
              </w:rPr>
              <w:t>(3)</w:t>
            </w:r>
          </w:p>
        </w:tc>
        <w:tc>
          <w:tcPr>
            <w:tcW w:w="1519"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559</w:t>
            </w:r>
          </w:p>
        </w:tc>
        <w:tc>
          <w:tcPr>
            <w:tcW w:w="1214"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48</w:t>
            </w:r>
          </w:p>
        </w:tc>
        <w:tc>
          <w:tcPr>
            <w:tcW w:w="1092"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shd w:val="clear" w:color="auto" w:fill="auto"/>
            <w:vAlign w:val="center"/>
          </w:tcPr>
          <w:p w:rsidR="0086300C" w:rsidRPr="00B01865" w:rsidRDefault="0086300C"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NICDO</w:t>
            </w:r>
          </w:p>
        </w:tc>
        <w:tc>
          <w:tcPr>
            <w:tcW w:w="1027"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-3.708</w:t>
            </w:r>
          </w:p>
        </w:tc>
        <w:tc>
          <w:tcPr>
            <w:tcW w:w="139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192</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3.229</w:t>
            </w:r>
          </w:p>
        </w:tc>
        <w:tc>
          <w:tcPr>
            <w:tcW w:w="1519"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15.222</w:t>
            </w:r>
          </w:p>
        </w:tc>
        <w:tc>
          <w:tcPr>
            <w:tcW w:w="1214"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62.349</w:t>
            </w:r>
          </w:p>
        </w:tc>
        <w:tc>
          <w:tcPr>
            <w:tcW w:w="1092"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37</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shd w:val="clear" w:color="auto" w:fill="auto"/>
            <w:vAlign w:val="center"/>
          </w:tcPr>
          <w:p w:rsidR="0086300C" w:rsidRPr="00B01865" w:rsidRDefault="0086300C"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NILSA</w:t>
            </w:r>
          </w:p>
        </w:tc>
        <w:tc>
          <w:tcPr>
            <w:tcW w:w="1027"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39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519"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22</w:t>
            </w:r>
          </w:p>
        </w:tc>
        <w:tc>
          <w:tcPr>
            <w:tcW w:w="1214"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902</w:t>
            </w:r>
          </w:p>
        </w:tc>
        <w:tc>
          <w:tcPr>
            <w:tcW w:w="1092"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38</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shd w:val="clear" w:color="auto" w:fill="auto"/>
            <w:vAlign w:val="center"/>
          </w:tcPr>
          <w:p w:rsidR="0086300C" w:rsidRPr="00B01865" w:rsidRDefault="0086300C"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 xml:space="preserve">Potasas de </w:t>
            </w:r>
            <w:proofErr w:type="spellStart"/>
            <w:r w:rsidRPr="00B01865">
              <w:rPr>
                <w:rFonts w:ascii="Arial Narrow" w:hAnsi="Arial Narrow" w:cs="Arial"/>
                <w:sz w:val="18"/>
                <w:szCs w:val="18"/>
                <w:lang w:val="es-ES" w:eastAsia="es-ES"/>
              </w:rPr>
              <w:t>Subiza</w:t>
            </w:r>
            <w:proofErr w:type="spellEnd"/>
            <w:r w:rsidRPr="00B01865">
              <w:rPr>
                <w:rFonts w:ascii="Arial Narrow" w:hAnsi="Arial Narrow" w:cs="Arial"/>
                <w:sz w:val="18"/>
                <w:szCs w:val="18"/>
                <w:lang w:val="es-ES" w:eastAsia="es-ES"/>
              </w:rPr>
              <w:t>, S.A.U.</w:t>
            </w:r>
          </w:p>
        </w:tc>
        <w:tc>
          <w:tcPr>
            <w:tcW w:w="1027"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3.088</w:t>
            </w:r>
          </w:p>
        </w:tc>
        <w:tc>
          <w:tcPr>
            <w:tcW w:w="139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519"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14"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2.096</w:t>
            </w:r>
          </w:p>
        </w:tc>
        <w:tc>
          <w:tcPr>
            <w:tcW w:w="1092"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shd w:val="clear" w:color="auto" w:fill="auto"/>
            <w:vAlign w:val="center"/>
          </w:tcPr>
          <w:p w:rsidR="0086300C" w:rsidRPr="00B01865" w:rsidRDefault="0086300C"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Salinas de Navarra, S.A.</w:t>
            </w:r>
          </w:p>
        </w:tc>
        <w:tc>
          <w:tcPr>
            <w:tcW w:w="1027"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2.021</w:t>
            </w:r>
          </w:p>
        </w:tc>
        <w:tc>
          <w:tcPr>
            <w:tcW w:w="1396"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519"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14"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23.021</w:t>
            </w:r>
          </w:p>
        </w:tc>
        <w:tc>
          <w:tcPr>
            <w:tcW w:w="1092" w:type="dxa"/>
            <w:tcBorders>
              <w:top w:val="single" w:sz="2" w:space="0" w:color="auto"/>
              <w:left w:val="nil"/>
              <w:bottom w:val="single" w:sz="2" w:space="0" w:color="auto"/>
              <w:right w:val="nil"/>
            </w:tcBorders>
            <w:shd w:val="clear" w:color="auto" w:fill="auto"/>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57</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lang w:val="es-ES" w:eastAsia="es-ES"/>
              </w:rPr>
            </w:pPr>
            <w:proofErr w:type="spellStart"/>
            <w:r w:rsidRPr="00B01865">
              <w:rPr>
                <w:rFonts w:ascii="Arial Narrow" w:hAnsi="Arial Narrow" w:cs="Arial"/>
                <w:sz w:val="18"/>
                <w:szCs w:val="18"/>
                <w:lang w:val="es-ES" w:eastAsia="es-ES"/>
              </w:rPr>
              <w:t>Sodena</w:t>
            </w:r>
            <w:proofErr w:type="spellEnd"/>
          </w:p>
        </w:tc>
        <w:tc>
          <w:tcPr>
            <w:tcW w:w="1027"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-5.068</w:t>
            </w:r>
          </w:p>
        </w:tc>
        <w:tc>
          <w:tcPr>
            <w:tcW w:w="139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675</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519"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75.006</w:t>
            </w:r>
          </w:p>
        </w:tc>
        <w:tc>
          <w:tcPr>
            <w:tcW w:w="121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48.759</w:t>
            </w:r>
          </w:p>
        </w:tc>
        <w:tc>
          <w:tcPr>
            <w:tcW w:w="1092"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21</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lang w:val="en-US" w:eastAsia="es-ES"/>
              </w:rPr>
            </w:pPr>
            <w:r w:rsidRPr="00B01865">
              <w:rPr>
                <w:rFonts w:ascii="Arial Narrow" w:hAnsi="Arial Narrow" w:cs="Arial"/>
                <w:sz w:val="18"/>
                <w:szCs w:val="18"/>
                <w:lang w:val="en-US" w:eastAsia="es-ES"/>
              </w:rPr>
              <w:t>Start Up Capital Navarra, S.A.</w:t>
            </w:r>
          </w:p>
        </w:tc>
        <w:tc>
          <w:tcPr>
            <w:tcW w:w="1027"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n-US" w:eastAsia="es-ES"/>
              </w:rPr>
            </w:pPr>
            <w:r w:rsidRPr="00844C81">
              <w:rPr>
                <w:rFonts w:ascii="Arial Narrow" w:hAnsi="Arial Narrow" w:cs="Arial"/>
                <w:sz w:val="18"/>
                <w:szCs w:val="18"/>
                <w:lang w:val="en-US" w:eastAsia="es-ES"/>
              </w:rPr>
              <w:t>-407</w:t>
            </w:r>
          </w:p>
        </w:tc>
        <w:tc>
          <w:tcPr>
            <w:tcW w:w="139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519"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1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1.510</w:t>
            </w:r>
          </w:p>
        </w:tc>
        <w:tc>
          <w:tcPr>
            <w:tcW w:w="1092"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lang w:val="es-ES" w:eastAsia="es-ES"/>
              </w:rPr>
            </w:pPr>
            <w:proofErr w:type="spellStart"/>
            <w:r w:rsidRPr="00B01865">
              <w:rPr>
                <w:rFonts w:ascii="Arial Narrow" w:hAnsi="Arial Narrow" w:cs="Arial"/>
                <w:sz w:val="18"/>
                <w:szCs w:val="18"/>
                <w:lang w:val="es-ES" w:eastAsia="es-ES"/>
              </w:rPr>
              <w:t>Tracasa</w:t>
            </w:r>
            <w:proofErr w:type="spellEnd"/>
          </w:p>
        </w:tc>
        <w:tc>
          <w:tcPr>
            <w:tcW w:w="1027"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4</w:t>
            </w:r>
          </w:p>
        </w:tc>
        <w:tc>
          <w:tcPr>
            <w:tcW w:w="139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8</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519"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565</w:t>
            </w:r>
          </w:p>
        </w:tc>
        <w:tc>
          <w:tcPr>
            <w:tcW w:w="121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9.245</w:t>
            </w:r>
          </w:p>
        </w:tc>
        <w:tc>
          <w:tcPr>
            <w:tcW w:w="1092"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80</w:t>
            </w:r>
          </w:p>
        </w:tc>
      </w:tr>
      <w:tr w:rsidR="0086300C" w:rsidRPr="00B01865" w:rsidTr="00844C81">
        <w:trPr>
          <w:trHeight w:val="170"/>
          <w:jc w:val="center"/>
        </w:trPr>
        <w:tc>
          <w:tcPr>
            <w:tcW w:w="2335" w:type="dxa"/>
            <w:tcBorders>
              <w:top w:val="single" w:sz="2" w:space="0" w:color="auto"/>
              <w:left w:val="nil"/>
              <w:bottom w:val="single" w:sz="2"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lang w:val="es-ES" w:eastAsia="es-ES"/>
              </w:rPr>
            </w:pPr>
            <w:proofErr w:type="spellStart"/>
            <w:r w:rsidRPr="00B01865">
              <w:rPr>
                <w:rFonts w:ascii="Arial Narrow" w:hAnsi="Arial Narrow" w:cs="Arial"/>
                <w:sz w:val="18"/>
                <w:szCs w:val="18"/>
                <w:lang w:val="es-ES" w:eastAsia="es-ES"/>
              </w:rPr>
              <w:t>Tracasa</w:t>
            </w:r>
            <w:proofErr w:type="spellEnd"/>
            <w:r w:rsidRPr="00B01865">
              <w:rPr>
                <w:rFonts w:ascii="Arial Narrow" w:hAnsi="Arial Narrow" w:cs="Arial"/>
                <w:sz w:val="18"/>
                <w:szCs w:val="18"/>
                <w:lang w:val="es-ES" w:eastAsia="es-ES"/>
              </w:rPr>
              <w:t xml:space="preserve"> Instrumental</w:t>
            </w:r>
          </w:p>
        </w:tc>
        <w:tc>
          <w:tcPr>
            <w:tcW w:w="1027"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415</w:t>
            </w:r>
          </w:p>
        </w:tc>
        <w:tc>
          <w:tcPr>
            <w:tcW w:w="1396"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58" w:type="dxa"/>
            <w:tcBorders>
              <w:top w:val="single" w:sz="2" w:space="0" w:color="auto"/>
              <w:left w:val="nil"/>
              <w:bottom w:val="single" w:sz="2"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519"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w:t>
            </w:r>
          </w:p>
        </w:tc>
        <w:tc>
          <w:tcPr>
            <w:tcW w:w="1214"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26.694</w:t>
            </w:r>
          </w:p>
        </w:tc>
        <w:tc>
          <w:tcPr>
            <w:tcW w:w="1092" w:type="dxa"/>
            <w:tcBorders>
              <w:top w:val="single" w:sz="2" w:space="0" w:color="auto"/>
              <w:left w:val="nil"/>
              <w:bottom w:val="single" w:sz="2"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319</w:t>
            </w:r>
          </w:p>
        </w:tc>
      </w:tr>
      <w:tr w:rsidR="0086300C" w:rsidRPr="00B01865" w:rsidTr="00844C81">
        <w:trPr>
          <w:trHeight w:val="170"/>
          <w:jc w:val="center"/>
        </w:trPr>
        <w:tc>
          <w:tcPr>
            <w:tcW w:w="2335" w:type="dxa"/>
            <w:tcBorders>
              <w:top w:val="single" w:sz="2" w:space="0" w:color="auto"/>
              <w:left w:val="nil"/>
              <w:bottom w:val="single" w:sz="4" w:space="0" w:color="auto"/>
              <w:right w:val="nil"/>
            </w:tcBorders>
            <w:vAlign w:val="center"/>
          </w:tcPr>
          <w:p w:rsidR="0086300C" w:rsidRPr="00B01865" w:rsidRDefault="0086300C" w:rsidP="00B01865">
            <w:pPr>
              <w:spacing w:after="0"/>
              <w:ind w:firstLine="0"/>
              <w:jc w:val="left"/>
              <w:rPr>
                <w:rFonts w:ascii="Arial Narrow" w:hAnsi="Arial Narrow" w:cs="Arial"/>
                <w:sz w:val="18"/>
                <w:szCs w:val="18"/>
                <w:lang w:val="es-ES" w:eastAsia="es-ES"/>
              </w:rPr>
            </w:pPr>
            <w:r w:rsidRPr="00B01865">
              <w:rPr>
                <w:rFonts w:ascii="Arial Narrow" w:hAnsi="Arial Narrow" w:cs="Arial"/>
                <w:sz w:val="18"/>
                <w:szCs w:val="18"/>
                <w:lang w:val="es-ES" w:eastAsia="es-ES"/>
              </w:rPr>
              <w:t>CPEN</w:t>
            </w:r>
          </w:p>
        </w:tc>
        <w:tc>
          <w:tcPr>
            <w:tcW w:w="1027" w:type="dxa"/>
            <w:tcBorders>
              <w:top w:val="single" w:sz="2" w:space="0" w:color="auto"/>
              <w:left w:val="nil"/>
              <w:bottom w:val="single" w:sz="4"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4.576</w:t>
            </w:r>
          </w:p>
        </w:tc>
        <w:tc>
          <w:tcPr>
            <w:tcW w:w="1396" w:type="dxa"/>
            <w:tcBorders>
              <w:top w:val="single" w:sz="2" w:space="0" w:color="auto"/>
              <w:left w:val="nil"/>
              <w:bottom w:val="single" w:sz="4"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58" w:type="dxa"/>
            <w:tcBorders>
              <w:top w:val="single" w:sz="2" w:space="0" w:color="auto"/>
              <w:left w:val="nil"/>
              <w:bottom w:val="single" w:sz="4" w:space="0" w:color="auto"/>
              <w:right w:val="nil"/>
            </w:tcBorders>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519" w:type="dxa"/>
            <w:tcBorders>
              <w:top w:val="single" w:sz="2" w:space="0" w:color="auto"/>
              <w:left w:val="nil"/>
              <w:bottom w:val="single" w:sz="4"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0</w:t>
            </w:r>
          </w:p>
        </w:tc>
        <w:tc>
          <w:tcPr>
            <w:tcW w:w="1214" w:type="dxa"/>
            <w:tcBorders>
              <w:top w:val="single" w:sz="2" w:space="0" w:color="auto"/>
              <w:left w:val="nil"/>
              <w:bottom w:val="single" w:sz="4"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463.320</w:t>
            </w:r>
          </w:p>
        </w:tc>
        <w:tc>
          <w:tcPr>
            <w:tcW w:w="1092" w:type="dxa"/>
            <w:tcBorders>
              <w:top w:val="single" w:sz="2" w:space="0" w:color="auto"/>
              <w:left w:val="nil"/>
              <w:bottom w:val="single" w:sz="4" w:space="0" w:color="auto"/>
              <w:right w:val="nil"/>
            </w:tcBorders>
            <w:vAlign w:val="center"/>
          </w:tcPr>
          <w:p w:rsidR="0086300C" w:rsidRPr="00844C81" w:rsidRDefault="0086300C" w:rsidP="00B01865">
            <w:pPr>
              <w:spacing w:after="0"/>
              <w:ind w:firstLine="0"/>
              <w:jc w:val="right"/>
              <w:rPr>
                <w:rFonts w:ascii="Arial Narrow" w:hAnsi="Arial Narrow" w:cs="Arial"/>
                <w:sz w:val="18"/>
                <w:szCs w:val="18"/>
                <w:lang w:val="es-ES" w:eastAsia="es-ES"/>
              </w:rPr>
            </w:pPr>
            <w:r w:rsidRPr="00844C81">
              <w:rPr>
                <w:rFonts w:ascii="Arial Narrow" w:hAnsi="Arial Narrow" w:cs="Arial"/>
                <w:sz w:val="18"/>
                <w:szCs w:val="18"/>
                <w:lang w:val="es-ES" w:eastAsia="es-ES"/>
              </w:rPr>
              <w:t>11</w:t>
            </w:r>
          </w:p>
        </w:tc>
      </w:tr>
      <w:tr w:rsidR="0086300C" w:rsidRPr="00B01865" w:rsidTr="00844C81">
        <w:trPr>
          <w:trHeight w:val="170"/>
          <w:jc w:val="center"/>
        </w:trPr>
        <w:tc>
          <w:tcPr>
            <w:tcW w:w="2335" w:type="dxa"/>
            <w:tcBorders>
              <w:top w:val="single" w:sz="4" w:space="0" w:color="auto"/>
              <w:left w:val="nil"/>
              <w:bottom w:val="single" w:sz="4" w:space="0" w:color="auto"/>
              <w:right w:val="nil"/>
            </w:tcBorders>
            <w:shd w:val="clear" w:color="auto" w:fill="8DB3E2" w:themeFill="text2" w:themeFillTint="66"/>
            <w:vAlign w:val="center"/>
          </w:tcPr>
          <w:p w:rsidR="0086300C" w:rsidRPr="00B01865" w:rsidRDefault="0086300C" w:rsidP="00260377">
            <w:pPr>
              <w:keepLines/>
              <w:tabs>
                <w:tab w:val="right" w:pos="2835"/>
                <w:tab w:val="right" w:pos="3969"/>
                <w:tab w:val="right" w:pos="5103"/>
                <w:tab w:val="right" w:pos="6237"/>
                <w:tab w:val="right" w:pos="7371"/>
              </w:tabs>
              <w:spacing w:after="0"/>
              <w:ind w:firstLine="0"/>
              <w:jc w:val="left"/>
              <w:rPr>
                <w:rFonts w:ascii="Arial" w:hAnsi="Arial" w:cs="Arial"/>
                <w:spacing w:val="6"/>
                <w:sz w:val="16"/>
                <w:szCs w:val="16"/>
              </w:rPr>
            </w:pPr>
            <w:r w:rsidRPr="00B01865">
              <w:rPr>
                <w:rFonts w:ascii="Arial" w:hAnsi="Arial" w:cs="Arial"/>
                <w:spacing w:val="6"/>
                <w:sz w:val="16"/>
                <w:szCs w:val="16"/>
              </w:rPr>
              <w:t>Total</w:t>
            </w:r>
            <w:r w:rsidRPr="00260377">
              <w:rPr>
                <w:rFonts w:ascii="Arial" w:hAnsi="Arial" w:cs="Arial"/>
                <w:spacing w:val="6"/>
                <w:sz w:val="16"/>
                <w:szCs w:val="16"/>
                <w:vertAlign w:val="superscript"/>
              </w:rPr>
              <w:t>(1)</w:t>
            </w:r>
          </w:p>
        </w:tc>
        <w:tc>
          <w:tcPr>
            <w:tcW w:w="1027" w:type="dxa"/>
            <w:tcBorders>
              <w:top w:val="single" w:sz="4" w:space="0" w:color="auto"/>
              <w:left w:val="nil"/>
              <w:bottom w:val="single" w:sz="4" w:space="0" w:color="auto"/>
              <w:right w:val="nil"/>
            </w:tcBorders>
            <w:shd w:val="clear" w:color="auto" w:fill="8DB3E2" w:themeFill="text2" w:themeFillTint="66"/>
            <w:vAlign w:val="center"/>
          </w:tcPr>
          <w:p w:rsidR="0086300C" w:rsidRPr="00B01865" w:rsidRDefault="0086300C"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1.194</w:t>
            </w:r>
          </w:p>
        </w:tc>
        <w:tc>
          <w:tcPr>
            <w:tcW w:w="1396" w:type="dxa"/>
            <w:tcBorders>
              <w:top w:val="single" w:sz="4" w:space="0" w:color="auto"/>
              <w:left w:val="nil"/>
              <w:bottom w:val="single" w:sz="4" w:space="0" w:color="auto"/>
              <w:right w:val="nil"/>
            </w:tcBorders>
            <w:shd w:val="clear" w:color="auto" w:fill="8DB3E2" w:themeFill="text2" w:themeFillTint="66"/>
            <w:vAlign w:val="center"/>
          </w:tcPr>
          <w:p w:rsidR="0086300C" w:rsidRPr="00B01865" w:rsidRDefault="0086300C"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cs="Arial"/>
                <w:spacing w:val="6"/>
                <w:sz w:val="16"/>
                <w:szCs w:val="16"/>
              </w:rPr>
              <w:t>10.153</w:t>
            </w:r>
          </w:p>
        </w:tc>
        <w:tc>
          <w:tcPr>
            <w:tcW w:w="1258" w:type="dxa"/>
            <w:tcBorders>
              <w:top w:val="single" w:sz="4" w:space="0" w:color="auto"/>
              <w:left w:val="nil"/>
              <w:bottom w:val="single" w:sz="4" w:space="0" w:color="auto"/>
              <w:right w:val="nil"/>
            </w:tcBorders>
            <w:shd w:val="clear" w:color="auto" w:fill="8DB3E2" w:themeFill="text2" w:themeFillTint="66"/>
            <w:vAlign w:val="center"/>
          </w:tcPr>
          <w:p w:rsidR="0086300C" w:rsidRPr="00B01865" w:rsidRDefault="0086300C" w:rsidP="0086300C">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Pr>
                <w:rFonts w:ascii="Arial" w:hAnsi="Arial" w:cs="Arial"/>
                <w:spacing w:val="6"/>
                <w:sz w:val="16"/>
                <w:szCs w:val="16"/>
              </w:rPr>
              <w:t>28.104</w:t>
            </w:r>
          </w:p>
        </w:tc>
        <w:tc>
          <w:tcPr>
            <w:tcW w:w="1519" w:type="dxa"/>
            <w:tcBorders>
              <w:top w:val="single" w:sz="4" w:space="0" w:color="auto"/>
              <w:left w:val="nil"/>
              <w:bottom w:val="single" w:sz="4" w:space="0" w:color="auto"/>
              <w:right w:val="nil"/>
            </w:tcBorders>
            <w:shd w:val="clear" w:color="auto" w:fill="8DB3E2" w:themeFill="text2" w:themeFillTint="66"/>
            <w:vAlign w:val="center"/>
          </w:tcPr>
          <w:p w:rsidR="0086300C" w:rsidRPr="00B01865" w:rsidRDefault="0086300C"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120.476</w:t>
            </w:r>
          </w:p>
        </w:tc>
        <w:tc>
          <w:tcPr>
            <w:tcW w:w="1214" w:type="dxa"/>
            <w:tcBorders>
              <w:top w:val="single" w:sz="4" w:space="0" w:color="auto"/>
              <w:left w:val="nil"/>
              <w:bottom w:val="single" w:sz="4" w:space="0" w:color="auto"/>
              <w:right w:val="nil"/>
            </w:tcBorders>
            <w:shd w:val="clear" w:color="auto" w:fill="8DB3E2" w:themeFill="text2" w:themeFillTint="66"/>
            <w:vAlign w:val="center"/>
          </w:tcPr>
          <w:p w:rsidR="0086300C" w:rsidRPr="00B01865" w:rsidRDefault="0086300C"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902.161</w:t>
            </w:r>
          </w:p>
        </w:tc>
        <w:tc>
          <w:tcPr>
            <w:tcW w:w="1092" w:type="dxa"/>
            <w:tcBorders>
              <w:top w:val="single" w:sz="4" w:space="0" w:color="auto"/>
              <w:left w:val="nil"/>
              <w:bottom w:val="single" w:sz="4" w:space="0" w:color="auto"/>
              <w:right w:val="nil"/>
            </w:tcBorders>
            <w:shd w:val="clear" w:color="auto" w:fill="8DB3E2" w:themeFill="text2" w:themeFillTint="66"/>
            <w:vAlign w:val="center"/>
          </w:tcPr>
          <w:p w:rsidR="0086300C" w:rsidRPr="00B01865" w:rsidRDefault="0086300C"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6"/>
                <w:szCs w:val="16"/>
              </w:rPr>
            </w:pPr>
            <w:r w:rsidRPr="00B01865">
              <w:rPr>
                <w:rFonts w:ascii="Arial" w:hAnsi="Arial" w:cs="Arial"/>
                <w:spacing w:val="6"/>
                <w:sz w:val="16"/>
                <w:szCs w:val="16"/>
              </w:rPr>
              <w:t>1.106</w:t>
            </w:r>
            <w:r w:rsidRPr="00B01865">
              <w:rPr>
                <w:rFonts w:ascii="Arial" w:hAnsi="Arial" w:cs="Arial"/>
                <w:spacing w:val="6"/>
                <w:sz w:val="16"/>
                <w:szCs w:val="16"/>
              </w:rPr>
              <w:fldChar w:fldCharType="begin"/>
            </w:r>
            <w:r w:rsidRPr="00B01865">
              <w:rPr>
                <w:rFonts w:ascii="Arial" w:hAnsi="Arial" w:cs="Arial"/>
                <w:spacing w:val="6"/>
                <w:sz w:val="16"/>
                <w:szCs w:val="16"/>
              </w:rPr>
              <w:instrText xml:space="preserve"> =SUM(ABOVE) </w:instrText>
            </w:r>
            <w:r w:rsidRPr="00B01865">
              <w:rPr>
                <w:rFonts w:ascii="Arial" w:hAnsi="Arial" w:cs="Arial"/>
                <w:spacing w:val="6"/>
                <w:sz w:val="16"/>
                <w:szCs w:val="16"/>
              </w:rPr>
              <w:fldChar w:fldCharType="end"/>
            </w:r>
          </w:p>
        </w:tc>
      </w:tr>
      <w:tr w:rsidR="00844C81" w:rsidRPr="00B01865" w:rsidTr="00844C81">
        <w:trPr>
          <w:trHeight w:val="170"/>
          <w:jc w:val="center"/>
        </w:trPr>
        <w:tc>
          <w:tcPr>
            <w:tcW w:w="9841" w:type="dxa"/>
            <w:gridSpan w:val="7"/>
            <w:tcBorders>
              <w:top w:val="single" w:sz="4" w:space="0" w:color="auto"/>
              <w:left w:val="nil"/>
              <w:right w:val="nil"/>
            </w:tcBorders>
            <w:shd w:val="clear" w:color="auto" w:fill="auto"/>
            <w:vAlign w:val="center"/>
          </w:tcPr>
          <w:p w:rsidR="00844C81" w:rsidRPr="00844C81" w:rsidRDefault="00844C81" w:rsidP="000F064B">
            <w:pPr>
              <w:numPr>
                <w:ilvl w:val="0"/>
                <w:numId w:val="11"/>
              </w:numPr>
              <w:tabs>
                <w:tab w:val="left" w:pos="-426"/>
                <w:tab w:val="center" w:pos="280"/>
                <w:tab w:val="center" w:pos="5103"/>
                <w:tab w:val="center" w:pos="6237"/>
                <w:tab w:val="center" w:pos="7371"/>
              </w:tabs>
              <w:spacing w:before="60" w:after="0" w:line="0" w:lineRule="atLeast"/>
              <w:ind w:left="-28" w:right="28" w:firstLine="0"/>
              <w:rPr>
                <w:rFonts w:ascii="Arial" w:hAnsi="Arial" w:cs="Arial"/>
                <w:spacing w:val="6"/>
                <w:sz w:val="15"/>
                <w:szCs w:val="15"/>
              </w:rPr>
            </w:pPr>
            <w:r w:rsidRPr="00844C81">
              <w:rPr>
                <w:rFonts w:ascii="Arial" w:hAnsi="Arial" w:cs="Arial"/>
                <w:spacing w:val="6"/>
                <w:sz w:val="15"/>
                <w:szCs w:val="15"/>
              </w:rPr>
              <w:t>Datos sin consolidar.</w:t>
            </w:r>
          </w:p>
          <w:p w:rsidR="00844C81" w:rsidRPr="00844C81" w:rsidRDefault="00844C81" w:rsidP="00844C81">
            <w:pPr>
              <w:numPr>
                <w:ilvl w:val="0"/>
                <w:numId w:val="11"/>
              </w:numPr>
              <w:tabs>
                <w:tab w:val="left" w:pos="-426"/>
                <w:tab w:val="center" w:pos="280"/>
                <w:tab w:val="center" w:pos="5103"/>
                <w:tab w:val="center" w:pos="6237"/>
                <w:tab w:val="center" w:pos="7371"/>
              </w:tabs>
              <w:spacing w:after="0" w:line="0" w:lineRule="atLeast"/>
              <w:ind w:left="-28" w:right="28" w:firstLine="0"/>
              <w:rPr>
                <w:rFonts w:ascii="Arial" w:hAnsi="Arial" w:cs="Arial"/>
                <w:spacing w:val="6"/>
                <w:sz w:val="16"/>
                <w:szCs w:val="16"/>
              </w:rPr>
            </w:pPr>
            <w:r w:rsidRPr="00844C81">
              <w:rPr>
                <w:rFonts w:ascii="Arial" w:hAnsi="Arial" w:cs="Arial"/>
                <w:spacing w:val="6"/>
                <w:sz w:val="15"/>
                <w:szCs w:val="15"/>
              </w:rPr>
              <w:t>En el endeudamiento no se incluyen las deudas con empresas del grupo y asociadas.</w:t>
            </w:r>
          </w:p>
          <w:p w:rsidR="00844C81" w:rsidRPr="00B01865" w:rsidRDefault="00844C81" w:rsidP="00844C81">
            <w:pPr>
              <w:numPr>
                <w:ilvl w:val="0"/>
                <w:numId w:val="11"/>
              </w:numPr>
              <w:tabs>
                <w:tab w:val="left" w:pos="-426"/>
                <w:tab w:val="center" w:pos="280"/>
                <w:tab w:val="center" w:pos="5103"/>
                <w:tab w:val="center" w:pos="6237"/>
                <w:tab w:val="center" w:pos="7371"/>
              </w:tabs>
              <w:spacing w:after="0" w:line="0" w:lineRule="atLeast"/>
              <w:ind w:left="-28" w:right="28" w:firstLine="0"/>
              <w:rPr>
                <w:rFonts w:ascii="Arial" w:hAnsi="Arial" w:cs="Arial"/>
                <w:spacing w:val="6"/>
                <w:sz w:val="16"/>
                <w:szCs w:val="16"/>
              </w:rPr>
            </w:pPr>
            <w:r w:rsidRPr="00844C81">
              <w:rPr>
                <w:rFonts w:ascii="Arial" w:hAnsi="Arial" w:cs="Arial"/>
                <w:spacing w:val="6"/>
                <w:sz w:val="15"/>
                <w:szCs w:val="15"/>
              </w:rPr>
              <w:t>Esta aportación la realizó NASUVINSA</w:t>
            </w:r>
          </w:p>
        </w:tc>
      </w:tr>
    </w:tbl>
    <w:p w:rsidR="00B01865" w:rsidRPr="00B01865" w:rsidRDefault="00B01865" w:rsidP="00260377">
      <w:pPr>
        <w:pStyle w:val="texto"/>
        <w:spacing w:after="240"/>
      </w:pPr>
      <w:r w:rsidRPr="00260377">
        <w:lastRenderedPageBreak/>
        <w:t>La composición del grupo empresarial de la CPEN a efectos de consolid</w:t>
      </w:r>
      <w:r w:rsidRPr="00260377">
        <w:t>a</w:t>
      </w:r>
      <w:r w:rsidRPr="00260377">
        <w:t>ción contable es la siguiente</w:t>
      </w:r>
      <w:r w:rsidRPr="00B01865">
        <w:t>:</w:t>
      </w:r>
    </w:p>
    <w:tbl>
      <w:tblPr>
        <w:tblW w:w="8803" w:type="dxa"/>
        <w:jc w:val="center"/>
        <w:tblBorders>
          <w:top w:val="single" w:sz="4" w:space="0" w:color="auto"/>
          <w:bottom w:val="single" w:sz="4" w:space="0" w:color="auto"/>
        </w:tblBorders>
        <w:tblLook w:val="01E0" w:firstRow="1" w:lastRow="1" w:firstColumn="1" w:lastColumn="1" w:noHBand="0" w:noVBand="0"/>
      </w:tblPr>
      <w:tblGrid>
        <w:gridCol w:w="6831"/>
        <w:gridCol w:w="986"/>
        <w:gridCol w:w="986"/>
      </w:tblGrid>
      <w:tr w:rsidR="00B01865" w:rsidRPr="00B01865" w:rsidTr="00260377">
        <w:trPr>
          <w:trHeight w:val="255"/>
          <w:jc w:val="center"/>
        </w:trPr>
        <w:tc>
          <w:tcPr>
            <w:tcW w:w="6831"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260377">
            <w:pPr>
              <w:keepLines/>
              <w:tabs>
                <w:tab w:val="right" w:pos="2835"/>
                <w:tab w:val="right" w:pos="3969"/>
                <w:tab w:val="right" w:pos="5103"/>
                <w:tab w:val="right" w:pos="6237"/>
                <w:tab w:val="right" w:pos="7371"/>
              </w:tabs>
              <w:spacing w:after="0"/>
              <w:ind w:left="-45" w:firstLine="0"/>
              <w:jc w:val="left"/>
              <w:rPr>
                <w:rFonts w:ascii="Arial" w:hAnsi="Arial" w:cs="Arial"/>
                <w:spacing w:val="6"/>
                <w:sz w:val="18"/>
                <w:szCs w:val="24"/>
              </w:rPr>
            </w:pPr>
            <w:r w:rsidRPr="00B01865">
              <w:rPr>
                <w:rFonts w:ascii="Arial" w:hAnsi="Arial" w:cs="Arial"/>
                <w:spacing w:val="6"/>
                <w:sz w:val="18"/>
                <w:szCs w:val="24"/>
              </w:rPr>
              <w:t>Composición Grupo CPEN</w:t>
            </w:r>
          </w:p>
        </w:tc>
        <w:tc>
          <w:tcPr>
            <w:tcW w:w="986"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2016</w:t>
            </w:r>
          </w:p>
        </w:tc>
        <w:tc>
          <w:tcPr>
            <w:tcW w:w="986"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2017</w:t>
            </w:r>
          </w:p>
        </w:tc>
      </w:tr>
      <w:tr w:rsidR="00B01865" w:rsidRPr="00B01865" w:rsidTr="00260377">
        <w:trPr>
          <w:trHeight w:val="198"/>
          <w:jc w:val="center"/>
        </w:trPr>
        <w:tc>
          <w:tcPr>
            <w:tcW w:w="6831" w:type="dxa"/>
            <w:tcBorders>
              <w:top w:val="single" w:sz="4" w:space="0" w:color="auto"/>
              <w:left w:val="nil"/>
              <w:bottom w:val="single" w:sz="2" w:space="0" w:color="auto"/>
              <w:right w:val="nil"/>
            </w:tcBorders>
            <w:vAlign w:val="center"/>
            <w:hideMark/>
          </w:tcPr>
          <w:p w:rsidR="00B01865" w:rsidRPr="00B01865" w:rsidRDefault="00B01865" w:rsidP="00260377">
            <w:pPr>
              <w:spacing w:after="0"/>
              <w:ind w:left="-45" w:firstLine="0"/>
              <w:rPr>
                <w:rFonts w:ascii="Arial Narrow" w:hAnsi="Arial Narrow" w:cs="Arial"/>
              </w:rPr>
            </w:pPr>
            <w:r w:rsidRPr="00B01865">
              <w:rPr>
                <w:rFonts w:ascii="Arial Narrow" w:hAnsi="Arial Narrow" w:cs="Arial"/>
              </w:rPr>
              <w:t>Dependientes-Sociedades públicas</w:t>
            </w:r>
          </w:p>
        </w:tc>
        <w:tc>
          <w:tcPr>
            <w:tcW w:w="986" w:type="dxa"/>
            <w:tcBorders>
              <w:top w:val="single" w:sz="4" w:space="0" w:color="auto"/>
              <w:left w:val="nil"/>
              <w:bottom w:val="single" w:sz="2" w:space="0" w:color="auto"/>
              <w:right w:val="nil"/>
            </w:tcBorders>
            <w:vAlign w:val="center"/>
          </w:tcPr>
          <w:p w:rsidR="00B01865" w:rsidRPr="00B01865" w:rsidRDefault="00B01865" w:rsidP="00B01865">
            <w:pPr>
              <w:spacing w:after="0"/>
              <w:jc w:val="right"/>
              <w:rPr>
                <w:rFonts w:ascii="Arial Narrow" w:hAnsi="Arial Narrow" w:cs="Arial"/>
              </w:rPr>
            </w:pPr>
            <w:r w:rsidRPr="00B01865">
              <w:rPr>
                <w:rFonts w:ascii="Arial Narrow" w:hAnsi="Arial Narrow" w:cs="Arial"/>
              </w:rPr>
              <w:t>17</w:t>
            </w:r>
          </w:p>
        </w:tc>
        <w:tc>
          <w:tcPr>
            <w:tcW w:w="986" w:type="dxa"/>
            <w:tcBorders>
              <w:top w:val="single" w:sz="4" w:space="0" w:color="auto"/>
              <w:left w:val="nil"/>
              <w:bottom w:val="single" w:sz="2" w:space="0" w:color="auto"/>
              <w:right w:val="nil"/>
            </w:tcBorders>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17</w:t>
            </w:r>
          </w:p>
        </w:tc>
      </w:tr>
      <w:tr w:rsidR="00B01865" w:rsidRPr="00B01865" w:rsidTr="00260377">
        <w:trPr>
          <w:trHeight w:val="198"/>
          <w:jc w:val="center"/>
        </w:trPr>
        <w:tc>
          <w:tcPr>
            <w:tcW w:w="6831" w:type="dxa"/>
            <w:tcBorders>
              <w:top w:val="single" w:sz="2" w:space="0" w:color="auto"/>
              <w:left w:val="nil"/>
              <w:bottom w:val="single" w:sz="2" w:space="0" w:color="auto"/>
              <w:right w:val="nil"/>
            </w:tcBorders>
            <w:vAlign w:val="center"/>
            <w:hideMark/>
          </w:tcPr>
          <w:p w:rsidR="00B01865" w:rsidRPr="00B01865" w:rsidRDefault="00AA66F5" w:rsidP="00260377">
            <w:pPr>
              <w:spacing w:after="0"/>
              <w:ind w:left="-45" w:firstLine="0"/>
              <w:rPr>
                <w:rFonts w:ascii="Arial Narrow" w:hAnsi="Arial Narrow" w:cs="Arial"/>
              </w:rPr>
            </w:pPr>
            <w:r>
              <w:rPr>
                <w:rFonts w:ascii="Arial Narrow" w:hAnsi="Arial Narrow" w:cs="Arial"/>
              </w:rPr>
              <w:t xml:space="preserve">Asociadas y </w:t>
            </w:r>
            <w:proofErr w:type="spellStart"/>
            <w:r>
              <w:rPr>
                <w:rFonts w:ascii="Arial Narrow" w:hAnsi="Arial Narrow" w:cs="Arial"/>
              </w:rPr>
              <w:t>m</w:t>
            </w:r>
            <w:r w:rsidR="00B01865" w:rsidRPr="00B01865">
              <w:rPr>
                <w:rFonts w:ascii="Arial Narrow" w:hAnsi="Arial Narrow" w:cs="Arial"/>
              </w:rPr>
              <w:t>ultigrupo</w:t>
            </w:r>
            <w:proofErr w:type="spellEnd"/>
          </w:p>
        </w:tc>
        <w:tc>
          <w:tcPr>
            <w:tcW w:w="986" w:type="dxa"/>
            <w:tcBorders>
              <w:top w:val="single" w:sz="2" w:space="0" w:color="auto"/>
              <w:left w:val="nil"/>
              <w:bottom w:val="single" w:sz="2" w:space="0" w:color="auto"/>
              <w:right w:val="nil"/>
            </w:tcBorders>
            <w:vAlign w:val="center"/>
          </w:tcPr>
          <w:p w:rsidR="00B01865" w:rsidRPr="00B01865" w:rsidRDefault="00B01865" w:rsidP="00B01865">
            <w:pPr>
              <w:spacing w:after="0"/>
              <w:jc w:val="right"/>
              <w:rPr>
                <w:rFonts w:ascii="Arial Narrow" w:hAnsi="Arial Narrow" w:cs="Arial"/>
              </w:rPr>
            </w:pPr>
            <w:r w:rsidRPr="00B01865">
              <w:rPr>
                <w:rFonts w:ascii="Arial Narrow" w:hAnsi="Arial Narrow" w:cs="Arial"/>
              </w:rPr>
              <w:t>11</w:t>
            </w:r>
          </w:p>
        </w:tc>
        <w:tc>
          <w:tcPr>
            <w:tcW w:w="986" w:type="dxa"/>
            <w:tcBorders>
              <w:top w:val="single" w:sz="2" w:space="0" w:color="auto"/>
              <w:left w:val="nil"/>
              <w:bottom w:val="single" w:sz="2" w:space="0" w:color="auto"/>
              <w:right w:val="nil"/>
            </w:tcBorders>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15</w:t>
            </w:r>
          </w:p>
        </w:tc>
      </w:tr>
      <w:tr w:rsidR="00B01865" w:rsidRPr="00B01865" w:rsidTr="00260377">
        <w:trPr>
          <w:trHeight w:val="198"/>
          <w:jc w:val="center"/>
        </w:trPr>
        <w:tc>
          <w:tcPr>
            <w:tcW w:w="6831" w:type="dxa"/>
            <w:tcBorders>
              <w:top w:val="single" w:sz="2" w:space="0" w:color="auto"/>
              <w:left w:val="nil"/>
              <w:bottom w:val="single" w:sz="4" w:space="0" w:color="auto"/>
              <w:right w:val="nil"/>
            </w:tcBorders>
            <w:vAlign w:val="center"/>
            <w:hideMark/>
          </w:tcPr>
          <w:p w:rsidR="00B01865" w:rsidRPr="00B01865" w:rsidRDefault="00B01865" w:rsidP="00260377">
            <w:pPr>
              <w:spacing w:after="0"/>
              <w:ind w:left="-45" w:firstLine="0"/>
              <w:rPr>
                <w:rFonts w:ascii="Arial Narrow" w:hAnsi="Arial Narrow" w:cs="Arial"/>
              </w:rPr>
            </w:pPr>
            <w:r w:rsidRPr="00B01865">
              <w:rPr>
                <w:rFonts w:ascii="Arial Narrow" w:hAnsi="Arial Narrow" w:cs="Arial"/>
              </w:rPr>
              <w:t>Otras participadas</w:t>
            </w:r>
          </w:p>
        </w:tc>
        <w:tc>
          <w:tcPr>
            <w:tcW w:w="986" w:type="dxa"/>
            <w:tcBorders>
              <w:top w:val="single" w:sz="2" w:space="0" w:color="auto"/>
              <w:left w:val="nil"/>
              <w:bottom w:val="single" w:sz="4" w:space="0" w:color="auto"/>
              <w:right w:val="nil"/>
            </w:tcBorders>
            <w:vAlign w:val="center"/>
          </w:tcPr>
          <w:p w:rsidR="00B01865" w:rsidRPr="00B01865" w:rsidRDefault="00B01865" w:rsidP="00B01865">
            <w:pPr>
              <w:spacing w:after="0"/>
              <w:jc w:val="right"/>
              <w:rPr>
                <w:rFonts w:ascii="Arial Narrow" w:hAnsi="Arial Narrow" w:cs="Arial"/>
              </w:rPr>
            </w:pPr>
            <w:r w:rsidRPr="00B01865">
              <w:rPr>
                <w:rFonts w:ascii="Arial Narrow" w:hAnsi="Arial Narrow" w:cs="Arial"/>
              </w:rPr>
              <w:t>51</w:t>
            </w:r>
          </w:p>
        </w:tc>
        <w:tc>
          <w:tcPr>
            <w:tcW w:w="986" w:type="dxa"/>
            <w:tcBorders>
              <w:top w:val="single" w:sz="2" w:space="0" w:color="auto"/>
              <w:left w:val="nil"/>
              <w:bottom w:val="single" w:sz="4" w:space="0" w:color="auto"/>
              <w:right w:val="nil"/>
            </w:tcBorders>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54</w:t>
            </w:r>
          </w:p>
        </w:tc>
      </w:tr>
    </w:tbl>
    <w:p w:rsidR="00B01865" w:rsidRPr="00B01865" w:rsidRDefault="00B01865" w:rsidP="00260377">
      <w:pPr>
        <w:pStyle w:val="texto"/>
        <w:spacing w:before="240"/>
        <w:rPr>
          <w:szCs w:val="26"/>
          <w:lang w:val="es-ES" w:eastAsia="es-ES_tradnl"/>
        </w:rPr>
      </w:pPr>
      <w:r w:rsidRPr="00B01865">
        <w:rPr>
          <w:lang w:val="es-ES"/>
        </w:rPr>
        <w:t>Tal y como viene indicando en anteriores informes esta Cámara, consider</w:t>
      </w:r>
      <w:r w:rsidRPr="00B01865">
        <w:rPr>
          <w:lang w:val="es-ES"/>
        </w:rPr>
        <w:t>a</w:t>
      </w:r>
      <w:r w:rsidRPr="00B01865">
        <w:rPr>
          <w:lang w:val="es-ES"/>
        </w:rPr>
        <w:t>mos que la empresa Parque de la Naturaleza de Navarra S.A. reúne los requis</w:t>
      </w:r>
      <w:r w:rsidRPr="00B01865">
        <w:rPr>
          <w:lang w:val="es-ES"/>
        </w:rPr>
        <w:t>i</w:t>
      </w:r>
      <w:r w:rsidRPr="00B01865">
        <w:rPr>
          <w:lang w:val="es-ES"/>
        </w:rPr>
        <w:t xml:space="preserve">tos que señala la Ley Foral de Patrimonio de Navarra para ser pública, dado que, si bien la participación de la CPEN a través de </w:t>
      </w:r>
      <w:r w:rsidR="00A47C5B">
        <w:rPr>
          <w:lang w:val="es-ES"/>
        </w:rPr>
        <w:t>SODENA</w:t>
      </w:r>
      <w:r w:rsidRPr="00B01865">
        <w:rPr>
          <w:lang w:val="es-ES"/>
        </w:rPr>
        <w:t xml:space="preserve"> actualmente es del 45 por ciento de su capital, existe un control del grupo por los pactos fi</w:t>
      </w:r>
      <w:r w:rsidRPr="00B01865">
        <w:rPr>
          <w:lang w:val="es-ES"/>
        </w:rPr>
        <w:t>r</w:t>
      </w:r>
      <w:r w:rsidRPr="00B01865">
        <w:rPr>
          <w:lang w:val="es-ES"/>
        </w:rPr>
        <w:t xml:space="preserve">mados con el resto de socios; además, </w:t>
      </w:r>
      <w:r w:rsidR="00A47C5B">
        <w:rPr>
          <w:lang w:val="es-ES"/>
        </w:rPr>
        <w:t>SODENA</w:t>
      </w:r>
      <w:r w:rsidRPr="00B01865">
        <w:rPr>
          <w:lang w:val="es-ES"/>
        </w:rPr>
        <w:t xml:space="preserve"> es su administrador único. Las anteriores circunstancias indican la existencia de una influencia dominante e incluso dependencia </w:t>
      </w:r>
      <w:r w:rsidRPr="00B01865">
        <w:rPr>
          <w:szCs w:val="26"/>
          <w:lang w:val="es-ES" w:eastAsia="es-ES_tradnl"/>
        </w:rPr>
        <w:t>y dirección única sobre esa empresa por el grupo empres</w:t>
      </w:r>
      <w:r w:rsidRPr="00B01865">
        <w:rPr>
          <w:szCs w:val="26"/>
          <w:lang w:val="es-ES" w:eastAsia="es-ES_tradnl"/>
        </w:rPr>
        <w:t>a</w:t>
      </w:r>
      <w:r w:rsidRPr="00B01865">
        <w:rPr>
          <w:szCs w:val="26"/>
          <w:lang w:val="es-ES" w:eastAsia="es-ES_tradnl"/>
        </w:rPr>
        <w:t>rial de la CPEN.</w:t>
      </w:r>
    </w:p>
    <w:p w:rsidR="00B01865" w:rsidRPr="00B01865" w:rsidRDefault="00B01865" w:rsidP="00260377">
      <w:pPr>
        <w:pStyle w:val="texto"/>
        <w:rPr>
          <w:szCs w:val="26"/>
          <w:lang w:eastAsia="es-ES_tradnl"/>
        </w:rPr>
      </w:pPr>
      <w:r w:rsidRPr="00B01865">
        <w:rPr>
          <w:lang w:val="es-ES"/>
        </w:rPr>
        <w:t xml:space="preserve">Avala igualmente esta opinión el hecho de que, para la normativa contable, la CPEN consolida la citada sociedad por el método de integración global al igual que el resto de sociedades públicas. </w:t>
      </w:r>
    </w:p>
    <w:p w:rsidR="00B01865" w:rsidRPr="00B01865" w:rsidRDefault="00B01865" w:rsidP="00260377">
      <w:pPr>
        <w:pStyle w:val="texto"/>
        <w:rPr>
          <w:rFonts w:ascii="Times New (W1)" w:hAnsi="Times New (W1)"/>
        </w:rPr>
      </w:pPr>
      <w:r w:rsidRPr="00B01865">
        <w:rPr>
          <w:rFonts w:ascii="Times New (W1)" w:hAnsi="Times New (W1)"/>
        </w:rPr>
        <w:t>Los principales indicadores de 2017 del sector público empresarial de Nav</w:t>
      </w:r>
      <w:r w:rsidRPr="00B01865">
        <w:rPr>
          <w:rFonts w:ascii="Times New (W1)" w:hAnsi="Times New (W1)"/>
        </w:rPr>
        <w:t>a</w:t>
      </w:r>
      <w:r w:rsidRPr="00B01865">
        <w:rPr>
          <w:rFonts w:ascii="Times New (W1)" w:hAnsi="Times New (W1)"/>
        </w:rPr>
        <w:t>rra consolidado y su comparación con el ejercicio anterior son los siguientes:</w:t>
      </w:r>
    </w:p>
    <w:tbl>
      <w:tblPr>
        <w:tblW w:w="8874" w:type="dxa"/>
        <w:jc w:val="center"/>
        <w:tblBorders>
          <w:top w:val="single" w:sz="4" w:space="0" w:color="auto"/>
          <w:bottom w:val="single" w:sz="4" w:space="0" w:color="auto"/>
        </w:tblBorders>
        <w:tblLook w:val="01E0" w:firstRow="1" w:lastRow="1" w:firstColumn="1" w:lastColumn="1" w:noHBand="0" w:noVBand="0"/>
      </w:tblPr>
      <w:tblGrid>
        <w:gridCol w:w="15"/>
        <w:gridCol w:w="4990"/>
        <w:gridCol w:w="1289"/>
        <w:gridCol w:w="1290"/>
        <w:gridCol w:w="1290"/>
      </w:tblGrid>
      <w:tr w:rsidR="00B01865" w:rsidRPr="00B01865" w:rsidTr="00260377">
        <w:trPr>
          <w:gridBefore w:val="1"/>
          <w:wBefore w:w="15" w:type="dxa"/>
          <w:trHeight w:val="255"/>
          <w:jc w:val="center"/>
        </w:trPr>
        <w:tc>
          <w:tcPr>
            <w:tcW w:w="8859" w:type="dxa"/>
            <w:gridSpan w:val="4"/>
            <w:tcBorders>
              <w:top w:val="nil"/>
              <w:left w:val="nil"/>
              <w:bottom w:val="single" w:sz="4" w:space="0" w:color="auto"/>
              <w:right w:val="nil"/>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B01865">
              <w:rPr>
                <w:rFonts w:ascii="Arial" w:hAnsi="Arial" w:cs="Arial"/>
                <w:spacing w:val="6"/>
                <w:sz w:val="17"/>
                <w:szCs w:val="17"/>
              </w:rPr>
              <w:t>(en miles de euros)</w:t>
            </w:r>
          </w:p>
        </w:tc>
      </w:tr>
      <w:tr w:rsidR="00B01865" w:rsidRPr="00B01865" w:rsidTr="00260377">
        <w:trPr>
          <w:gridBefore w:val="1"/>
          <w:wBefore w:w="15" w:type="dxa"/>
          <w:trHeight w:val="255"/>
          <w:jc w:val="center"/>
        </w:trPr>
        <w:tc>
          <w:tcPr>
            <w:tcW w:w="4990"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37" w:firstLine="0"/>
              <w:jc w:val="left"/>
              <w:rPr>
                <w:rFonts w:ascii="Arial" w:hAnsi="Arial" w:cs="Arial"/>
                <w:spacing w:val="6"/>
                <w:sz w:val="18"/>
                <w:szCs w:val="24"/>
              </w:rPr>
            </w:pPr>
            <w:r w:rsidRPr="00B01865">
              <w:rPr>
                <w:rFonts w:ascii="Arial" w:hAnsi="Arial" w:cs="Arial"/>
                <w:spacing w:val="6"/>
                <w:sz w:val="18"/>
                <w:szCs w:val="24"/>
              </w:rPr>
              <w:t>Indicadores Grupo CPEN consolidado</w:t>
            </w:r>
          </w:p>
        </w:tc>
        <w:tc>
          <w:tcPr>
            <w:tcW w:w="1289"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108" w:firstLine="0"/>
              <w:jc w:val="right"/>
              <w:rPr>
                <w:rFonts w:ascii="Arial" w:hAnsi="Arial" w:cs="Arial"/>
                <w:spacing w:val="6"/>
                <w:sz w:val="18"/>
                <w:szCs w:val="24"/>
              </w:rPr>
            </w:pPr>
            <w:r w:rsidRPr="00B01865">
              <w:rPr>
                <w:rFonts w:ascii="Arial" w:hAnsi="Arial" w:cs="Arial"/>
                <w:spacing w:val="6"/>
                <w:sz w:val="18"/>
                <w:szCs w:val="24"/>
              </w:rPr>
              <w:t>2016</w:t>
            </w:r>
          </w:p>
        </w:tc>
        <w:tc>
          <w:tcPr>
            <w:tcW w:w="1290" w:type="dxa"/>
            <w:tcBorders>
              <w:top w:val="single" w:sz="4" w:space="0" w:color="auto"/>
              <w:left w:val="nil"/>
              <w:bottom w:val="single" w:sz="4" w:space="0" w:color="auto"/>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left="-108" w:firstLine="0"/>
              <w:jc w:val="right"/>
              <w:rPr>
                <w:rFonts w:ascii="Arial" w:hAnsi="Arial" w:cs="Arial"/>
                <w:spacing w:val="6"/>
                <w:sz w:val="18"/>
                <w:szCs w:val="24"/>
              </w:rPr>
            </w:pPr>
            <w:r w:rsidRPr="00B01865">
              <w:rPr>
                <w:rFonts w:ascii="Arial" w:hAnsi="Arial" w:cs="Arial"/>
                <w:spacing w:val="6"/>
                <w:sz w:val="18"/>
                <w:szCs w:val="24"/>
              </w:rPr>
              <w:t>2017</w:t>
            </w:r>
          </w:p>
        </w:tc>
        <w:tc>
          <w:tcPr>
            <w:tcW w:w="1290" w:type="dxa"/>
            <w:tcBorders>
              <w:top w:val="single" w:sz="4" w:space="0" w:color="auto"/>
              <w:left w:val="nil"/>
              <w:bottom w:val="single" w:sz="4" w:space="0" w:color="auto"/>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 variación 2017/2016</w:t>
            </w:r>
          </w:p>
        </w:tc>
      </w:tr>
      <w:tr w:rsidR="00B01865" w:rsidRPr="00B01865" w:rsidTr="00260377">
        <w:trPr>
          <w:trHeight w:val="198"/>
          <w:jc w:val="center"/>
        </w:trPr>
        <w:tc>
          <w:tcPr>
            <w:tcW w:w="5005" w:type="dxa"/>
            <w:gridSpan w:val="2"/>
            <w:tcBorders>
              <w:top w:val="single" w:sz="4"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sidRPr="00B01865">
              <w:rPr>
                <w:rFonts w:ascii="Arial Narrow" w:hAnsi="Arial Narrow" w:cs="Arial"/>
              </w:rPr>
              <w:t xml:space="preserve">Patrimonio neto </w:t>
            </w:r>
          </w:p>
        </w:tc>
        <w:tc>
          <w:tcPr>
            <w:tcW w:w="1289" w:type="dxa"/>
            <w:tcBorders>
              <w:top w:val="single" w:sz="4"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634.429</w:t>
            </w:r>
          </w:p>
        </w:tc>
        <w:tc>
          <w:tcPr>
            <w:tcW w:w="1290" w:type="dxa"/>
            <w:tcBorders>
              <w:top w:val="single" w:sz="4"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641.542</w:t>
            </w:r>
          </w:p>
        </w:tc>
        <w:tc>
          <w:tcPr>
            <w:tcW w:w="1290" w:type="dxa"/>
            <w:tcBorders>
              <w:top w:val="single" w:sz="4"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1</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sidRPr="00B01865">
              <w:rPr>
                <w:rFonts w:ascii="Arial Narrow" w:hAnsi="Arial Narrow" w:cs="Arial"/>
              </w:rPr>
              <w:t>Deudas a Largo Plazo</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132.512</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120.549</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-9</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sidRPr="00B01865">
              <w:rPr>
                <w:rFonts w:ascii="Arial Narrow" w:hAnsi="Arial Narrow" w:cs="Arial"/>
              </w:rPr>
              <w:t>Pasivo Corriente</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182.975</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87.615</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-52</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sidRPr="00B01865">
              <w:rPr>
                <w:rFonts w:ascii="Arial Narrow" w:hAnsi="Arial Narrow" w:cs="Arial"/>
              </w:rPr>
              <w:t>Fondo de maniobra</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290.620</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300.811</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4</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sidRPr="00B01865">
              <w:rPr>
                <w:rFonts w:ascii="Arial Narrow" w:hAnsi="Arial Narrow" w:cs="Arial"/>
              </w:rPr>
              <w:t>Efectivo y otros activos líquidos</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84.426</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79.477</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-6</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sidRPr="00B01865">
              <w:rPr>
                <w:rFonts w:ascii="Arial Narrow" w:hAnsi="Arial Narrow" w:cs="Arial"/>
              </w:rPr>
              <w:t>Importe neto de la cifra de negocios</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136.081</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176.402</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30</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tcPr>
          <w:p w:rsidR="00B01865" w:rsidRPr="00B01865" w:rsidRDefault="00B01865" w:rsidP="00B01865">
            <w:pPr>
              <w:spacing w:after="0"/>
              <w:ind w:firstLine="0"/>
              <w:rPr>
                <w:rFonts w:ascii="Arial Narrow" w:hAnsi="Arial Narrow" w:cs="Arial"/>
              </w:rPr>
            </w:pPr>
            <w:r w:rsidRPr="00B01865">
              <w:rPr>
                <w:rFonts w:ascii="Arial Narrow" w:hAnsi="Arial Narrow" w:cs="Arial"/>
              </w:rPr>
              <w:t xml:space="preserve">Porcentaje cifra de negocios realizado con Gobierno de Navarra </w:t>
            </w:r>
          </w:p>
        </w:tc>
        <w:tc>
          <w:tcPr>
            <w:tcW w:w="1289" w:type="dxa"/>
            <w:tcBorders>
              <w:top w:val="single" w:sz="2" w:space="0" w:color="auto"/>
              <w:left w:val="nil"/>
              <w:bottom w:val="single" w:sz="2" w:space="0" w:color="auto"/>
              <w:right w:val="nil"/>
            </w:tcBorders>
            <w:shd w:val="clear" w:color="auto" w:fill="auto"/>
            <w:vAlign w:val="center"/>
          </w:tcPr>
          <w:p w:rsidR="00B01865" w:rsidRPr="00B01865" w:rsidRDefault="00B01865" w:rsidP="00B01865">
            <w:pPr>
              <w:spacing w:after="0"/>
              <w:jc w:val="right"/>
              <w:rPr>
                <w:rFonts w:ascii="Arial Narrow" w:hAnsi="Arial Narrow" w:cs="Arial"/>
              </w:rPr>
            </w:pPr>
            <w:r w:rsidRPr="00B01865">
              <w:rPr>
                <w:rFonts w:ascii="Arial Narrow" w:hAnsi="Arial Narrow" w:cs="Arial"/>
              </w:rPr>
              <w:t>27</w:t>
            </w:r>
          </w:p>
        </w:tc>
        <w:tc>
          <w:tcPr>
            <w:tcW w:w="1290" w:type="dxa"/>
            <w:tcBorders>
              <w:top w:val="single" w:sz="2" w:space="0" w:color="auto"/>
              <w:left w:val="nil"/>
              <w:bottom w:val="single" w:sz="2" w:space="0" w:color="auto"/>
              <w:right w:val="nil"/>
            </w:tcBorders>
            <w:shd w:val="clear" w:color="auto" w:fill="auto"/>
            <w:vAlign w:val="center"/>
          </w:tcPr>
          <w:p w:rsidR="00B01865" w:rsidRPr="00B01865" w:rsidRDefault="00B01865" w:rsidP="00B01865">
            <w:pPr>
              <w:spacing w:after="0"/>
              <w:jc w:val="right"/>
              <w:rPr>
                <w:rFonts w:ascii="Arial Narrow" w:hAnsi="Arial Narrow" w:cs="Arial"/>
              </w:rPr>
            </w:pPr>
            <w:r w:rsidRPr="00B01865">
              <w:rPr>
                <w:rFonts w:ascii="Arial Narrow" w:hAnsi="Arial Narrow" w:cs="Arial"/>
              </w:rPr>
              <w:t>24</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-11</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sidRPr="00B01865">
              <w:rPr>
                <w:rFonts w:ascii="Arial Narrow" w:hAnsi="Arial Narrow" w:cs="Arial"/>
              </w:rPr>
              <w:t>Subvenciones capital recibidas del Gobierno de Navarra (1)</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12.523</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2.383</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-81</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sidRPr="00B01865">
              <w:rPr>
                <w:rFonts w:ascii="Arial Narrow" w:hAnsi="Arial Narrow" w:cs="Arial"/>
              </w:rPr>
              <w:t>Subvenciones explotación recibidas del Gobierno de Navarra</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8.076</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7.770</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-4</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sidRPr="00B01865">
              <w:rPr>
                <w:rFonts w:ascii="Arial Narrow" w:hAnsi="Arial Narrow" w:cs="Arial"/>
              </w:rPr>
              <w:t>Gastos de personal</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49.636</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53.023</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7</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sidRPr="00B01865">
              <w:rPr>
                <w:rFonts w:ascii="Arial Narrow" w:hAnsi="Arial Narrow" w:cs="Arial"/>
              </w:rPr>
              <w:t xml:space="preserve">Resultado de explotación </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3.231</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10.584</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228</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sidRPr="00B01865">
              <w:rPr>
                <w:rFonts w:ascii="Arial Narrow" w:hAnsi="Arial Narrow" w:cs="Arial"/>
              </w:rPr>
              <w:t>Resultado consolidado del ejercicio</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-4.520</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-369</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-92</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sidRPr="00B01865">
              <w:rPr>
                <w:rFonts w:ascii="Arial Narrow" w:hAnsi="Arial Narrow" w:cs="Arial"/>
              </w:rPr>
              <w:t>Resultado atribuido a la sociedad dominante</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-5.069</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-726</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-86</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sidRPr="00B01865">
              <w:rPr>
                <w:rFonts w:ascii="Arial Narrow" w:hAnsi="Arial Narrow" w:cs="Arial"/>
              </w:rPr>
              <w:t>Avales y garantías concedidos a terceros (2)</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97.783</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75.673</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-23</w:t>
            </w:r>
          </w:p>
        </w:tc>
      </w:tr>
      <w:tr w:rsidR="00B01865" w:rsidRPr="00B01865" w:rsidTr="00260377">
        <w:trPr>
          <w:trHeight w:val="198"/>
          <w:jc w:val="center"/>
        </w:trPr>
        <w:tc>
          <w:tcPr>
            <w:tcW w:w="5005" w:type="dxa"/>
            <w:gridSpan w:val="2"/>
            <w:tcBorders>
              <w:top w:val="single" w:sz="2" w:space="0" w:color="auto"/>
              <w:left w:val="nil"/>
              <w:bottom w:val="single" w:sz="2" w:space="0" w:color="auto"/>
              <w:right w:val="nil"/>
            </w:tcBorders>
            <w:vAlign w:val="center"/>
            <w:hideMark/>
          </w:tcPr>
          <w:p w:rsidR="00B01865" w:rsidRPr="00B01865" w:rsidRDefault="00B01865" w:rsidP="00B01865">
            <w:pPr>
              <w:spacing w:after="0"/>
              <w:ind w:firstLine="0"/>
              <w:rPr>
                <w:rFonts w:ascii="Arial Narrow" w:hAnsi="Arial Narrow" w:cs="Arial"/>
              </w:rPr>
            </w:pPr>
            <w:r w:rsidRPr="00B01865">
              <w:rPr>
                <w:rFonts w:ascii="Arial Narrow" w:hAnsi="Arial Narrow" w:cs="Arial"/>
              </w:rPr>
              <w:t xml:space="preserve">Retribuciones Consejo de Administración CPEN </w:t>
            </w:r>
          </w:p>
        </w:tc>
        <w:tc>
          <w:tcPr>
            <w:tcW w:w="1289"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4,9</w:t>
            </w:r>
          </w:p>
        </w:tc>
        <w:tc>
          <w:tcPr>
            <w:tcW w:w="1290" w:type="dxa"/>
            <w:tcBorders>
              <w:top w:val="single" w:sz="2" w:space="0" w:color="auto"/>
              <w:left w:val="nil"/>
              <w:bottom w:val="single" w:sz="2"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6,6</w:t>
            </w:r>
          </w:p>
        </w:tc>
        <w:tc>
          <w:tcPr>
            <w:tcW w:w="1290" w:type="dxa"/>
            <w:tcBorders>
              <w:top w:val="single" w:sz="2" w:space="0" w:color="auto"/>
              <w:left w:val="nil"/>
              <w:bottom w:val="single" w:sz="2" w:space="0" w:color="auto"/>
              <w:right w:val="nil"/>
            </w:tcBorders>
            <w:vAlign w:val="center"/>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36</w:t>
            </w:r>
          </w:p>
        </w:tc>
      </w:tr>
      <w:tr w:rsidR="00B01865" w:rsidRPr="00B01865" w:rsidTr="00260377">
        <w:trPr>
          <w:trHeight w:val="198"/>
          <w:jc w:val="center"/>
        </w:trPr>
        <w:tc>
          <w:tcPr>
            <w:tcW w:w="5005" w:type="dxa"/>
            <w:gridSpan w:val="2"/>
            <w:tcBorders>
              <w:top w:val="single" w:sz="2" w:space="0" w:color="auto"/>
              <w:left w:val="nil"/>
              <w:bottom w:val="single" w:sz="4" w:space="0" w:color="auto"/>
              <w:right w:val="nil"/>
            </w:tcBorders>
            <w:vAlign w:val="center"/>
            <w:hideMark/>
          </w:tcPr>
          <w:p w:rsidR="00B01865" w:rsidRPr="00B01865" w:rsidRDefault="00B01865" w:rsidP="00B01865">
            <w:pPr>
              <w:spacing w:after="0"/>
              <w:ind w:firstLine="0"/>
              <w:rPr>
                <w:rFonts w:ascii="Arial Narrow" w:hAnsi="Arial Narrow" w:cs="Arial"/>
              </w:rPr>
            </w:pPr>
            <w:r w:rsidRPr="00B01865">
              <w:rPr>
                <w:rFonts w:ascii="Arial Narrow" w:hAnsi="Arial Narrow" w:cs="Arial"/>
              </w:rPr>
              <w:t>Número medio de altos directivos (2)</w:t>
            </w:r>
          </w:p>
        </w:tc>
        <w:tc>
          <w:tcPr>
            <w:tcW w:w="1289" w:type="dxa"/>
            <w:tcBorders>
              <w:top w:val="single" w:sz="2" w:space="0" w:color="auto"/>
              <w:left w:val="nil"/>
              <w:bottom w:val="single" w:sz="4"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15</w:t>
            </w:r>
          </w:p>
        </w:tc>
        <w:tc>
          <w:tcPr>
            <w:tcW w:w="1290" w:type="dxa"/>
            <w:tcBorders>
              <w:top w:val="single" w:sz="2" w:space="0" w:color="auto"/>
              <w:left w:val="nil"/>
              <w:bottom w:val="single" w:sz="4" w:space="0" w:color="auto"/>
              <w:right w:val="nil"/>
            </w:tcBorders>
            <w:shd w:val="clear" w:color="auto" w:fill="auto"/>
            <w:vAlign w:val="center"/>
            <w:hideMark/>
          </w:tcPr>
          <w:p w:rsidR="00B01865" w:rsidRPr="00B01865" w:rsidRDefault="00B01865" w:rsidP="00B01865">
            <w:pPr>
              <w:spacing w:after="0"/>
              <w:jc w:val="right"/>
              <w:rPr>
                <w:rFonts w:ascii="Arial Narrow" w:hAnsi="Arial Narrow" w:cs="Arial"/>
              </w:rPr>
            </w:pPr>
            <w:r w:rsidRPr="00B01865">
              <w:rPr>
                <w:rFonts w:ascii="Arial Narrow" w:hAnsi="Arial Narrow" w:cs="Arial"/>
              </w:rPr>
              <w:t>15</w:t>
            </w:r>
          </w:p>
        </w:tc>
        <w:tc>
          <w:tcPr>
            <w:tcW w:w="1290" w:type="dxa"/>
            <w:tcBorders>
              <w:top w:val="single" w:sz="2" w:space="0" w:color="auto"/>
              <w:left w:val="nil"/>
              <w:bottom w:val="single" w:sz="4" w:space="0" w:color="auto"/>
              <w:right w:val="nil"/>
            </w:tcBorders>
            <w:vAlign w:val="center"/>
          </w:tcPr>
          <w:p w:rsidR="00B01865" w:rsidRPr="00B01865" w:rsidRDefault="00B01865" w:rsidP="00B01865">
            <w:pPr>
              <w:spacing w:after="0"/>
              <w:ind w:firstLine="0"/>
              <w:jc w:val="right"/>
              <w:rPr>
                <w:rFonts w:ascii="Arial Narrow" w:hAnsi="Arial Narrow" w:cs="Arial"/>
              </w:rPr>
            </w:pPr>
            <w:r w:rsidRPr="00B01865">
              <w:rPr>
                <w:rFonts w:ascii="Arial Narrow" w:hAnsi="Arial Narrow" w:cs="Arial"/>
              </w:rPr>
              <w:t>0</w:t>
            </w:r>
          </w:p>
        </w:tc>
      </w:tr>
    </w:tbl>
    <w:p w:rsidR="00B01865" w:rsidRPr="00B01865" w:rsidRDefault="00B01865" w:rsidP="00B01865">
      <w:pPr>
        <w:tabs>
          <w:tab w:val="center" w:pos="2835"/>
          <w:tab w:val="center" w:pos="3969"/>
          <w:tab w:val="center" w:pos="5103"/>
          <w:tab w:val="center" w:pos="6237"/>
          <w:tab w:val="center" w:pos="7371"/>
        </w:tabs>
        <w:spacing w:before="60" w:after="0"/>
        <w:ind w:firstLine="0"/>
        <w:rPr>
          <w:rFonts w:ascii="Arial" w:hAnsi="Arial" w:cs="Arial"/>
          <w:bCs/>
          <w:spacing w:val="-3"/>
          <w:sz w:val="16"/>
          <w:szCs w:val="16"/>
          <w:lang w:val="es-ES"/>
        </w:rPr>
      </w:pPr>
      <w:r w:rsidRPr="00B01865">
        <w:rPr>
          <w:rFonts w:ascii="Arial" w:hAnsi="Arial" w:cs="Arial"/>
          <w:bCs/>
          <w:spacing w:val="-3"/>
          <w:sz w:val="16"/>
          <w:szCs w:val="16"/>
          <w:lang w:val="es-ES"/>
        </w:rPr>
        <w:t>(1) Importe antes del efecto impositivo.</w:t>
      </w:r>
    </w:p>
    <w:p w:rsidR="00B01865" w:rsidRPr="00B01865" w:rsidRDefault="00B01865" w:rsidP="00B01865">
      <w:pPr>
        <w:tabs>
          <w:tab w:val="center" w:pos="2835"/>
          <w:tab w:val="center" w:pos="3969"/>
          <w:tab w:val="center" w:pos="5103"/>
          <w:tab w:val="center" w:pos="6237"/>
          <w:tab w:val="center" w:pos="7371"/>
        </w:tabs>
        <w:spacing w:after="0"/>
        <w:ind w:firstLine="0"/>
        <w:rPr>
          <w:rFonts w:ascii="Arial" w:hAnsi="Arial" w:cs="Arial"/>
          <w:bCs/>
          <w:spacing w:val="-3"/>
          <w:sz w:val="16"/>
          <w:szCs w:val="16"/>
          <w:lang w:val="es-ES"/>
        </w:rPr>
      </w:pPr>
      <w:r w:rsidRPr="00B01865">
        <w:rPr>
          <w:rFonts w:ascii="Arial" w:hAnsi="Arial" w:cs="Arial"/>
          <w:bCs/>
          <w:spacing w:val="-3"/>
          <w:sz w:val="16"/>
          <w:szCs w:val="16"/>
          <w:lang w:val="es-ES"/>
        </w:rPr>
        <w:t xml:space="preserve">(2) Solo referido a empresas dependientes incluidas por integración global en la consolidación. </w:t>
      </w:r>
    </w:p>
    <w:p w:rsidR="00B01865" w:rsidRPr="00B01865" w:rsidRDefault="00B01865" w:rsidP="00260377">
      <w:pPr>
        <w:pStyle w:val="texto"/>
        <w:spacing w:before="240"/>
        <w:rPr>
          <w:lang w:val="es-ES"/>
        </w:rPr>
      </w:pPr>
      <w:r w:rsidRPr="00B01865">
        <w:rPr>
          <w:lang w:val="es-ES"/>
        </w:rPr>
        <w:t>Del análisis de los estos datos destacamos los siguientes aspectos:</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El pasivo corriente en 2017 se ha reducido un 52 por ciento respecto a 2016 y alcanza los 87,62 millones de euros.</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lastRenderedPageBreak/>
        <w:t>Las deudas a largo plazo en 2017 son un nueve por ciento inferiores a las del ejercicio anterior suponiendo un total de 120,55 millones de euros.</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Las subvenciones recibidas del Gobierno de Navarra en 2017 se han red</w:t>
      </w:r>
      <w:r w:rsidRPr="00B01865">
        <w:rPr>
          <w:rFonts w:cs="Arial"/>
          <w:spacing w:val="6"/>
          <w:sz w:val="26"/>
          <w:szCs w:val="24"/>
        </w:rPr>
        <w:t>u</w:t>
      </w:r>
      <w:r w:rsidRPr="00B01865">
        <w:rPr>
          <w:rFonts w:cs="Arial"/>
          <w:spacing w:val="6"/>
          <w:sz w:val="26"/>
          <w:szCs w:val="24"/>
        </w:rPr>
        <w:t>cido en un 51 por ciento frente a las de 2016 y alcanzan un total de 10,15 m</w:t>
      </w:r>
      <w:r w:rsidRPr="00B01865">
        <w:rPr>
          <w:rFonts w:cs="Arial"/>
          <w:spacing w:val="6"/>
          <w:sz w:val="26"/>
          <w:szCs w:val="24"/>
        </w:rPr>
        <w:t>i</w:t>
      </w:r>
      <w:r w:rsidRPr="00B01865">
        <w:rPr>
          <w:rFonts w:cs="Arial"/>
          <w:spacing w:val="6"/>
          <w:sz w:val="26"/>
          <w:szCs w:val="24"/>
        </w:rPr>
        <w:t>llones de euros.</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El efectivo y otros activos líquidos han disminuido un seis por ciento en 2017 sobre los existentes en el ejercicio anterior.</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El resultado de explotación, el consolidado del ejercicio y el atribuido a la sociedad dominante han mejorado significativamente en 2017 frente a los ind</w:t>
      </w:r>
      <w:r w:rsidRPr="00B01865">
        <w:rPr>
          <w:rFonts w:cs="Arial"/>
          <w:spacing w:val="6"/>
          <w:sz w:val="26"/>
          <w:szCs w:val="24"/>
        </w:rPr>
        <w:t>i</w:t>
      </w:r>
      <w:r w:rsidRPr="00B01865">
        <w:rPr>
          <w:rFonts w:cs="Arial"/>
          <w:spacing w:val="6"/>
          <w:sz w:val="26"/>
          <w:szCs w:val="24"/>
        </w:rPr>
        <w:t>cadores de 2016.</w:t>
      </w:r>
    </w:p>
    <w:p w:rsidR="00B01865" w:rsidRPr="00B01865" w:rsidRDefault="00B01865" w:rsidP="00B01865">
      <w:pPr>
        <w:tabs>
          <w:tab w:val="center" w:pos="2835"/>
          <w:tab w:val="center" w:pos="3969"/>
          <w:tab w:val="center" w:pos="5103"/>
          <w:tab w:val="center" w:pos="6237"/>
          <w:tab w:val="center" w:pos="7371"/>
        </w:tabs>
        <w:spacing w:before="240"/>
        <w:ind w:firstLine="284"/>
        <w:rPr>
          <w:spacing w:val="6"/>
          <w:sz w:val="26"/>
          <w:szCs w:val="24"/>
          <w:lang w:val="es-ES"/>
        </w:rPr>
      </w:pPr>
      <w:r w:rsidRPr="00B01865">
        <w:rPr>
          <w:spacing w:val="6"/>
          <w:sz w:val="26"/>
          <w:szCs w:val="24"/>
          <w:lang w:val="es-ES"/>
        </w:rPr>
        <w:t>Por otro lado, las sociedades públicas presentan auditoría de cuentas anuales. De la revisión de estas auditorías destacamos los siguientes aspectos:</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Las 17 sociedades presentan opinión no modificada, incluyendo dos de e</w:t>
      </w:r>
      <w:r w:rsidRPr="00B01865">
        <w:rPr>
          <w:rFonts w:cs="Arial"/>
          <w:spacing w:val="6"/>
          <w:sz w:val="26"/>
          <w:szCs w:val="24"/>
        </w:rPr>
        <w:t>s</w:t>
      </w:r>
      <w:r w:rsidRPr="00B01865">
        <w:rPr>
          <w:rFonts w:cs="Arial"/>
          <w:spacing w:val="6"/>
          <w:sz w:val="26"/>
          <w:szCs w:val="24"/>
        </w:rPr>
        <w:t>tas un párrafo de énfasis en su opinión referido a:</w:t>
      </w:r>
    </w:p>
    <w:p w:rsidR="00B01865" w:rsidRPr="00C85DA7" w:rsidRDefault="00C85DA7" w:rsidP="00C85DA7">
      <w:pPr>
        <w:tabs>
          <w:tab w:val="center" w:pos="2835"/>
          <w:tab w:val="center" w:pos="3969"/>
          <w:tab w:val="center" w:pos="5103"/>
          <w:tab w:val="center" w:pos="6237"/>
          <w:tab w:val="center" w:pos="7371"/>
        </w:tabs>
        <w:ind w:firstLine="284"/>
        <w:rPr>
          <w:spacing w:val="6"/>
          <w:sz w:val="26"/>
          <w:szCs w:val="24"/>
        </w:rPr>
      </w:pPr>
      <w:r>
        <w:rPr>
          <w:spacing w:val="6"/>
          <w:sz w:val="26"/>
          <w:szCs w:val="24"/>
        </w:rPr>
        <w:t xml:space="preserve">a) </w:t>
      </w:r>
      <w:r w:rsidR="00B01865" w:rsidRPr="00C85DA7">
        <w:rPr>
          <w:spacing w:val="6"/>
          <w:sz w:val="26"/>
          <w:szCs w:val="24"/>
        </w:rPr>
        <w:t>CNAI: se llama la atención sobre la circunstancia de disolución prevista en la legislación mercantil, ya que la sociedad presenta su patrimonio neto r</w:t>
      </w:r>
      <w:r w:rsidR="00B01865" w:rsidRPr="00C85DA7">
        <w:rPr>
          <w:spacing w:val="6"/>
          <w:sz w:val="26"/>
          <w:szCs w:val="24"/>
        </w:rPr>
        <w:t>e</w:t>
      </w:r>
      <w:r w:rsidR="00B01865" w:rsidRPr="00C85DA7">
        <w:rPr>
          <w:spacing w:val="6"/>
          <w:sz w:val="26"/>
          <w:szCs w:val="24"/>
        </w:rPr>
        <w:t xml:space="preserve">ducido a la mitad del capital social. Se indica que el socio único ha realizado una aportación para restablecer el equilibrio en febrero de 2018. </w:t>
      </w:r>
    </w:p>
    <w:p w:rsidR="00B01865" w:rsidRPr="00C85DA7" w:rsidRDefault="004F6207" w:rsidP="00C85DA7">
      <w:pPr>
        <w:tabs>
          <w:tab w:val="center" w:pos="2835"/>
          <w:tab w:val="center" w:pos="3969"/>
          <w:tab w:val="center" w:pos="5103"/>
          <w:tab w:val="center" w:pos="6237"/>
          <w:tab w:val="center" w:pos="7371"/>
        </w:tabs>
        <w:ind w:firstLine="284"/>
        <w:rPr>
          <w:spacing w:val="6"/>
          <w:sz w:val="26"/>
          <w:szCs w:val="24"/>
        </w:rPr>
      </w:pPr>
      <w:r>
        <w:rPr>
          <w:spacing w:val="6"/>
          <w:sz w:val="26"/>
          <w:szCs w:val="24"/>
        </w:rPr>
        <w:t xml:space="preserve">b) </w:t>
      </w:r>
      <w:r w:rsidR="00B01865" w:rsidRPr="00C85DA7">
        <w:rPr>
          <w:spacing w:val="6"/>
          <w:sz w:val="26"/>
          <w:szCs w:val="24"/>
        </w:rPr>
        <w:t xml:space="preserve">Natural </w:t>
      </w:r>
      <w:proofErr w:type="spellStart"/>
      <w:r w:rsidR="00B01865" w:rsidRPr="00C85DA7">
        <w:rPr>
          <w:spacing w:val="6"/>
          <w:sz w:val="26"/>
          <w:szCs w:val="24"/>
        </w:rPr>
        <w:t>Climate</w:t>
      </w:r>
      <w:proofErr w:type="spellEnd"/>
      <w:r w:rsidR="00B01865" w:rsidRPr="00C85DA7">
        <w:rPr>
          <w:spacing w:val="6"/>
          <w:sz w:val="26"/>
          <w:szCs w:val="24"/>
        </w:rPr>
        <w:t xml:space="preserve"> </w:t>
      </w:r>
      <w:proofErr w:type="spellStart"/>
      <w:r w:rsidR="00B01865" w:rsidRPr="00C85DA7">
        <w:rPr>
          <w:spacing w:val="6"/>
          <w:sz w:val="26"/>
          <w:szCs w:val="24"/>
        </w:rPr>
        <w:t>Systems</w:t>
      </w:r>
      <w:proofErr w:type="spellEnd"/>
      <w:r w:rsidR="00B01865" w:rsidRPr="00C85DA7">
        <w:rPr>
          <w:spacing w:val="6"/>
          <w:sz w:val="26"/>
          <w:szCs w:val="24"/>
        </w:rPr>
        <w:t xml:space="preserve">, S.A.: se menciona que la sociedad se encuentra al cierre del ejercicio en uno de los supuestos de disolución de la legislación mercantil; se menciona que </w:t>
      </w:r>
      <w:r w:rsidR="0086300C">
        <w:rPr>
          <w:spacing w:val="6"/>
          <w:sz w:val="26"/>
          <w:szCs w:val="24"/>
        </w:rPr>
        <w:t>los administradores han decidido someter a la aprobación d</w:t>
      </w:r>
      <w:r w:rsidR="00B01865" w:rsidRPr="00C85DA7">
        <w:rPr>
          <w:spacing w:val="6"/>
          <w:sz w:val="26"/>
          <w:szCs w:val="24"/>
        </w:rPr>
        <w:t>el accionista único</w:t>
      </w:r>
      <w:r w:rsidR="0086300C">
        <w:rPr>
          <w:spacing w:val="6"/>
          <w:sz w:val="26"/>
          <w:szCs w:val="24"/>
        </w:rPr>
        <w:t xml:space="preserve"> de la sociedad,</w:t>
      </w:r>
      <w:r w:rsidR="00B01865" w:rsidRPr="00C85DA7">
        <w:rPr>
          <w:spacing w:val="6"/>
          <w:sz w:val="26"/>
          <w:szCs w:val="24"/>
        </w:rPr>
        <w:t xml:space="preserve"> la disolución y liquidación</w:t>
      </w:r>
      <w:r w:rsidR="0086300C">
        <w:rPr>
          <w:spacing w:val="6"/>
          <w:sz w:val="26"/>
          <w:szCs w:val="24"/>
        </w:rPr>
        <w:t xml:space="preserve"> o</w:t>
      </w:r>
      <w:r w:rsidR="0086300C">
        <w:rPr>
          <w:spacing w:val="6"/>
          <w:sz w:val="26"/>
          <w:szCs w:val="24"/>
        </w:rPr>
        <w:t>r</w:t>
      </w:r>
      <w:r w:rsidR="0086300C">
        <w:rPr>
          <w:spacing w:val="6"/>
          <w:sz w:val="26"/>
          <w:szCs w:val="24"/>
        </w:rPr>
        <w:t>denada de la misma previa la preceptiva autorización por parte del Parlamento de Navarra, y que los e</w:t>
      </w:r>
      <w:r w:rsidR="00B01865" w:rsidRPr="00C85DA7">
        <w:rPr>
          <w:spacing w:val="6"/>
          <w:sz w:val="26"/>
          <w:szCs w:val="24"/>
        </w:rPr>
        <w:t xml:space="preserve">lementos patrimoniales se encuentran valorados por los importes a los cuales se estima que serán liquidados. </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 xml:space="preserve">En la memoria de la sociedad </w:t>
      </w:r>
      <w:r w:rsidR="00A47C5B">
        <w:rPr>
          <w:rFonts w:cs="Arial"/>
          <w:spacing w:val="6"/>
          <w:sz w:val="26"/>
          <w:szCs w:val="24"/>
        </w:rPr>
        <w:t>NASUVINSA</w:t>
      </w:r>
      <w:r w:rsidRPr="00B01865">
        <w:rPr>
          <w:rFonts w:cs="Arial"/>
          <w:spacing w:val="6"/>
          <w:sz w:val="26"/>
          <w:szCs w:val="24"/>
        </w:rPr>
        <w:t xml:space="preserve"> aparece recogida información relativa a los pagos realizados a los expropiados por importe de 50,5 millones de euros para hacer frente a la ejecución de la sentencia relacionada con la Ci</w:t>
      </w:r>
      <w:r w:rsidRPr="00B01865">
        <w:rPr>
          <w:rFonts w:cs="Arial"/>
          <w:spacing w:val="6"/>
          <w:sz w:val="26"/>
          <w:szCs w:val="24"/>
        </w:rPr>
        <w:t>u</w:t>
      </w:r>
      <w:r w:rsidRPr="00B01865">
        <w:rPr>
          <w:rFonts w:cs="Arial"/>
          <w:spacing w:val="6"/>
          <w:sz w:val="26"/>
          <w:szCs w:val="24"/>
        </w:rPr>
        <w:t>dad del Transporte. Este asunto ya fue analizado por esta Cámara en el informe que emitió en junio de 2018</w:t>
      </w:r>
      <w:r w:rsidR="00A47C5B">
        <w:rPr>
          <w:rFonts w:cs="Arial"/>
          <w:spacing w:val="6"/>
          <w:sz w:val="26"/>
          <w:szCs w:val="24"/>
        </w:rPr>
        <w:t xml:space="preserve"> que hemos citado previamente</w:t>
      </w:r>
      <w:r w:rsidRPr="00B01865">
        <w:rPr>
          <w:rFonts w:cs="Arial"/>
          <w:spacing w:val="6"/>
          <w:sz w:val="26"/>
          <w:szCs w:val="24"/>
        </w:rPr>
        <w:t xml:space="preserve">. </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Destacamos además que, en octubre de 2017, se ha finalizado la auditoría de cumplimiento de legalidad en empresas públicas correspondientes al ejerc</w:t>
      </w:r>
      <w:r w:rsidRPr="00B01865">
        <w:rPr>
          <w:rFonts w:cs="Arial"/>
          <w:spacing w:val="6"/>
          <w:sz w:val="26"/>
          <w:szCs w:val="24"/>
        </w:rPr>
        <w:t>i</w:t>
      </w:r>
      <w:r w:rsidRPr="00B01865">
        <w:rPr>
          <w:rFonts w:cs="Arial"/>
          <w:spacing w:val="6"/>
          <w:sz w:val="26"/>
          <w:szCs w:val="24"/>
        </w:rPr>
        <w:t xml:space="preserve">cio 2016, realizada de forma externa por una empresa privada. Los objetivos de estas auditorías fueron comprobar los siguientes aspectos: cumplimiento de la Ley Foral de Hacienda Pública en lo relativo a operaciones de endeudamiento; cumplimiento de la normativa de contratación aplicable a obras, suministro, asistencia y concesiones de obras públicas y servicios; cumplimiento de la normativa de contrataciones de personal y sistemas retributivos. </w:t>
      </w:r>
    </w:p>
    <w:p w:rsidR="00B01865" w:rsidRPr="004F6207" w:rsidRDefault="004F6207" w:rsidP="004F6207">
      <w:pPr>
        <w:tabs>
          <w:tab w:val="center" w:pos="2835"/>
          <w:tab w:val="center" w:pos="3969"/>
          <w:tab w:val="center" w:pos="5103"/>
          <w:tab w:val="center" w:pos="6237"/>
          <w:tab w:val="center" w:pos="7371"/>
        </w:tabs>
        <w:ind w:firstLine="284"/>
        <w:rPr>
          <w:spacing w:val="6"/>
          <w:sz w:val="26"/>
          <w:szCs w:val="24"/>
        </w:rPr>
      </w:pPr>
      <w:r>
        <w:rPr>
          <w:spacing w:val="6"/>
          <w:sz w:val="26"/>
          <w:szCs w:val="24"/>
        </w:rPr>
        <w:lastRenderedPageBreak/>
        <w:t xml:space="preserve">a) </w:t>
      </w:r>
      <w:r w:rsidR="00B01865" w:rsidRPr="004F6207">
        <w:rPr>
          <w:spacing w:val="6"/>
          <w:sz w:val="26"/>
          <w:szCs w:val="24"/>
        </w:rPr>
        <w:t>Respecto a las operaciones de endeudamiento, se indican dos incidencias; una de ellas, relacionada con un anticipo de la empresa GAN que ya se ha sol</w:t>
      </w:r>
      <w:r w:rsidR="00B01865" w:rsidRPr="004F6207">
        <w:rPr>
          <w:spacing w:val="6"/>
          <w:sz w:val="26"/>
          <w:szCs w:val="24"/>
        </w:rPr>
        <w:t>u</w:t>
      </w:r>
      <w:r w:rsidR="00B01865" w:rsidRPr="004F6207">
        <w:rPr>
          <w:spacing w:val="6"/>
          <w:sz w:val="26"/>
          <w:szCs w:val="24"/>
        </w:rPr>
        <w:t xml:space="preserve">cionado, y la otra, hace referencia al hecho de que </w:t>
      </w:r>
      <w:r w:rsidR="00A47C5B">
        <w:rPr>
          <w:spacing w:val="6"/>
          <w:sz w:val="26"/>
          <w:szCs w:val="24"/>
        </w:rPr>
        <w:t>SODENA</w:t>
      </w:r>
      <w:r w:rsidR="00B01865" w:rsidRPr="004F6207">
        <w:rPr>
          <w:spacing w:val="6"/>
          <w:sz w:val="26"/>
          <w:szCs w:val="24"/>
        </w:rPr>
        <w:t xml:space="preserve"> concede avales y préstamos de manera adecuada</w:t>
      </w:r>
      <w:r w:rsidR="00CD394B">
        <w:rPr>
          <w:spacing w:val="6"/>
          <w:sz w:val="26"/>
          <w:szCs w:val="24"/>
        </w:rPr>
        <w:t>, si bien en la mayoría de avales no se realiza</w:t>
      </w:r>
      <w:r w:rsidR="00B01865" w:rsidRPr="004F6207">
        <w:rPr>
          <w:spacing w:val="6"/>
          <w:sz w:val="26"/>
          <w:szCs w:val="24"/>
        </w:rPr>
        <w:t xml:space="preserve"> la autorización formal del Gobierno de Navarra</w:t>
      </w:r>
      <w:r w:rsidR="00CD394B">
        <w:rPr>
          <w:spacing w:val="6"/>
          <w:sz w:val="26"/>
          <w:szCs w:val="24"/>
        </w:rPr>
        <w:t>, sino</w:t>
      </w:r>
      <w:r w:rsidR="00B01865" w:rsidRPr="004F6207">
        <w:rPr>
          <w:spacing w:val="6"/>
          <w:sz w:val="26"/>
          <w:szCs w:val="24"/>
        </w:rPr>
        <w:t xml:space="preserve"> que consta recibida a post</w:t>
      </w:r>
      <w:r w:rsidR="00B01865" w:rsidRPr="004F6207">
        <w:rPr>
          <w:spacing w:val="6"/>
          <w:sz w:val="26"/>
          <w:szCs w:val="24"/>
        </w:rPr>
        <w:t>e</w:t>
      </w:r>
      <w:r w:rsidR="00B01865" w:rsidRPr="004F6207">
        <w:rPr>
          <w:spacing w:val="6"/>
          <w:sz w:val="26"/>
          <w:szCs w:val="24"/>
        </w:rPr>
        <w:t xml:space="preserve">riori. </w:t>
      </w:r>
      <w:r w:rsidR="005A53B4">
        <w:rPr>
          <w:spacing w:val="6"/>
          <w:sz w:val="26"/>
          <w:szCs w:val="24"/>
        </w:rPr>
        <w:t>Al respecto señalamos que SODENA realizó las solicitudes de autoriz</w:t>
      </w:r>
      <w:r w:rsidR="005A53B4">
        <w:rPr>
          <w:spacing w:val="6"/>
          <w:sz w:val="26"/>
          <w:szCs w:val="24"/>
        </w:rPr>
        <w:t>a</w:t>
      </w:r>
      <w:r w:rsidR="005A53B4">
        <w:rPr>
          <w:spacing w:val="6"/>
          <w:sz w:val="26"/>
          <w:szCs w:val="24"/>
        </w:rPr>
        <w:t xml:space="preserve">ción con anterioridad al otorgamiento del aval, si bien, la tramitación por parte de la ACFN se demoró. </w:t>
      </w:r>
    </w:p>
    <w:p w:rsidR="00B01865" w:rsidRPr="004F6207" w:rsidRDefault="004F6207" w:rsidP="004F6207">
      <w:pPr>
        <w:tabs>
          <w:tab w:val="center" w:pos="2835"/>
          <w:tab w:val="center" w:pos="3969"/>
          <w:tab w:val="center" w:pos="5103"/>
          <w:tab w:val="center" w:pos="6237"/>
          <w:tab w:val="center" w:pos="7371"/>
        </w:tabs>
        <w:ind w:firstLine="284"/>
        <w:rPr>
          <w:spacing w:val="6"/>
          <w:sz w:val="26"/>
          <w:szCs w:val="24"/>
        </w:rPr>
      </w:pPr>
      <w:r>
        <w:rPr>
          <w:spacing w:val="6"/>
          <w:sz w:val="26"/>
          <w:szCs w:val="24"/>
        </w:rPr>
        <w:t xml:space="preserve">b) </w:t>
      </w:r>
      <w:r w:rsidR="00B01865" w:rsidRPr="004F6207">
        <w:rPr>
          <w:spacing w:val="6"/>
          <w:sz w:val="26"/>
          <w:szCs w:val="24"/>
        </w:rPr>
        <w:t xml:space="preserve">En cuanto a las contrataciones administrativas se han detectado tres tipos de incidencias: </w:t>
      </w:r>
    </w:p>
    <w:p w:rsidR="00B01865" w:rsidRPr="00B01865" w:rsidRDefault="00B01865" w:rsidP="00B11BFB">
      <w:pPr>
        <w:numPr>
          <w:ilvl w:val="0"/>
          <w:numId w:val="2"/>
        </w:numPr>
        <w:tabs>
          <w:tab w:val="clear" w:pos="1948"/>
          <w:tab w:val="num" w:pos="476"/>
        </w:tabs>
        <w:ind w:left="14" w:firstLine="252"/>
        <w:rPr>
          <w:rFonts w:cs="Arial"/>
          <w:spacing w:val="6"/>
          <w:sz w:val="26"/>
          <w:szCs w:val="24"/>
        </w:rPr>
      </w:pPr>
      <w:r w:rsidRPr="00B01865">
        <w:rPr>
          <w:rFonts w:cs="Arial"/>
          <w:spacing w:val="6"/>
          <w:sz w:val="26"/>
          <w:szCs w:val="24"/>
        </w:rPr>
        <w:t>Utilización de procedimientos de contratación indebidos teniendo en cue</w:t>
      </w:r>
      <w:r w:rsidRPr="00B01865">
        <w:rPr>
          <w:rFonts w:cs="Arial"/>
          <w:spacing w:val="6"/>
          <w:sz w:val="26"/>
          <w:szCs w:val="24"/>
        </w:rPr>
        <w:t>n</w:t>
      </w:r>
      <w:r w:rsidRPr="00B01865">
        <w:rPr>
          <w:rFonts w:cs="Arial"/>
          <w:spacing w:val="6"/>
          <w:sz w:val="26"/>
          <w:szCs w:val="24"/>
        </w:rPr>
        <w:t>ta el importe en 16 casos.</w:t>
      </w:r>
    </w:p>
    <w:p w:rsidR="00B01865" w:rsidRPr="00B01865" w:rsidRDefault="00B01865" w:rsidP="00B11BFB">
      <w:pPr>
        <w:numPr>
          <w:ilvl w:val="0"/>
          <w:numId w:val="2"/>
        </w:numPr>
        <w:tabs>
          <w:tab w:val="clear" w:pos="1948"/>
          <w:tab w:val="num" w:pos="476"/>
        </w:tabs>
        <w:ind w:left="14" w:firstLine="252"/>
        <w:rPr>
          <w:rFonts w:cs="Arial"/>
          <w:spacing w:val="6"/>
          <w:sz w:val="26"/>
          <w:szCs w:val="24"/>
        </w:rPr>
      </w:pPr>
      <w:r w:rsidRPr="00B01865">
        <w:rPr>
          <w:rFonts w:cs="Arial"/>
          <w:spacing w:val="6"/>
          <w:sz w:val="26"/>
          <w:szCs w:val="24"/>
        </w:rPr>
        <w:t>Documentación incompleta en los expedientes en cuatro casos.</w:t>
      </w:r>
    </w:p>
    <w:p w:rsidR="00B01865" w:rsidRPr="00B01865" w:rsidRDefault="00B01865" w:rsidP="00B11BFB">
      <w:pPr>
        <w:numPr>
          <w:ilvl w:val="0"/>
          <w:numId w:val="2"/>
        </w:numPr>
        <w:tabs>
          <w:tab w:val="clear" w:pos="1948"/>
          <w:tab w:val="num" w:pos="476"/>
        </w:tabs>
        <w:ind w:left="14" w:firstLine="252"/>
        <w:rPr>
          <w:rFonts w:cs="Arial"/>
          <w:spacing w:val="6"/>
          <w:sz w:val="26"/>
          <w:szCs w:val="24"/>
        </w:rPr>
      </w:pPr>
      <w:r w:rsidRPr="00B01865">
        <w:rPr>
          <w:rFonts w:cs="Arial"/>
          <w:spacing w:val="6"/>
          <w:sz w:val="26"/>
          <w:szCs w:val="24"/>
        </w:rPr>
        <w:t>Deficiencias en algunos de los requisitos establecidos en los correspo</w:t>
      </w:r>
      <w:r w:rsidRPr="00B01865">
        <w:rPr>
          <w:rFonts w:cs="Arial"/>
          <w:spacing w:val="6"/>
          <w:sz w:val="26"/>
          <w:szCs w:val="24"/>
        </w:rPr>
        <w:t>n</w:t>
      </w:r>
      <w:r w:rsidRPr="00B01865">
        <w:rPr>
          <w:rFonts w:cs="Arial"/>
          <w:spacing w:val="6"/>
          <w:sz w:val="26"/>
          <w:szCs w:val="24"/>
        </w:rPr>
        <w:t>dientes procedimientos de licitación (aplicación incorrecta de fórmulas, anu</w:t>
      </w:r>
      <w:r w:rsidRPr="00B01865">
        <w:rPr>
          <w:rFonts w:cs="Arial"/>
          <w:spacing w:val="6"/>
          <w:sz w:val="26"/>
          <w:szCs w:val="24"/>
        </w:rPr>
        <w:t>n</w:t>
      </w:r>
      <w:r w:rsidRPr="00B01865">
        <w:rPr>
          <w:rFonts w:cs="Arial"/>
          <w:spacing w:val="6"/>
          <w:sz w:val="26"/>
          <w:szCs w:val="24"/>
        </w:rPr>
        <w:t>cios fuera de plazo y deficiencias en la documentación justificativa) en nueve casos.</w:t>
      </w:r>
    </w:p>
    <w:p w:rsidR="00B01865" w:rsidRPr="00B01865" w:rsidRDefault="00B01865" w:rsidP="00CD394B">
      <w:pPr>
        <w:pStyle w:val="texto"/>
      </w:pPr>
      <w:r w:rsidRPr="00B01865">
        <w:t>Además, se realizan llamadas de atención en los informes de cuatro empr</w:t>
      </w:r>
      <w:r w:rsidRPr="00B01865">
        <w:t>e</w:t>
      </w:r>
      <w:r w:rsidRPr="00B01865">
        <w:t>sas debido a la existencia de contratos anteriores a la Ley Foral 6/2006 que se vienen prorrogando anualmente sin realizarse el correspondiente procedimiento de licitación.</w:t>
      </w:r>
    </w:p>
    <w:p w:rsidR="00B01865" w:rsidRPr="004F6207" w:rsidRDefault="004F6207" w:rsidP="004F6207">
      <w:pPr>
        <w:tabs>
          <w:tab w:val="center" w:pos="2835"/>
          <w:tab w:val="center" w:pos="3969"/>
          <w:tab w:val="center" w:pos="5103"/>
          <w:tab w:val="center" w:pos="6237"/>
          <w:tab w:val="center" w:pos="7371"/>
        </w:tabs>
        <w:ind w:firstLine="284"/>
        <w:rPr>
          <w:spacing w:val="6"/>
          <w:sz w:val="26"/>
          <w:szCs w:val="24"/>
        </w:rPr>
      </w:pPr>
      <w:r>
        <w:rPr>
          <w:spacing w:val="6"/>
          <w:sz w:val="26"/>
          <w:szCs w:val="24"/>
        </w:rPr>
        <w:t xml:space="preserve">c) </w:t>
      </w:r>
      <w:r w:rsidR="00B01865" w:rsidRPr="004F6207">
        <w:rPr>
          <w:spacing w:val="6"/>
          <w:sz w:val="26"/>
          <w:szCs w:val="24"/>
        </w:rPr>
        <w:t xml:space="preserve">De la revisión de las contrataciones de personal y sistemas retributivos se concluye que en general se cumple con la normativa. </w:t>
      </w:r>
    </w:p>
    <w:p w:rsidR="00B01865" w:rsidRPr="00B01865" w:rsidRDefault="00B01865" w:rsidP="00B01865">
      <w:pPr>
        <w:spacing w:before="240" w:after="240"/>
        <w:ind w:firstLine="284"/>
        <w:rPr>
          <w:rFonts w:ascii="Arial" w:hAnsi="Arial"/>
          <w:i/>
          <w:iCs/>
          <w:color w:val="000000"/>
          <w:spacing w:val="10"/>
          <w:kern w:val="28"/>
          <w:sz w:val="25"/>
          <w:szCs w:val="26"/>
          <w:lang w:val="es-ES"/>
        </w:rPr>
      </w:pPr>
      <w:r w:rsidRPr="00B01865">
        <w:rPr>
          <w:rFonts w:ascii="Arial" w:hAnsi="Arial"/>
          <w:i/>
          <w:iCs/>
          <w:color w:val="000000"/>
          <w:spacing w:val="10"/>
          <w:kern w:val="28"/>
          <w:sz w:val="25"/>
          <w:szCs w:val="26"/>
          <w:lang w:val="es-ES"/>
        </w:rPr>
        <w:t>Fundaciones Públicas</w:t>
      </w:r>
    </w:p>
    <w:p w:rsidR="00B01865" w:rsidRPr="00B01865" w:rsidRDefault="00B01865" w:rsidP="004F6207">
      <w:pPr>
        <w:pStyle w:val="texto"/>
        <w:rPr>
          <w:lang w:val="es-ES"/>
        </w:rPr>
      </w:pPr>
      <w:r w:rsidRPr="00B01865">
        <w:rPr>
          <w:lang w:val="es-ES"/>
        </w:rPr>
        <w:t>En el siguiente cuadro mostramos algunos datos agregados de las fundaci</w:t>
      </w:r>
      <w:r w:rsidRPr="00B01865">
        <w:rPr>
          <w:lang w:val="es-ES"/>
        </w:rPr>
        <w:t>o</w:t>
      </w:r>
      <w:r w:rsidRPr="00B01865">
        <w:rPr>
          <w:lang w:val="es-ES"/>
        </w:rPr>
        <w:t>nes públicas:</w:t>
      </w:r>
    </w:p>
    <w:tbl>
      <w:tblPr>
        <w:tblW w:w="8817" w:type="dxa"/>
        <w:jc w:val="center"/>
        <w:tblCellMar>
          <w:left w:w="70" w:type="dxa"/>
          <w:right w:w="70" w:type="dxa"/>
        </w:tblCellMar>
        <w:tblLook w:val="04A0" w:firstRow="1" w:lastRow="0" w:firstColumn="1" w:lastColumn="0" w:noHBand="0" w:noVBand="1"/>
      </w:tblPr>
      <w:tblGrid>
        <w:gridCol w:w="4419"/>
        <w:gridCol w:w="1493"/>
        <w:gridCol w:w="1493"/>
        <w:gridCol w:w="1412"/>
      </w:tblGrid>
      <w:tr w:rsidR="00B01865" w:rsidRPr="00B01865" w:rsidTr="004F6207">
        <w:trPr>
          <w:trHeight w:val="255"/>
          <w:jc w:val="center"/>
        </w:trPr>
        <w:tc>
          <w:tcPr>
            <w:tcW w:w="8817" w:type="dxa"/>
            <w:gridSpan w:val="4"/>
            <w:tcBorders>
              <w:left w:val="nil"/>
              <w:bottom w:val="single" w:sz="4" w:space="0" w:color="000000"/>
              <w:right w:val="nil"/>
            </w:tcBorders>
            <w:shd w:val="clear" w:color="auto" w:fill="auto"/>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7"/>
                <w:szCs w:val="17"/>
              </w:rPr>
            </w:pPr>
            <w:r w:rsidRPr="00B01865">
              <w:rPr>
                <w:rFonts w:ascii="Arial" w:hAnsi="Arial" w:cs="Arial"/>
                <w:spacing w:val="6"/>
                <w:sz w:val="17"/>
                <w:szCs w:val="17"/>
              </w:rPr>
              <w:t>(en miles de euros)</w:t>
            </w:r>
          </w:p>
        </w:tc>
      </w:tr>
      <w:tr w:rsidR="00B01865" w:rsidRPr="00B01865" w:rsidTr="004F6207">
        <w:trPr>
          <w:trHeight w:val="255"/>
          <w:jc w:val="center"/>
        </w:trPr>
        <w:tc>
          <w:tcPr>
            <w:tcW w:w="4419" w:type="dxa"/>
            <w:tcBorders>
              <w:top w:val="single" w:sz="4" w:space="0" w:color="000000"/>
              <w:left w:val="nil"/>
              <w:bottom w:val="single" w:sz="4" w:space="0" w:color="000000"/>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left"/>
              <w:rPr>
                <w:rFonts w:ascii="Arial" w:hAnsi="Arial" w:cs="Arial"/>
                <w:spacing w:val="6"/>
                <w:sz w:val="18"/>
                <w:szCs w:val="24"/>
              </w:rPr>
            </w:pPr>
            <w:r w:rsidRPr="00B01865">
              <w:rPr>
                <w:rFonts w:ascii="Arial" w:hAnsi="Arial" w:cs="Arial"/>
                <w:spacing w:val="6"/>
                <w:sz w:val="18"/>
                <w:szCs w:val="24"/>
              </w:rPr>
              <w:t>Indicador</w:t>
            </w:r>
          </w:p>
        </w:tc>
        <w:tc>
          <w:tcPr>
            <w:tcW w:w="1493" w:type="dxa"/>
            <w:tcBorders>
              <w:top w:val="single" w:sz="4" w:space="0" w:color="000000"/>
              <w:left w:val="nil"/>
              <w:bottom w:val="single" w:sz="4" w:space="0" w:color="000000"/>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2016</w:t>
            </w:r>
          </w:p>
        </w:tc>
        <w:tc>
          <w:tcPr>
            <w:tcW w:w="1493" w:type="dxa"/>
            <w:tcBorders>
              <w:top w:val="single" w:sz="4" w:space="0" w:color="000000"/>
              <w:left w:val="nil"/>
              <w:bottom w:val="single" w:sz="4" w:space="0" w:color="000000"/>
              <w:right w:val="nil"/>
            </w:tcBorders>
            <w:shd w:val="clear" w:color="auto" w:fill="8DB3E2" w:themeFill="text2" w:themeFillTint="66"/>
            <w:vAlign w:val="center"/>
            <w:hideMark/>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2017</w:t>
            </w:r>
          </w:p>
        </w:tc>
        <w:tc>
          <w:tcPr>
            <w:tcW w:w="1412" w:type="dxa"/>
            <w:tcBorders>
              <w:top w:val="single" w:sz="4" w:space="0" w:color="000000"/>
              <w:left w:val="nil"/>
              <w:bottom w:val="single" w:sz="4" w:space="0" w:color="000000"/>
              <w:right w:val="nil"/>
            </w:tcBorders>
            <w:shd w:val="clear" w:color="auto" w:fill="8DB3E2" w:themeFill="text2" w:themeFillTint="66"/>
            <w:vAlign w:val="center"/>
          </w:tcPr>
          <w:p w:rsidR="00B01865" w:rsidRPr="00B01865" w:rsidRDefault="00B01865" w:rsidP="00B0186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24"/>
              </w:rPr>
            </w:pPr>
            <w:r w:rsidRPr="00B01865">
              <w:rPr>
                <w:rFonts w:ascii="Arial" w:hAnsi="Arial" w:cs="Arial"/>
                <w:spacing w:val="6"/>
                <w:sz w:val="18"/>
                <w:szCs w:val="24"/>
              </w:rPr>
              <w:t>% variación 2017/2016</w:t>
            </w:r>
          </w:p>
        </w:tc>
      </w:tr>
      <w:tr w:rsidR="00B01865" w:rsidRPr="004F6207" w:rsidTr="004F6207">
        <w:trPr>
          <w:trHeight w:val="198"/>
          <w:jc w:val="center"/>
        </w:trPr>
        <w:tc>
          <w:tcPr>
            <w:tcW w:w="4419" w:type="dxa"/>
            <w:tcBorders>
              <w:top w:val="single" w:sz="4" w:space="0" w:color="000000"/>
              <w:left w:val="nil"/>
              <w:bottom w:val="single" w:sz="2" w:space="0" w:color="000000"/>
              <w:right w:val="nil"/>
            </w:tcBorders>
            <w:vAlign w:val="center"/>
            <w:hideMark/>
          </w:tcPr>
          <w:p w:rsidR="00B01865" w:rsidRPr="004F6207" w:rsidRDefault="00B01865" w:rsidP="00B01865">
            <w:pPr>
              <w:spacing w:after="0"/>
              <w:ind w:firstLine="0"/>
              <w:jc w:val="left"/>
              <w:rPr>
                <w:rFonts w:ascii="Arial Narrow" w:hAnsi="Arial Narrow" w:cs="Arial"/>
                <w:lang w:val="es-ES" w:eastAsia="es-ES"/>
              </w:rPr>
            </w:pPr>
            <w:r w:rsidRPr="004F6207">
              <w:rPr>
                <w:rFonts w:ascii="Arial Narrow" w:hAnsi="Arial Narrow" w:cs="Arial"/>
                <w:lang w:val="es-ES" w:eastAsia="es-ES"/>
              </w:rPr>
              <w:t>Patrimonio Neto</w:t>
            </w:r>
          </w:p>
        </w:tc>
        <w:tc>
          <w:tcPr>
            <w:tcW w:w="1493" w:type="dxa"/>
            <w:tcBorders>
              <w:top w:val="single" w:sz="4"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1.227</w:t>
            </w:r>
          </w:p>
        </w:tc>
        <w:tc>
          <w:tcPr>
            <w:tcW w:w="1493" w:type="dxa"/>
            <w:tcBorders>
              <w:top w:val="single" w:sz="4"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1.839</w:t>
            </w:r>
          </w:p>
        </w:tc>
        <w:tc>
          <w:tcPr>
            <w:tcW w:w="1412" w:type="dxa"/>
            <w:tcBorders>
              <w:top w:val="single" w:sz="4" w:space="0" w:color="000000"/>
              <w:left w:val="nil"/>
              <w:bottom w:val="single" w:sz="2" w:space="0" w:color="000000"/>
              <w:right w:val="nil"/>
            </w:tcBorders>
            <w:vAlign w:val="center"/>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50</w:t>
            </w:r>
          </w:p>
        </w:tc>
      </w:tr>
      <w:tr w:rsidR="00B01865" w:rsidRPr="004F6207" w:rsidTr="004F6207">
        <w:trPr>
          <w:trHeight w:val="198"/>
          <w:jc w:val="center"/>
        </w:trPr>
        <w:tc>
          <w:tcPr>
            <w:tcW w:w="4419"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left"/>
              <w:rPr>
                <w:rFonts w:ascii="Arial Narrow" w:hAnsi="Arial Narrow" w:cs="Arial"/>
                <w:lang w:val="es-ES" w:eastAsia="es-ES"/>
              </w:rPr>
            </w:pPr>
            <w:r w:rsidRPr="004F6207">
              <w:rPr>
                <w:rFonts w:ascii="Arial Narrow" w:hAnsi="Arial Narrow" w:cs="Arial"/>
                <w:lang w:val="es-ES" w:eastAsia="es-ES"/>
              </w:rPr>
              <w:t>Deuda a largo plazo</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996</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5.420</w:t>
            </w:r>
          </w:p>
        </w:tc>
        <w:tc>
          <w:tcPr>
            <w:tcW w:w="1412" w:type="dxa"/>
            <w:tcBorders>
              <w:top w:val="single" w:sz="2" w:space="0" w:color="000000"/>
              <w:left w:val="nil"/>
              <w:bottom w:val="single" w:sz="2" w:space="0" w:color="000000"/>
              <w:right w:val="nil"/>
            </w:tcBorders>
            <w:vAlign w:val="center"/>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444</w:t>
            </w:r>
          </w:p>
        </w:tc>
      </w:tr>
      <w:tr w:rsidR="00B01865" w:rsidRPr="004F6207" w:rsidTr="004F6207">
        <w:trPr>
          <w:trHeight w:val="198"/>
          <w:jc w:val="center"/>
        </w:trPr>
        <w:tc>
          <w:tcPr>
            <w:tcW w:w="4419"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left"/>
              <w:rPr>
                <w:rFonts w:ascii="Arial Narrow" w:hAnsi="Arial Narrow" w:cs="Arial"/>
                <w:lang w:val="es-ES" w:eastAsia="es-ES"/>
              </w:rPr>
            </w:pPr>
            <w:r w:rsidRPr="004F6207">
              <w:rPr>
                <w:rFonts w:ascii="Arial Narrow" w:hAnsi="Arial Narrow" w:cs="Arial"/>
                <w:lang w:val="es-ES" w:eastAsia="es-ES"/>
              </w:rPr>
              <w:t>Ingresos derivados de la actividad propia</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9.649</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15.068</w:t>
            </w:r>
          </w:p>
        </w:tc>
        <w:tc>
          <w:tcPr>
            <w:tcW w:w="1412" w:type="dxa"/>
            <w:tcBorders>
              <w:top w:val="single" w:sz="2" w:space="0" w:color="000000"/>
              <w:left w:val="nil"/>
              <w:bottom w:val="single" w:sz="2" w:space="0" w:color="000000"/>
              <w:right w:val="nil"/>
            </w:tcBorders>
            <w:vAlign w:val="center"/>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56</w:t>
            </w:r>
          </w:p>
        </w:tc>
      </w:tr>
      <w:tr w:rsidR="00B01865" w:rsidRPr="004F6207" w:rsidTr="004F6207">
        <w:trPr>
          <w:trHeight w:val="198"/>
          <w:jc w:val="center"/>
        </w:trPr>
        <w:tc>
          <w:tcPr>
            <w:tcW w:w="4419"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left"/>
              <w:rPr>
                <w:rFonts w:ascii="Arial Narrow" w:hAnsi="Arial Narrow" w:cs="Arial"/>
                <w:lang w:val="es-ES" w:eastAsia="es-ES"/>
              </w:rPr>
            </w:pPr>
            <w:r w:rsidRPr="004F6207">
              <w:rPr>
                <w:rFonts w:ascii="Arial Narrow" w:hAnsi="Arial Narrow" w:cs="Arial"/>
                <w:lang w:val="es-ES" w:eastAsia="es-ES"/>
              </w:rPr>
              <w:t>Subvenciones recibidas del GN</w:t>
            </w:r>
          </w:p>
        </w:tc>
        <w:tc>
          <w:tcPr>
            <w:tcW w:w="1493" w:type="dxa"/>
            <w:tcBorders>
              <w:top w:val="single" w:sz="2" w:space="0" w:color="000000"/>
              <w:left w:val="nil"/>
              <w:bottom w:val="single" w:sz="2" w:space="0" w:color="000000"/>
              <w:right w:val="nil"/>
            </w:tcBorders>
            <w:vAlign w:val="center"/>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4.466</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9.432</w:t>
            </w:r>
          </w:p>
        </w:tc>
        <w:tc>
          <w:tcPr>
            <w:tcW w:w="1412" w:type="dxa"/>
            <w:tcBorders>
              <w:top w:val="single" w:sz="2" w:space="0" w:color="000000"/>
              <w:left w:val="nil"/>
              <w:bottom w:val="single" w:sz="2" w:space="0" w:color="000000"/>
              <w:right w:val="nil"/>
            </w:tcBorders>
            <w:vAlign w:val="center"/>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111</w:t>
            </w:r>
          </w:p>
        </w:tc>
      </w:tr>
      <w:tr w:rsidR="00B01865" w:rsidRPr="004F6207" w:rsidTr="004F6207">
        <w:trPr>
          <w:trHeight w:val="198"/>
          <w:jc w:val="center"/>
        </w:trPr>
        <w:tc>
          <w:tcPr>
            <w:tcW w:w="4419"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left"/>
              <w:rPr>
                <w:rFonts w:ascii="Arial Narrow" w:hAnsi="Arial Narrow" w:cs="Arial"/>
                <w:lang w:val="es-ES" w:eastAsia="es-ES"/>
              </w:rPr>
            </w:pPr>
            <w:r w:rsidRPr="004F6207">
              <w:rPr>
                <w:rFonts w:ascii="Arial Narrow" w:hAnsi="Arial Narrow" w:cs="Arial"/>
                <w:lang w:val="es-ES" w:eastAsia="es-ES"/>
              </w:rPr>
              <w:t>Gastos de personal</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3.972</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7.130</w:t>
            </w:r>
          </w:p>
        </w:tc>
        <w:tc>
          <w:tcPr>
            <w:tcW w:w="1412" w:type="dxa"/>
            <w:tcBorders>
              <w:top w:val="single" w:sz="2" w:space="0" w:color="000000"/>
              <w:left w:val="nil"/>
              <w:bottom w:val="single" w:sz="2" w:space="0" w:color="000000"/>
              <w:right w:val="nil"/>
            </w:tcBorders>
            <w:vAlign w:val="center"/>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80</w:t>
            </w:r>
          </w:p>
        </w:tc>
      </w:tr>
      <w:tr w:rsidR="00B01865" w:rsidRPr="004F6207" w:rsidTr="004F6207">
        <w:trPr>
          <w:trHeight w:val="198"/>
          <w:jc w:val="center"/>
        </w:trPr>
        <w:tc>
          <w:tcPr>
            <w:tcW w:w="4419"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left"/>
              <w:rPr>
                <w:rFonts w:ascii="Arial Narrow" w:hAnsi="Arial Narrow" w:cs="Arial"/>
                <w:lang w:val="es-ES" w:eastAsia="es-ES"/>
              </w:rPr>
            </w:pPr>
            <w:r w:rsidRPr="004F6207">
              <w:rPr>
                <w:rFonts w:ascii="Arial Narrow" w:hAnsi="Arial Narrow" w:cs="Arial"/>
                <w:lang w:val="es-ES" w:eastAsia="es-ES"/>
              </w:rPr>
              <w:t>Efectivo y otros activos líquidos</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3.692</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2.776</w:t>
            </w:r>
          </w:p>
        </w:tc>
        <w:tc>
          <w:tcPr>
            <w:tcW w:w="1412" w:type="dxa"/>
            <w:tcBorders>
              <w:top w:val="single" w:sz="2" w:space="0" w:color="000000"/>
              <w:left w:val="nil"/>
              <w:bottom w:val="single" w:sz="2" w:space="0" w:color="000000"/>
              <w:right w:val="nil"/>
            </w:tcBorders>
            <w:vAlign w:val="center"/>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-25</w:t>
            </w:r>
          </w:p>
        </w:tc>
      </w:tr>
      <w:tr w:rsidR="00B01865" w:rsidRPr="004F6207" w:rsidTr="004F6207">
        <w:trPr>
          <w:trHeight w:val="198"/>
          <w:jc w:val="center"/>
        </w:trPr>
        <w:tc>
          <w:tcPr>
            <w:tcW w:w="4419"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left"/>
              <w:rPr>
                <w:rFonts w:ascii="Arial Narrow" w:hAnsi="Arial Narrow" w:cs="Arial"/>
                <w:lang w:val="es-ES" w:eastAsia="es-ES"/>
              </w:rPr>
            </w:pPr>
            <w:r w:rsidRPr="004F6207">
              <w:rPr>
                <w:rFonts w:ascii="Arial Narrow" w:hAnsi="Arial Narrow" w:cs="Arial"/>
                <w:lang w:val="es-ES" w:eastAsia="es-ES"/>
              </w:rPr>
              <w:t>Fondo de maniobra</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1.016</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4F6207">
            <w:pPr>
              <w:spacing w:after="0"/>
              <w:ind w:firstLine="0"/>
              <w:jc w:val="right"/>
              <w:rPr>
                <w:rFonts w:ascii="Arial Narrow" w:hAnsi="Arial Narrow" w:cs="Arial"/>
                <w:lang w:val="es-ES" w:eastAsia="es-ES"/>
              </w:rPr>
            </w:pPr>
            <w:r w:rsidRPr="004F6207">
              <w:rPr>
                <w:rFonts w:ascii="Arial Narrow" w:hAnsi="Arial Narrow" w:cs="Arial"/>
                <w:lang w:val="es-ES" w:eastAsia="es-ES"/>
              </w:rPr>
              <w:t>5.751</w:t>
            </w:r>
          </w:p>
        </w:tc>
        <w:tc>
          <w:tcPr>
            <w:tcW w:w="1412" w:type="dxa"/>
            <w:tcBorders>
              <w:top w:val="single" w:sz="2" w:space="0" w:color="000000"/>
              <w:left w:val="nil"/>
              <w:bottom w:val="single" w:sz="2" w:space="0" w:color="000000"/>
              <w:right w:val="nil"/>
            </w:tcBorders>
            <w:vAlign w:val="center"/>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466</w:t>
            </w:r>
          </w:p>
        </w:tc>
      </w:tr>
      <w:tr w:rsidR="00B01865" w:rsidRPr="004F6207" w:rsidTr="004F6207">
        <w:trPr>
          <w:trHeight w:val="198"/>
          <w:jc w:val="center"/>
        </w:trPr>
        <w:tc>
          <w:tcPr>
            <w:tcW w:w="4419"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left"/>
              <w:rPr>
                <w:rFonts w:ascii="Arial Narrow" w:hAnsi="Arial Narrow" w:cs="Arial"/>
                <w:lang w:val="es-ES" w:eastAsia="es-ES"/>
              </w:rPr>
            </w:pPr>
            <w:r w:rsidRPr="004F6207">
              <w:rPr>
                <w:rFonts w:ascii="Arial Narrow" w:hAnsi="Arial Narrow" w:cs="Arial"/>
                <w:lang w:val="es-ES" w:eastAsia="es-ES"/>
              </w:rPr>
              <w:t>Excedente del ejercicio</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-398</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219</w:t>
            </w:r>
          </w:p>
        </w:tc>
        <w:tc>
          <w:tcPr>
            <w:tcW w:w="1412" w:type="dxa"/>
            <w:tcBorders>
              <w:top w:val="single" w:sz="2" w:space="0" w:color="000000"/>
              <w:left w:val="nil"/>
              <w:bottom w:val="single" w:sz="2" w:space="0" w:color="000000"/>
              <w:right w:val="nil"/>
            </w:tcBorders>
            <w:vAlign w:val="center"/>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-155</w:t>
            </w:r>
          </w:p>
        </w:tc>
      </w:tr>
      <w:tr w:rsidR="00B01865" w:rsidRPr="004F6207" w:rsidTr="004F6207">
        <w:trPr>
          <w:trHeight w:val="198"/>
          <w:jc w:val="center"/>
        </w:trPr>
        <w:tc>
          <w:tcPr>
            <w:tcW w:w="4419"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left"/>
              <w:rPr>
                <w:rFonts w:ascii="Arial Narrow" w:hAnsi="Arial Narrow" w:cs="Arial"/>
                <w:lang w:val="es-ES" w:eastAsia="es-ES"/>
              </w:rPr>
            </w:pPr>
            <w:r w:rsidRPr="004F6207">
              <w:rPr>
                <w:rFonts w:ascii="Arial Narrow" w:hAnsi="Arial Narrow" w:cs="Arial"/>
                <w:lang w:val="es-ES" w:eastAsia="es-ES"/>
              </w:rPr>
              <w:t>Número de altos cargos (A)</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3</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4</w:t>
            </w:r>
          </w:p>
        </w:tc>
        <w:tc>
          <w:tcPr>
            <w:tcW w:w="1412" w:type="dxa"/>
            <w:tcBorders>
              <w:top w:val="single" w:sz="2" w:space="0" w:color="000000"/>
              <w:left w:val="nil"/>
              <w:bottom w:val="single" w:sz="2" w:space="0" w:color="000000"/>
              <w:right w:val="nil"/>
            </w:tcBorders>
            <w:vAlign w:val="center"/>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33</w:t>
            </w:r>
          </w:p>
        </w:tc>
      </w:tr>
      <w:tr w:rsidR="00B01865" w:rsidRPr="004F6207" w:rsidTr="004F6207">
        <w:trPr>
          <w:trHeight w:val="198"/>
          <w:jc w:val="center"/>
        </w:trPr>
        <w:tc>
          <w:tcPr>
            <w:tcW w:w="4419"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left"/>
              <w:rPr>
                <w:rFonts w:ascii="Arial Narrow" w:hAnsi="Arial Narrow" w:cs="Arial"/>
                <w:lang w:val="es-ES" w:eastAsia="es-ES"/>
              </w:rPr>
            </w:pPr>
            <w:r w:rsidRPr="004F6207">
              <w:rPr>
                <w:rFonts w:ascii="Arial Narrow" w:hAnsi="Arial Narrow" w:cs="Arial"/>
                <w:lang w:val="es-ES" w:eastAsia="es-ES"/>
              </w:rPr>
              <w:t>Número medio resto de empleados (B)</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81</w:t>
            </w:r>
          </w:p>
        </w:tc>
        <w:tc>
          <w:tcPr>
            <w:tcW w:w="1493" w:type="dxa"/>
            <w:tcBorders>
              <w:top w:val="single" w:sz="2" w:space="0" w:color="000000"/>
              <w:left w:val="nil"/>
              <w:bottom w:val="single" w:sz="2" w:space="0" w:color="000000"/>
              <w:right w:val="nil"/>
            </w:tcBorders>
            <w:vAlign w:val="center"/>
            <w:hideMark/>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150</w:t>
            </w:r>
          </w:p>
        </w:tc>
        <w:tc>
          <w:tcPr>
            <w:tcW w:w="1412" w:type="dxa"/>
            <w:tcBorders>
              <w:top w:val="single" w:sz="2" w:space="0" w:color="000000"/>
              <w:left w:val="nil"/>
              <w:bottom w:val="single" w:sz="2" w:space="0" w:color="000000"/>
              <w:right w:val="nil"/>
            </w:tcBorders>
            <w:vAlign w:val="center"/>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85</w:t>
            </w:r>
          </w:p>
        </w:tc>
      </w:tr>
      <w:tr w:rsidR="00B01865" w:rsidRPr="004F6207" w:rsidTr="004F6207">
        <w:trPr>
          <w:trHeight w:val="198"/>
          <w:jc w:val="center"/>
        </w:trPr>
        <w:tc>
          <w:tcPr>
            <w:tcW w:w="4419" w:type="dxa"/>
            <w:tcBorders>
              <w:top w:val="single" w:sz="2" w:space="0" w:color="000000"/>
              <w:left w:val="nil"/>
              <w:bottom w:val="single" w:sz="4" w:space="0" w:color="000000"/>
              <w:right w:val="nil"/>
            </w:tcBorders>
            <w:vAlign w:val="center"/>
            <w:hideMark/>
          </w:tcPr>
          <w:p w:rsidR="00B01865" w:rsidRPr="004F6207" w:rsidRDefault="00B01865" w:rsidP="00B01865">
            <w:pPr>
              <w:spacing w:after="0"/>
              <w:ind w:firstLine="0"/>
              <w:jc w:val="left"/>
              <w:rPr>
                <w:rFonts w:ascii="Arial Narrow" w:hAnsi="Arial Narrow" w:cs="Arial"/>
                <w:lang w:val="es-ES" w:eastAsia="es-ES"/>
              </w:rPr>
            </w:pPr>
            <w:r w:rsidRPr="004F6207">
              <w:rPr>
                <w:rFonts w:ascii="Arial Narrow" w:hAnsi="Arial Narrow" w:cs="Arial"/>
                <w:lang w:val="es-ES" w:eastAsia="es-ES"/>
              </w:rPr>
              <w:t>Número total de empleados (A+B)</w:t>
            </w:r>
          </w:p>
        </w:tc>
        <w:tc>
          <w:tcPr>
            <w:tcW w:w="1493" w:type="dxa"/>
            <w:tcBorders>
              <w:top w:val="single" w:sz="2" w:space="0" w:color="000000"/>
              <w:left w:val="nil"/>
              <w:bottom w:val="single" w:sz="4" w:space="0" w:color="000000"/>
              <w:right w:val="nil"/>
            </w:tcBorders>
            <w:vAlign w:val="center"/>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84</w:t>
            </w:r>
          </w:p>
        </w:tc>
        <w:tc>
          <w:tcPr>
            <w:tcW w:w="1493" w:type="dxa"/>
            <w:tcBorders>
              <w:top w:val="single" w:sz="2" w:space="0" w:color="000000"/>
              <w:left w:val="nil"/>
              <w:bottom w:val="single" w:sz="4" w:space="0" w:color="000000"/>
              <w:right w:val="nil"/>
            </w:tcBorders>
            <w:vAlign w:val="center"/>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154</w:t>
            </w:r>
          </w:p>
        </w:tc>
        <w:tc>
          <w:tcPr>
            <w:tcW w:w="1412" w:type="dxa"/>
            <w:tcBorders>
              <w:top w:val="single" w:sz="2" w:space="0" w:color="000000"/>
              <w:left w:val="nil"/>
              <w:bottom w:val="single" w:sz="4" w:space="0" w:color="000000"/>
              <w:right w:val="nil"/>
            </w:tcBorders>
            <w:vAlign w:val="center"/>
          </w:tcPr>
          <w:p w:rsidR="00B01865" w:rsidRPr="004F6207" w:rsidRDefault="00B01865" w:rsidP="00B01865">
            <w:pPr>
              <w:spacing w:after="0"/>
              <w:ind w:firstLine="0"/>
              <w:jc w:val="right"/>
              <w:rPr>
                <w:rFonts w:ascii="Arial Narrow" w:hAnsi="Arial Narrow" w:cs="Arial"/>
                <w:lang w:val="es-ES" w:eastAsia="es-ES"/>
              </w:rPr>
            </w:pPr>
            <w:r w:rsidRPr="004F6207">
              <w:rPr>
                <w:rFonts w:ascii="Arial Narrow" w:hAnsi="Arial Narrow" w:cs="Arial"/>
                <w:lang w:val="es-ES" w:eastAsia="es-ES"/>
              </w:rPr>
              <w:t>83</w:t>
            </w:r>
          </w:p>
        </w:tc>
      </w:tr>
    </w:tbl>
    <w:p w:rsidR="00B01865" w:rsidRPr="00B01865" w:rsidRDefault="00B01865" w:rsidP="004F6207">
      <w:pPr>
        <w:pStyle w:val="texto"/>
        <w:spacing w:before="240"/>
        <w:rPr>
          <w:lang w:val="es-ES"/>
        </w:rPr>
      </w:pPr>
      <w:r w:rsidRPr="00B01865">
        <w:rPr>
          <w:lang w:val="es-ES"/>
        </w:rPr>
        <w:lastRenderedPageBreak/>
        <w:t>Las cinco fundaciones públicas presentan auditoría de cuentas anuales y t</w:t>
      </w:r>
      <w:r w:rsidRPr="00B01865">
        <w:rPr>
          <w:lang w:val="es-ES"/>
        </w:rPr>
        <w:t>o</w:t>
      </w:r>
      <w:r w:rsidRPr="00B01865">
        <w:rPr>
          <w:lang w:val="es-ES"/>
        </w:rPr>
        <w:t>das ellas presentan opinión no modificada; la Fundación Miguel Servet prese</w:t>
      </w:r>
      <w:r w:rsidRPr="00B01865">
        <w:rPr>
          <w:lang w:val="es-ES"/>
        </w:rPr>
        <w:t>n</w:t>
      </w:r>
      <w:r w:rsidRPr="00B01865">
        <w:rPr>
          <w:lang w:val="es-ES"/>
        </w:rPr>
        <w:t>ta una salvedad relacionada con la falta de evidencia necesaria sobre la correcta presentación y asignación de algunas cuentas de subvenciones por un importe total de 0,17 millones de euros. Por otro lado, el informe de la Fundación B</w:t>
      </w:r>
      <w:r w:rsidRPr="00B01865">
        <w:rPr>
          <w:lang w:val="es-ES"/>
        </w:rPr>
        <w:t>a</w:t>
      </w:r>
      <w:r w:rsidRPr="00B01865">
        <w:rPr>
          <w:lang w:val="es-ES"/>
        </w:rPr>
        <w:t>luarte incluye un párrafo de énfasis sobre su patrimonio neto negativo que a</w:t>
      </w:r>
      <w:r w:rsidRPr="00B01865">
        <w:rPr>
          <w:lang w:val="es-ES"/>
        </w:rPr>
        <w:t>l</w:t>
      </w:r>
      <w:r w:rsidRPr="00B01865">
        <w:rPr>
          <w:lang w:val="es-ES"/>
        </w:rPr>
        <w:t>canza los 0,80 millones de euros; al respecto, la entidad fundadora ya ha man</w:t>
      </w:r>
      <w:r w:rsidRPr="00B01865">
        <w:rPr>
          <w:lang w:val="es-ES"/>
        </w:rPr>
        <w:t>i</w:t>
      </w:r>
      <w:r w:rsidRPr="00B01865">
        <w:rPr>
          <w:lang w:val="es-ES"/>
        </w:rPr>
        <w:t>festado expresamente que prestará apoyo financiero para posibilitar el cumpl</w:t>
      </w:r>
      <w:r w:rsidRPr="00B01865">
        <w:rPr>
          <w:lang w:val="es-ES"/>
        </w:rPr>
        <w:t>i</w:t>
      </w:r>
      <w:r w:rsidRPr="00B01865">
        <w:rPr>
          <w:lang w:val="es-ES"/>
        </w:rPr>
        <w:t>miento de los compromisos y las obligaciones de pago y asegurar la continu</w:t>
      </w:r>
      <w:r w:rsidRPr="00B01865">
        <w:rPr>
          <w:lang w:val="es-ES"/>
        </w:rPr>
        <w:t>i</w:t>
      </w:r>
      <w:r w:rsidRPr="00B01865">
        <w:rPr>
          <w:lang w:val="es-ES"/>
        </w:rPr>
        <w:t xml:space="preserve">dad de sus operaciones. </w:t>
      </w:r>
    </w:p>
    <w:p w:rsidR="00B01865" w:rsidRPr="00B01865" w:rsidRDefault="00B01865" w:rsidP="004F6207">
      <w:pPr>
        <w:pStyle w:val="texto"/>
        <w:rPr>
          <w:lang w:val="es-ES"/>
        </w:rPr>
      </w:pPr>
      <w:r w:rsidRPr="00B01865">
        <w:rPr>
          <w:lang w:val="es-ES"/>
        </w:rPr>
        <w:t>De la revisión del contenido de las cuentas de las fundaciones públicas h</w:t>
      </w:r>
      <w:r w:rsidRPr="00B01865">
        <w:rPr>
          <w:lang w:val="es-ES"/>
        </w:rPr>
        <w:t>e</w:t>
      </w:r>
      <w:r w:rsidRPr="00B01865">
        <w:rPr>
          <w:lang w:val="es-ES"/>
        </w:rPr>
        <w:t>mos constatado que no se especifican todos los saldos y transacciones con ent</w:t>
      </w:r>
      <w:r w:rsidRPr="00B01865">
        <w:rPr>
          <w:lang w:val="es-ES"/>
        </w:rPr>
        <w:t>i</w:t>
      </w:r>
      <w:r w:rsidRPr="00B01865">
        <w:rPr>
          <w:lang w:val="es-ES"/>
        </w:rPr>
        <w:t>dades vinculadas.</w:t>
      </w:r>
    </w:p>
    <w:p w:rsidR="00B01865" w:rsidRPr="00B01865" w:rsidRDefault="00B01865" w:rsidP="004F6207">
      <w:pPr>
        <w:pStyle w:val="texto"/>
        <w:rPr>
          <w:lang w:val="es-ES"/>
        </w:rPr>
      </w:pPr>
      <w:r w:rsidRPr="00B01865">
        <w:rPr>
          <w:lang w:val="es-ES"/>
        </w:rPr>
        <w:t>Al igual que con las empresas públicas, en 2017 finalizó la auditoría de cumplimiento de legalidad en dos de estas fundaciones mediante contrataciones a empresas privadas con los mismos objetivos descritos para las empresas p</w:t>
      </w:r>
      <w:r w:rsidRPr="00B01865">
        <w:rPr>
          <w:lang w:val="es-ES"/>
        </w:rPr>
        <w:t>ú</w:t>
      </w:r>
      <w:r w:rsidRPr="00B01865">
        <w:rPr>
          <w:lang w:val="es-ES"/>
        </w:rPr>
        <w:t>blicas.</w:t>
      </w:r>
    </w:p>
    <w:p w:rsidR="00B01865" w:rsidRPr="00B01865" w:rsidRDefault="00B01865" w:rsidP="004F6207">
      <w:pPr>
        <w:pStyle w:val="texto"/>
        <w:rPr>
          <w:rFonts w:cs="Arial"/>
        </w:rPr>
      </w:pPr>
      <w:r w:rsidRPr="00B01865">
        <w:rPr>
          <w:lang w:val="es-ES"/>
        </w:rPr>
        <w:t xml:space="preserve">En general, las actuaciones se han realizado conforme a la normativa, si bien en el caso de la </w:t>
      </w:r>
      <w:r w:rsidRPr="00B01865">
        <w:rPr>
          <w:rFonts w:cs="Arial"/>
        </w:rPr>
        <w:t>Fundación Navarra para la Tutela de las Personas Adultas, existen dos contratos prorrogados anualmente habiéndose superado el plazo máximo de cuatro año</w:t>
      </w:r>
      <w:r w:rsidR="004F6207">
        <w:rPr>
          <w:rFonts w:cs="Arial"/>
        </w:rPr>
        <w:t>s establecidos en la normativa.</w:t>
      </w:r>
    </w:p>
    <w:p w:rsidR="00B01865" w:rsidRPr="00B01865" w:rsidRDefault="00B01865" w:rsidP="004F6207">
      <w:pPr>
        <w:pStyle w:val="texto"/>
        <w:rPr>
          <w:lang w:val="es-ES"/>
        </w:rPr>
      </w:pPr>
      <w:r w:rsidRPr="00B01865">
        <w:rPr>
          <w:lang w:val="es-ES"/>
        </w:rPr>
        <w:t xml:space="preserve">Recomendamos: </w:t>
      </w:r>
    </w:p>
    <w:p w:rsidR="00B01865" w:rsidRPr="004F6207" w:rsidRDefault="001020A6"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rFonts w:cs="Arial"/>
          <w:i/>
          <w:spacing w:val="6"/>
          <w:sz w:val="26"/>
          <w:szCs w:val="24"/>
        </w:rPr>
        <w:t>Evalu</w:t>
      </w:r>
      <w:r w:rsidR="00B01865" w:rsidRPr="004F6207">
        <w:rPr>
          <w:rFonts w:cs="Arial"/>
          <w:i/>
          <w:spacing w:val="6"/>
          <w:sz w:val="26"/>
          <w:szCs w:val="24"/>
        </w:rPr>
        <w:t>ar la viabilidad tanto desde la vertiente económica como social, ex</w:t>
      </w:r>
      <w:r w:rsidR="00B01865" w:rsidRPr="004F6207">
        <w:rPr>
          <w:rFonts w:cs="Arial"/>
          <w:i/>
          <w:spacing w:val="6"/>
          <w:sz w:val="26"/>
          <w:szCs w:val="24"/>
        </w:rPr>
        <w:t>i</w:t>
      </w:r>
      <w:r w:rsidR="00B01865" w:rsidRPr="004F6207">
        <w:rPr>
          <w:rFonts w:cs="Arial"/>
          <w:i/>
          <w:spacing w:val="6"/>
          <w:sz w:val="26"/>
          <w:szCs w:val="24"/>
        </w:rPr>
        <w:t>giendo el apoyo financiero de todos los accionistas, de aquellas empresas p</w:t>
      </w:r>
      <w:r w:rsidR="00B01865" w:rsidRPr="004F6207">
        <w:rPr>
          <w:rFonts w:cs="Arial"/>
          <w:i/>
          <w:spacing w:val="6"/>
          <w:sz w:val="26"/>
          <w:szCs w:val="24"/>
        </w:rPr>
        <w:t>ú</w:t>
      </w:r>
      <w:r w:rsidR="00B01865" w:rsidRPr="004F6207">
        <w:rPr>
          <w:rFonts w:cs="Arial"/>
          <w:i/>
          <w:spacing w:val="6"/>
          <w:sz w:val="26"/>
          <w:szCs w:val="24"/>
        </w:rPr>
        <w:t>blicas en las que se observen relevantes incertidumbres sobre la capacidad p</w:t>
      </w:r>
      <w:r w:rsidR="00B01865" w:rsidRPr="004F6207">
        <w:rPr>
          <w:rFonts w:cs="Arial"/>
          <w:i/>
          <w:spacing w:val="6"/>
          <w:sz w:val="26"/>
          <w:szCs w:val="24"/>
        </w:rPr>
        <w:t>a</w:t>
      </w:r>
      <w:r w:rsidR="00B01865" w:rsidRPr="004F6207">
        <w:rPr>
          <w:rFonts w:cs="Arial"/>
          <w:i/>
          <w:spacing w:val="6"/>
          <w:sz w:val="26"/>
          <w:szCs w:val="24"/>
        </w:rPr>
        <w:t>ra continuar con sus operaciones,</w:t>
      </w:r>
    </w:p>
    <w:p w:rsidR="00B01865" w:rsidRPr="004F6207"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4F6207">
        <w:rPr>
          <w:rFonts w:cs="Arial"/>
          <w:i/>
          <w:spacing w:val="6"/>
          <w:sz w:val="26"/>
          <w:szCs w:val="24"/>
        </w:rPr>
        <w:t>Analizar si la sociedad Parque de la Naturaleza de Navarra S.A. reúne las condiciones para su consideración como empresa pública, a efectos de la Ley Foral de Patrimonio y de la Ley Foral de Hacienda Pública de Navarra.</w:t>
      </w:r>
    </w:p>
    <w:p w:rsidR="00B01865" w:rsidRPr="004F6207" w:rsidRDefault="001020A6"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Pr>
          <w:rFonts w:cs="Arial"/>
          <w:i/>
          <w:spacing w:val="6"/>
          <w:sz w:val="26"/>
          <w:szCs w:val="24"/>
        </w:rPr>
        <w:t>Establecer las medidas de gestión y control necesarias para solventar las deficiencias detectadas en las auditorías de legalidad de empresas y fundaci</w:t>
      </w:r>
      <w:r>
        <w:rPr>
          <w:rFonts w:cs="Arial"/>
          <w:i/>
          <w:spacing w:val="6"/>
          <w:sz w:val="26"/>
          <w:szCs w:val="24"/>
        </w:rPr>
        <w:t>o</w:t>
      </w:r>
      <w:r>
        <w:rPr>
          <w:rFonts w:cs="Arial"/>
          <w:i/>
          <w:spacing w:val="6"/>
          <w:sz w:val="26"/>
          <w:szCs w:val="24"/>
        </w:rPr>
        <w:t>nes públicas realizadas</w:t>
      </w:r>
      <w:r w:rsidR="00B01865" w:rsidRPr="004F6207">
        <w:rPr>
          <w:rFonts w:cs="Arial"/>
          <w:i/>
          <w:spacing w:val="6"/>
          <w:sz w:val="26"/>
          <w:szCs w:val="24"/>
        </w:rPr>
        <w:t>.</w:t>
      </w:r>
    </w:p>
    <w:p w:rsidR="00460CC4" w:rsidRDefault="00460CC4">
      <w:pPr>
        <w:spacing w:after="0"/>
        <w:ind w:firstLine="0"/>
        <w:jc w:val="left"/>
        <w:rPr>
          <w:rFonts w:ascii="Arial" w:hAnsi="Arial"/>
          <w:color w:val="000000"/>
          <w:spacing w:val="10"/>
          <w:kern w:val="28"/>
          <w:sz w:val="25"/>
          <w:szCs w:val="26"/>
          <w:lang w:val="es-ES"/>
        </w:rPr>
      </w:pPr>
      <w:bookmarkStart w:id="114" w:name="_Toc525907452"/>
      <w:r>
        <w:rPr>
          <w:bCs/>
          <w:iCs/>
          <w:lang w:val="es-ES"/>
        </w:rPr>
        <w:br w:type="page"/>
      </w:r>
    </w:p>
    <w:p w:rsidR="00B01865" w:rsidRPr="001C37BF" w:rsidRDefault="00B01865" w:rsidP="001C37BF">
      <w:pPr>
        <w:pStyle w:val="atitulo2"/>
        <w:spacing w:before="240"/>
        <w:rPr>
          <w:bCs w:val="0"/>
          <w:iCs w:val="0"/>
          <w:lang w:val="es-ES"/>
        </w:rPr>
      </w:pPr>
      <w:bookmarkStart w:id="115" w:name="_Toc530034680"/>
      <w:r w:rsidRPr="001C37BF">
        <w:rPr>
          <w:bCs w:val="0"/>
          <w:iCs w:val="0"/>
          <w:lang w:val="es-ES"/>
        </w:rPr>
        <w:lastRenderedPageBreak/>
        <w:t>V.1</w:t>
      </w:r>
      <w:r w:rsidR="001C37BF" w:rsidRPr="001C37BF">
        <w:rPr>
          <w:bCs w:val="0"/>
          <w:iCs w:val="0"/>
          <w:lang w:val="es-ES"/>
        </w:rPr>
        <w:t>5</w:t>
      </w:r>
      <w:r w:rsidRPr="001C37BF">
        <w:rPr>
          <w:bCs w:val="0"/>
          <w:iCs w:val="0"/>
          <w:lang w:val="es-ES"/>
        </w:rPr>
        <w:t>. Entorno tecnológico</w:t>
      </w:r>
      <w:bookmarkEnd w:id="114"/>
      <w:bookmarkEnd w:id="115"/>
    </w:p>
    <w:p w:rsidR="00B01865" w:rsidRPr="00B01865" w:rsidRDefault="00B01865" w:rsidP="004F6207">
      <w:pPr>
        <w:pStyle w:val="texto"/>
        <w:rPr>
          <w:lang w:val="es-ES"/>
        </w:rPr>
      </w:pPr>
      <w:r w:rsidRPr="00B01865">
        <w:rPr>
          <w:lang w:val="es-ES"/>
        </w:rPr>
        <w:t>Los sistemas de información y la tecnología juegan un papel fundamental en la gestión que lleva a cabo cualquier organización incluida la ACFN. Dada su relevancia se ha seguido con el procedimiento iniciado en el informe del ejerc</w:t>
      </w:r>
      <w:r w:rsidRPr="00B01865">
        <w:rPr>
          <w:lang w:val="es-ES"/>
        </w:rPr>
        <w:t>i</w:t>
      </w:r>
      <w:r w:rsidRPr="00B01865">
        <w:rPr>
          <w:lang w:val="es-ES"/>
        </w:rPr>
        <w:t>cio 2016 de analizar el “entorno tecnológico” o los sistemas de información económico-financiera y controles de las tecnologías de la información que re</w:t>
      </w:r>
      <w:r w:rsidRPr="00B01865">
        <w:rPr>
          <w:lang w:val="es-ES"/>
        </w:rPr>
        <w:t>a</w:t>
      </w:r>
      <w:r w:rsidRPr="00B01865">
        <w:rPr>
          <w:lang w:val="es-ES"/>
        </w:rPr>
        <w:t>liza la DGITIP.</w:t>
      </w:r>
    </w:p>
    <w:p w:rsidR="00B01865" w:rsidRPr="00B01865" w:rsidRDefault="00B01865" w:rsidP="004F6207">
      <w:pPr>
        <w:pStyle w:val="texto"/>
        <w:rPr>
          <w:lang w:val="es-ES"/>
        </w:rPr>
      </w:pPr>
      <w:r w:rsidRPr="00B01865">
        <w:rPr>
          <w:lang w:val="es-ES"/>
        </w:rPr>
        <w:t>Para llevar a cabo este análisis, remitimos un cuestionario de carácter gen</w:t>
      </w:r>
      <w:r w:rsidRPr="00B01865">
        <w:rPr>
          <w:lang w:val="es-ES"/>
        </w:rPr>
        <w:t>e</w:t>
      </w:r>
      <w:r w:rsidRPr="00B01865">
        <w:rPr>
          <w:lang w:val="es-ES"/>
        </w:rPr>
        <w:t>ral que nos permitiera evaluar el entorno tecnológico de forma global con m</w:t>
      </w:r>
      <w:r w:rsidRPr="00B01865">
        <w:rPr>
          <w:lang w:val="es-ES"/>
        </w:rPr>
        <w:t>a</w:t>
      </w:r>
      <w:r w:rsidRPr="00B01865">
        <w:rPr>
          <w:lang w:val="es-ES"/>
        </w:rPr>
        <w:t>yor detalle que el realizado el año anterior.</w:t>
      </w:r>
    </w:p>
    <w:p w:rsidR="00B01865" w:rsidRPr="00B01865" w:rsidRDefault="00B01865" w:rsidP="004F6207">
      <w:pPr>
        <w:pStyle w:val="texto"/>
        <w:rPr>
          <w:lang w:val="es-ES"/>
        </w:rPr>
      </w:pPr>
      <w:r w:rsidRPr="00B01865">
        <w:rPr>
          <w:lang w:val="es-ES"/>
        </w:rPr>
        <w:t>Esta Cámara emitió en junio de 2016 un informe sobre la estructura organ</w:t>
      </w:r>
      <w:r w:rsidRPr="00B01865">
        <w:rPr>
          <w:lang w:val="es-ES"/>
        </w:rPr>
        <w:t>i</w:t>
      </w:r>
      <w:r w:rsidRPr="00B01865">
        <w:rPr>
          <w:lang w:val="es-ES"/>
        </w:rPr>
        <w:t xml:space="preserve">zativa de la ACFN para la gestión de la informática. En él se explicaba que la DGITIP coordina y gestiona todas las tareas relacionadas con los sistemas de información y la informática de los departamentos del Gobierno de Navarra. Por este motivo, enviamos el cuestionario a esta dirección y del análisis de las respuestas hemos obtenido las siguientes </w:t>
      </w:r>
      <w:r w:rsidRPr="00CD394B">
        <w:rPr>
          <w:lang w:val="es-ES"/>
        </w:rPr>
        <w:t>conclusiones</w:t>
      </w:r>
      <w:r w:rsidRPr="004F6207">
        <w:rPr>
          <w:b/>
          <w:lang w:val="es-ES"/>
        </w:rPr>
        <w:t>:</w:t>
      </w:r>
    </w:p>
    <w:p w:rsidR="00B01865" w:rsidRPr="004F6207"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4F6207">
        <w:rPr>
          <w:rFonts w:cs="Arial"/>
          <w:spacing w:val="6"/>
          <w:sz w:val="26"/>
          <w:szCs w:val="24"/>
        </w:rPr>
        <w:t>Existen directrices sobre la política de seguridad de información pero no existe un documento aprobado formalmente al respecto.</w:t>
      </w:r>
    </w:p>
    <w:p w:rsidR="00B01865" w:rsidRPr="004F6207"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4F6207">
        <w:rPr>
          <w:rFonts w:cs="Arial"/>
          <w:spacing w:val="6"/>
          <w:sz w:val="26"/>
          <w:szCs w:val="24"/>
        </w:rPr>
        <w:t>El Real Decreto 3/2010 por el que se regula el Esquema Nacional de Seg</w:t>
      </w:r>
      <w:r w:rsidRPr="004F6207">
        <w:rPr>
          <w:rFonts w:cs="Arial"/>
          <w:spacing w:val="6"/>
          <w:sz w:val="26"/>
          <w:szCs w:val="24"/>
        </w:rPr>
        <w:t>u</w:t>
      </w:r>
      <w:r w:rsidRPr="004F6207">
        <w:rPr>
          <w:rFonts w:cs="Arial"/>
          <w:spacing w:val="6"/>
          <w:sz w:val="26"/>
          <w:szCs w:val="24"/>
        </w:rPr>
        <w:t>ridad en el ámbito de la Administración Electrónica, y el Real Decreto 1720/2007 por el que se aprueba el Reglamento de desarrollo de la Ley Orgán</w:t>
      </w:r>
      <w:r w:rsidRPr="004F6207">
        <w:rPr>
          <w:rFonts w:cs="Arial"/>
          <w:spacing w:val="6"/>
          <w:sz w:val="26"/>
          <w:szCs w:val="24"/>
        </w:rPr>
        <w:t>i</w:t>
      </w:r>
      <w:r w:rsidRPr="004F6207">
        <w:rPr>
          <w:rFonts w:cs="Arial"/>
          <w:spacing w:val="6"/>
          <w:sz w:val="26"/>
          <w:szCs w:val="24"/>
        </w:rPr>
        <w:t>ca 15/1999 de Protección de Datos de carácter personal, especificaban, entre otras, las siguientes obligaciones: nombrar a responsables de seguridad, realizar auditorías periódicas, elaborar documentos de seguridad, documentos de ad</w:t>
      </w:r>
      <w:r w:rsidRPr="004F6207">
        <w:rPr>
          <w:rFonts w:cs="Arial"/>
          <w:spacing w:val="6"/>
          <w:sz w:val="26"/>
          <w:szCs w:val="24"/>
        </w:rPr>
        <w:t>e</w:t>
      </w:r>
      <w:r w:rsidRPr="004F6207">
        <w:rPr>
          <w:rFonts w:cs="Arial"/>
          <w:spacing w:val="6"/>
          <w:sz w:val="26"/>
          <w:szCs w:val="24"/>
        </w:rPr>
        <w:t>cuación al esquema citado y al Esquema Nacional de Interoperabilidad, inscr</w:t>
      </w:r>
      <w:r w:rsidRPr="004F6207">
        <w:rPr>
          <w:rFonts w:cs="Arial"/>
          <w:spacing w:val="6"/>
          <w:sz w:val="26"/>
          <w:szCs w:val="24"/>
        </w:rPr>
        <w:t>i</w:t>
      </w:r>
      <w:r w:rsidRPr="004F6207">
        <w:rPr>
          <w:rFonts w:cs="Arial"/>
          <w:spacing w:val="6"/>
          <w:sz w:val="26"/>
          <w:szCs w:val="24"/>
        </w:rPr>
        <w:t>bir ficheros de datos personales, etc.</w:t>
      </w:r>
    </w:p>
    <w:p w:rsidR="00B01865" w:rsidRPr="00B01865" w:rsidRDefault="00C71F04" w:rsidP="004F6207">
      <w:pPr>
        <w:pStyle w:val="texto"/>
        <w:rPr>
          <w:lang w:val="es-ES"/>
        </w:rPr>
      </w:pPr>
      <w:r>
        <w:rPr>
          <w:lang w:val="es-ES"/>
        </w:rPr>
        <w:t>A</w:t>
      </w:r>
      <w:r w:rsidR="00B01865" w:rsidRPr="00B01865">
        <w:rPr>
          <w:lang w:val="es-ES"/>
        </w:rPr>
        <w:t>lgunos departamentos del Gobierno de Navarra han cumplido con lo exig</w:t>
      </w:r>
      <w:r w:rsidR="00B01865" w:rsidRPr="00B01865">
        <w:rPr>
          <w:lang w:val="es-ES"/>
        </w:rPr>
        <w:t>i</w:t>
      </w:r>
      <w:r w:rsidR="00B01865" w:rsidRPr="00B01865">
        <w:rPr>
          <w:lang w:val="es-ES"/>
        </w:rPr>
        <w:t>do por la normativa, pero otros, si bien han avanzado respecto al año anterior, aún se encuentran en este proceso</w:t>
      </w:r>
      <w:r>
        <w:rPr>
          <w:lang w:val="es-ES"/>
        </w:rPr>
        <w:t xml:space="preserve"> incumpliendo </w:t>
      </w:r>
      <w:r w:rsidR="00B01865" w:rsidRPr="00B01865">
        <w:rPr>
          <w:lang w:val="es-ES"/>
        </w:rPr>
        <w:t>los plazos establecidos en la regulación citada.</w:t>
      </w:r>
    </w:p>
    <w:p w:rsidR="00B01865" w:rsidRPr="00B01865"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B01865">
        <w:rPr>
          <w:rFonts w:cs="Arial"/>
          <w:spacing w:val="6"/>
          <w:sz w:val="26"/>
          <w:szCs w:val="24"/>
        </w:rPr>
        <w:t>Las bajas de los usuarios de la red local y de las aplicaciones no son com</w:t>
      </w:r>
      <w:r w:rsidRPr="00B01865">
        <w:rPr>
          <w:rFonts w:cs="Arial"/>
          <w:spacing w:val="6"/>
          <w:sz w:val="26"/>
          <w:szCs w:val="24"/>
        </w:rPr>
        <w:t>u</w:t>
      </w:r>
      <w:r w:rsidRPr="00B01865">
        <w:rPr>
          <w:rFonts w:cs="Arial"/>
          <w:spacing w:val="6"/>
          <w:sz w:val="26"/>
          <w:szCs w:val="24"/>
        </w:rPr>
        <w:t>nicadas en todos los casos por los departamentos a la DGITIP de manera rápida y oportuna.</w:t>
      </w:r>
    </w:p>
    <w:p w:rsidR="00B01865" w:rsidRPr="00B01865" w:rsidRDefault="00B01865" w:rsidP="00B01865">
      <w:pPr>
        <w:tabs>
          <w:tab w:val="center" w:pos="2835"/>
          <w:tab w:val="center" w:pos="3969"/>
          <w:tab w:val="center" w:pos="5103"/>
          <w:tab w:val="center" w:pos="6237"/>
          <w:tab w:val="center" w:pos="7371"/>
        </w:tabs>
        <w:ind w:firstLine="284"/>
        <w:rPr>
          <w:spacing w:val="6"/>
          <w:sz w:val="26"/>
          <w:szCs w:val="24"/>
        </w:rPr>
      </w:pPr>
      <w:r w:rsidRPr="00B01865">
        <w:rPr>
          <w:spacing w:val="6"/>
          <w:sz w:val="26"/>
          <w:szCs w:val="24"/>
        </w:rPr>
        <w:t>Recomendamos:</w:t>
      </w:r>
    </w:p>
    <w:p w:rsidR="00B01865" w:rsidRPr="004F6207"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4F6207">
        <w:rPr>
          <w:rFonts w:cs="Arial"/>
          <w:i/>
          <w:spacing w:val="6"/>
          <w:sz w:val="26"/>
          <w:szCs w:val="24"/>
        </w:rPr>
        <w:t>Aprobar un documento de manera formal sobre la política de seguridad de la información.</w:t>
      </w:r>
    </w:p>
    <w:p w:rsidR="00B01865" w:rsidRPr="004F6207"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4F6207">
        <w:rPr>
          <w:rFonts w:cs="Arial"/>
          <w:i/>
          <w:spacing w:val="6"/>
          <w:sz w:val="26"/>
          <w:szCs w:val="24"/>
        </w:rPr>
        <w:t xml:space="preserve">Cumplir con las exigencias legales </w:t>
      </w:r>
      <w:r w:rsidR="00541129">
        <w:rPr>
          <w:rFonts w:cs="Arial"/>
          <w:i/>
          <w:spacing w:val="6"/>
          <w:sz w:val="26"/>
          <w:szCs w:val="24"/>
        </w:rPr>
        <w:t>de</w:t>
      </w:r>
      <w:r w:rsidRPr="004F6207">
        <w:rPr>
          <w:rFonts w:cs="Arial"/>
          <w:i/>
          <w:spacing w:val="6"/>
          <w:sz w:val="26"/>
          <w:szCs w:val="24"/>
        </w:rPr>
        <w:t xml:space="preserve"> los reales decretos citados.</w:t>
      </w:r>
    </w:p>
    <w:p w:rsidR="00B01865" w:rsidRPr="004F6207" w:rsidRDefault="00B01865" w:rsidP="00B01865">
      <w:pPr>
        <w:numPr>
          <w:ilvl w:val="0"/>
          <w:numId w:val="2"/>
        </w:numPr>
        <w:tabs>
          <w:tab w:val="clear" w:pos="1948"/>
          <w:tab w:val="num" w:pos="300"/>
          <w:tab w:val="num" w:pos="360"/>
          <w:tab w:val="left" w:pos="480"/>
          <w:tab w:val="num" w:pos="600"/>
          <w:tab w:val="num" w:pos="720"/>
          <w:tab w:val="num" w:pos="1320"/>
        </w:tabs>
        <w:ind w:left="0" w:firstLine="289"/>
        <w:rPr>
          <w:rFonts w:cs="Arial"/>
          <w:i/>
          <w:spacing w:val="6"/>
          <w:sz w:val="26"/>
          <w:szCs w:val="24"/>
        </w:rPr>
      </w:pPr>
      <w:r w:rsidRPr="004F6207">
        <w:rPr>
          <w:rFonts w:cs="Arial"/>
          <w:i/>
          <w:spacing w:val="6"/>
          <w:sz w:val="26"/>
          <w:szCs w:val="24"/>
        </w:rPr>
        <w:lastRenderedPageBreak/>
        <w:t>Comunicar de forma rápida y oportuna por parte de los departamentos a la DGITIP las bajas de los usuarios de la red local y de las aplicaciones.</w:t>
      </w:r>
    </w:p>
    <w:p w:rsidR="009E1946" w:rsidRPr="009E1946" w:rsidRDefault="009E1946" w:rsidP="009E1946">
      <w:pPr>
        <w:pStyle w:val="texto"/>
        <w:spacing w:before="240"/>
      </w:pPr>
      <w:r w:rsidRPr="009E1946">
        <w:t>Informe que se emite a propuesta de la auditora Karen Moreno Orduña, re</w:t>
      </w:r>
      <w:r w:rsidRPr="009E1946">
        <w:t>s</w:t>
      </w:r>
      <w:r w:rsidRPr="009E1946">
        <w:t>ponsable de la realización de este trabajo, una vez cumplimentados los trámites previstos por la normativa vigente.</w:t>
      </w:r>
    </w:p>
    <w:p w:rsidR="009E1946" w:rsidRPr="009E1946" w:rsidRDefault="009E1946" w:rsidP="009E1946">
      <w:pPr>
        <w:pStyle w:val="texto"/>
        <w:jc w:val="center"/>
      </w:pPr>
      <w:r w:rsidRPr="009E1946">
        <w:t xml:space="preserve">Pamplona, </w:t>
      </w:r>
      <w:r w:rsidR="006A42CC">
        <w:t>15</w:t>
      </w:r>
      <w:r w:rsidR="00B27691">
        <w:t xml:space="preserve"> de noviembre</w:t>
      </w:r>
      <w:r w:rsidRPr="009E1946">
        <w:t xml:space="preserve"> de 2018</w:t>
      </w:r>
    </w:p>
    <w:p w:rsidR="009E1946" w:rsidRDefault="009E1946" w:rsidP="009E1946">
      <w:pPr>
        <w:pStyle w:val="texto"/>
        <w:jc w:val="center"/>
      </w:pPr>
      <w:r w:rsidRPr="009E1946">
        <w:t>La presidenta, Asunción Olaechea Estanga</w:t>
      </w:r>
    </w:p>
    <w:p w:rsidR="009E1946" w:rsidRPr="009E1946" w:rsidRDefault="009E1946" w:rsidP="009E1946">
      <w:pPr>
        <w:pStyle w:val="texto"/>
        <w:jc w:val="center"/>
      </w:pPr>
    </w:p>
    <w:p w:rsidR="00793F56" w:rsidRPr="009E1946" w:rsidRDefault="00793F56" w:rsidP="009E1946">
      <w:pPr>
        <w:pStyle w:val="texto"/>
        <w:sectPr w:rsidR="00793F56" w:rsidRPr="009E1946" w:rsidSect="00C47EE9">
          <w:headerReference w:type="even" r:id="rId15"/>
          <w:footerReference w:type="default" r:id="rId16"/>
          <w:type w:val="oddPage"/>
          <w:pgSz w:w="11907" w:h="16840" w:code="9"/>
          <w:pgMar w:top="2109" w:right="1559" w:bottom="1644" w:left="1559" w:header="369" w:footer="136" w:gutter="0"/>
          <w:pgNumType w:start="3"/>
          <w:cols w:space="720"/>
          <w:docGrid w:linePitch="360"/>
        </w:sectPr>
      </w:pPr>
    </w:p>
    <w:p w:rsidR="000C076E" w:rsidRPr="00F377C9" w:rsidRDefault="000C076E" w:rsidP="000C076E">
      <w:pPr>
        <w:pStyle w:val="atitulo1"/>
      </w:pPr>
      <w:bookmarkStart w:id="116" w:name="_Toc525907453"/>
      <w:bookmarkStart w:id="117" w:name="_Toc530034681"/>
      <w:r>
        <w:lastRenderedPageBreak/>
        <w:t>Apéndice 1. Gasto público</w:t>
      </w:r>
      <w:r w:rsidR="009F6E6A">
        <w:t xml:space="preserve"> para</w:t>
      </w:r>
      <w:r>
        <w:t xml:space="preserve"> promoción euskera</w:t>
      </w:r>
      <w:bookmarkEnd w:id="116"/>
      <w:bookmarkEnd w:id="117"/>
      <w:r>
        <w:t xml:space="preserve"> </w:t>
      </w:r>
    </w:p>
    <w:p w:rsidR="000C076E" w:rsidRDefault="000C076E" w:rsidP="000C076E">
      <w:pPr>
        <w:pStyle w:val="texto"/>
        <w:spacing w:after="120"/>
        <w:rPr>
          <w:rFonts w:cs="Arial"/>
        </w:rPr>
      </w:pPr>
      <w:r>
        <w:rPr>
          <w:lang w:val="es-ES"/>
        </w:rPr>
        <w:t xml:space="preserve">En abril de 2018, la Cámara recibió una solicitud de fiscalización sobre </w:t>
      </w:r>
      <w:r>
        <w:rPr>
          <w:rFonts w:cs="Arial"/>
        </w:rPr>
        <w:t>el gasto público destinado a diversas organizaciones privadas y a la financiación de eventos para la promoción del euskera</w:t>
      </w:r>
      <w:r w:rsidR="00E9496E">
        <w:rPr>
          <w:rFonts w:cs="Arial"/>
        </w:rPr>
        <w:t>,</w:t>
      </w:r>
      <w:r>
        <w:rPr>
          <w:rFonts w:cs="Arial"/>
        </w:rPr>
        <w:t xml:space="preserve"> citando expresamente a 13 organiz</w:t>
      </w:r>
      <w:r>
        <w:rPr>
          <w:rFonts w:cs="Arial"/>
        </w:rPr>
        <w:t>a</w:t>
      </w:r>
      <w:r>
        <w:rPr>
          <w:rFonts w:cs="Arial"/>
        </w:rPr>
        <w:t>ciones (una de las citadas no tenía un único CIF por lo que se han considerado todas las que la componen).</w:t>
      </w:r>
    </w:p>
    <w:p w:rsidR="000C076E" w:rsidRDefault="000C076E" w:rsidP="000C076E">
      <w:pPr>
        <w:pStyle w:val="texto"/>
        <w:spacing w:after="240"/>
        <w:rPr>
          <w:rFonts w:cs="Arial"/>
        </w:rPr>
      </w:pPr>
      <w:r>
        <w:rPr>
          <w:rFonts w:cs="Arial"/>
        </w:rPr>
        <w:t>Hemos obtenido el gasto presupuestario en el periodo 2013-2017 que han supuesto estas 13 entidades para la ACFN</w:t>
      </w:r>
      <w:r w:rsidR="009F6E6A">
        <w:rPr>
          <w:rFonts w:cs="Arial"/>
        </w:rPr>
        <w:t xml:space="preserve"> que asciende a un total de 1,87 m</w:t>
      </w:r>
      <w:r w:rsidR="009F6E6A">
        <w:rPr>
          <w:rFonts w:cs="Arial"/>
        </w:rPr>
        <w:t>i</w:t>
      </w:r>
      <w:r w:rsidR="009F6E6A">
        <w:rPr>
          <w:rFonts w:cs="Arial"/>
        </w:rPr>
        <w:t>llones de euros según el siguiente detalle</w:t>
      </w:r>
      <w:r>
        <w:rPr>
          <w:rFonts w:cs="Arial"/>
        </w:rPr>
        <w:t>:</w:t>
      </w:r>
    </w:p>
    <w:tbl>
      <w:tblPr>
        <w:tblW w:w="8893" w:type="dxa"/>
        <w:jc w:val="center"/>
        <w:tblLayout w:type="fixed"/>
        <w:tblCellMar>
          <w:left w:w="70" w:type="dxa"/>
          <w:right w:w="70" w:type="dxa"/>
        </w:tblCellMar>
        <w:tblLook w:val="04A0" w:firstRow="1" w:lastRow="0" w:firstColumn="1" w:lastColumn="0" w:noHBand="0" w:noVBand="1"/>
      </w:tblPr>
      <w:tblGrid>
        <w:gridCol w:w="2362"/>
        <w:gridCol w:w="849"/>
        <w:gridCol w:w="850"/>
        <w:gridCol w:w="849"/>
        <w:gridCol w:w="850"/>
        <w:gridCol w:w="927"/>
        <w:gridCol w:w="1064"/>
        <w:gridCol w:w="1142"/>
      </w:tblGrid>
      <w:tr w:rsidR="00B66E05" w:rsidRPr="00D3579F" w:rsidTr="007678DD">
        <w:trPr>
          <w:trHeight w:val="255"/>
          <w:jc w:val="center"/>
        </w:trPr>
        <w:tc>
          <w:tcPr>
            <w:tcW w:w="2362" w:type="dxa"/>
            <w:tcBorders>
              <w:top w:val="single" w:sz="4" w:space="0" w:color="auto"/>
              <w:bottom w:val="single" w:sz="4" w:space="0" w:color="auto"/>
            </w:tcBorders>
            <w:shd w:val="clear" w:color="auto" w:fill="8DB3E2" w:themeFill="text2" w:themeFillTint="66"/>
            <w:noWrap/>
            <w:vAlign w:val="bottom"/>
            <w:hideMark/>
          </w:tcPr>
          <w:p w:rsidR="000C076E" w:rsidRPr="00D3579F" w:rsidRDefault="000C076E" w:rsidP="00B66E05">
            <w:pPr>
              <w:spacing w:after="0"/>
              <w:ind w:right="-84" w:firstLine="0"/>
              <w:rPr>
                <w:rFonts w:ascii="Arial" w:hAnsi="Arial" w:cs="Arial"/>
                <w:color w:val="000000"/>
                <w:sz w:val="18"/>
                <w:szCs w:val="18"/>
                <w:lang w:eastAsia="es-ES"/>
              </w:rPr>
            </w:pPr>
          </w:p>
        </w:tc>
        <w:tc>
          <w:tcPr>
            <w:tcW w:w="849"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56" w:firstLine="0"/>
              <w:jc w:val="right"/>
              <w:rPr>
                <w:rFonts w:ascii="Arial" w:hAnsi="Arial" w:cs="Arial"/>
                <w:bCs/>
                <w:color w:val="000000"/>
                <w:sz w:val="18"/>
                <w:szCs w:val="18"/>
                <w:lang w:eastAsia="es-ES"/>
              </w:rPr>
            </w:pPr>
            <w:r w:rsidRPr="00D3579F">
              <w:rPr>
                <w:rFonts w:ascii="Arial" w:hAnsi="Arial" w:cs="Arial"/>
                <w:bCs/>
                <w:color w:val="000000"/>
                <w:sz w:val="18"/>
                <w:szCs w:val="18"/>
                <w:lang w:eastAsia="es-ES"/>
              </w:rPr>
              <w:t>2013</w:t>
            </w:r>
          </w:p>
        </w:tc>
        <w:tc>
          <w:tcPr>
            <w:tcW w:w="850"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56" w:firstLine="0"/>
              <w:jc w:val="right"/>
              <w:rPr>
                <w:rFonts w:ascii="Arial" w:hAnsi="Arial" w:cs="Arial"/>
                <w:bCs/>
                <w:color w:val="000000"/>
                <w:sz w:val="18"/>
                <w:szCs w:val="18"/>
                <w:lang w:eastAsia="es-ES"/>
              </w:rPr>
            </w:pPr>
            <w:r w:rsidRPr="00D3579F">
              <w:rPr>
                <w:rFonts w:ascii="Arial" w:hAnsi="Arial" w:cs="Arial"/>
                <w:bCs/>
                <w:color w:val="000000"/>
                <w:sz w:val="18"/>
                <w:szCs w:val="18"/>
                <w:lang w:eastAsia="es-ES"/>
              </w:rPr>
              <w:t>2014</w:t>
            </w:r>
          </w:p>
        </w:tc>
        <w:tc>
          <w:tcPr>
            <w:tcW w:w="849"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56" w:firstLine="0"/>
              <w:jc w:val="right"/>
              <w:rPr>
                <w:rFonts w:ascii="Arial" w:hAnsi="Arial" w:cs="Arial"/>
                <w:bCs/>
                <w:color w:val="000000"/>
                <w:sz w:val="18"/>
                <w:szCs w:val="18"/>
                <w:lang w:eastAsia="es-ES"/>
              </w:rPr>
            </w:pPr>
            <w:r w:rsidRPr="00D3579F">
              <w:rPr>
                <w:rFonts w:ascii="Arial" w:hAnsi="Arial" w:cs="Arial"/>
                <w:bCs/>
                <w:color w:val="000000"/>
                <w:sz w:val="18"/>
                <w:szCs w:val="18"/>
                <w:lang w:eastAsia="es-ES"/>
              </w:rPr>
              <w:t>2015</w:t>
            </w:r>
          </w:p>
        </w:tc>
        <w:tc>
          <w:tcPr>
            <w:tcW w:w="850"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56" w:firstLine="0"/>
              <w:jc w:val="right"/>
              <w:rPr>
                <w:rFonts w:ascii="Arial" w:hAnsi="Arial" w:cs="Arial"/>
                <w:bCs/>
                <w:color w:val="000000"/>
                <w:sz w:val="18"/>
                <w:szCs w:val="18"/>
                <w:lang w:eastAsia="es-ES"/>
              </w:rPr>
            </w:pPr>
            <w:r w:rsidRPr="00D3579F">
              <w:rPr>
                <w:rFonts w:ascii="Arial" w:hAnsi="Arial" w:cs="Arial"/>
                <w:bCs/>
                <w:color w:val="000000"/>
                <w:sz w:val="18"/>
                <w:szCs w:val="18"/>
                <w:lang w:eastAsia="es-ES"/>
              </w:rPr>
              <w:t>2016</w:t>
            </w:r>
          </w:p>
        </w:tc>
        <w:tc>
          <w:tcPr>
            <w:tcW w:w="927"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56" w:firstLine="0"/>
              <w:jc w:val="right"/>
              <w:rPr>
                <w:rFonts w:ascii="Arial" w:hAnsi="Arial" w:cs="Arial"/>
                <w:bCs/>
                <w:color w:val="000000"/>
                <w:sz w:val="18"/>
                <w:szCs w:val="18"/>
                <w:lang w:eastAsia="es-ES"/>
              </w:rPr>
            </w:pPr>
            <w:r w:rsidRPr="00D3579F">
              <w:rPr>
                <w:rFonts w:ascii="Arial" w:hAnsi="Arial" w:cs="Arial"/>
                <w:bCs/>
                <w:color w:val="000000"/>
                <w:sz w:val="18"/>
                <w:szCs w:val="18"/>
                <w:lang w:eastAsia="es-ES"/>
              </w:rPr>
              <w:t>2017</w:t>
            </w:r>
          </w:p>
        </w:tc>
        <w:tc>
          <w:tcPr>
            <w:tcW w:w="1064"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84" w:firstLine="0"/>
              <w:jc w:val="right"/>
              <w:rPr>
                <w:rFonts w:ascii="Arial" w:hAnsi="Arial" w:cs="Arial"/>
                <w:bCs/>
                <w:color w:val="000000"/>
                <w:sz w:val="18"/>
                <w:szCs w:val="18"/>
                <w:lang w:eastAsia="es-ES"/>
              </w:rPr>
            </w:pPr>
            <w:r w:rsidRPr="00D3579F">
              <w:rPr>
                <w:rFonts w:ascii="Arial" w:hAnsi="Arial" w:cs="Arial"/>
                <w:bCs/>
                <w:color w:val="000000"/>
                <w:sz w:val="18"/>
                <w:szCs w:val="18"/>
                <w:lang w:eastAsia="es-ES"/>
              </w:rPr>
              <w:t>%</w:t>
            </w:r>
            <w:r w:rsidR="00B66E05">
              <w:rPr>
                <w:rFonts w:ascii="Arial" w:hAnsi="Arial" w:cs="Arial"/>
                <w:bCs/>
                <w:color w:val="000000"/>
                <w:sz w:val="18"/>
                <w:szCs w:val="18"/>
                <w:lang w:eastAsia="es-ES"/>
              </w:rPr>
              <w:t xml:space="preserve"> variación</w:t>
            </w:r>
            <w:r w:rsidRPr="00D3579F">
              <w:rPr>
                <w:rFonts w:ascii="Arial" w:hAnsi="Arial" w:cs="Arial"/>
                <w:bCs/>
                <w:color w:val="000000"/>
                <w:sz w:val="18"/>
                <w:szCs w:val="18"/>
                <w:lang w:eastAsia="es-ES"/>
              </w:rPr>
              <w:t xml:space="preserve"> </w:t>
            </w:r>
          </w:p>
          <w:p w:rsidR="000C076E" w:rsidRPr="00D3579F" w:rsidRDefault="000C076E" w:rsidP="00B66E05">
            <w:pPr>
              <w:spacing w:after="0"/>
              <w:ind w:left="-84" w:firstLine="0"/>
              <w:jc w:val="right"/>
              <w:rPr>
                <w:rFonts w:ascii="Arial" w:hAnsi="Arial" w:cs="Arial"/>
                <w:bCs/>
                <w:color w:val="000000"/>
                <w:sz w:val="18"/>
                <w:szCs w:val="18"/>
                <w:lang w:eastAsia="es-ES"/>
              </w:rPr>
            </w:pPr>
            <w:r w:rsidRPr="00D3579F">
              <w:rPr>
                <w:rFonts w:ascii="Arial" w:hAnsi="Arial" w:cs="Arial"/>
                <w:bCs/>
                <w:color w:val="000000"/>
                <w:sz w:val="18"/>
                <w:szCs w:val="18"/>
                <w:lang w:eastAsia="es-ES"/>
              </w:rPr>
              <w:t>2017/2013</w:t>
            </w:r>
          </w:p>
        </w:tc>
        <w:tc>
          <w:tcPr>
            <w:tcW w:w="1142"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84" w:firstLine="0"/>
              <w:jc w:val="right"/>
              <w:rPr>
                <w:rFonts w:ascii="Arial" w:hAnsi="Arial" w:cs="Arial"/>
                <w:bCs/>
                <w:color w:val="000000"/>
                <w:sz w:val="18"/>
                <w:szCs w:val="18"/>
                <w:lang w:eastAsia="es-ES"/>
              </w:rPr>
            </w:pPr>
            <w:r w:rsidRPr="00D3579F">
              <w:rPr>
                <w:rFonts w:ascii="Arial" w:hAnsi="Arial" w:cs="Arial"/>
                <w:bCs/>
                <w:color w:val="000000"/>
                <w:sz w:val="18"/>
                <w:szCs w:val="18"/>
                <w:lang w:eastAsia="es-ES"/>
              </w:rPr>
              <w:t xml:space="preserve">% </w:t>
            </w:r>
            <w:r w:rsidR="00B66E05">
              <w:rPr>
                <w:rFonts w:ascii="Arial" w:hAnsi="Arial" w:cs="Arial"/>
                <w:bCs/>
                <w:color w:val="000000"/>
                <w:sz w:val="18"/>
                <w:szCs w:val="18"/>
                <w:lang w:eastAsia="es-ES"/>
              </w:rPr>
              <w:t xml:space="preserve">variación </w:t>
            </w:r>
            <w:r w:rsidRPr="00D3579F">
              <w:rPr>
                <w:rFonts w:ascii="Arial" w:hAnsi="Arial" w:cs="Arial"/>
                <w:bCs/>
                <w:color w:val="000000"/>
                <w:sz w:val="18"/>
                <w:szCs w:val="18"/>
                <w:lang w:eastAsia="es-ES"/>
              </w:rPr>
              <w:t>2017/2016</w:t>
            </w:r>
          </w:p>
        </w:tc>
      </w:tr>
      <w:tr w:rsidR="00B66E05" w:rsidRPr="00D3579F" w:rsidTr="007678DD">
        <w:trPr>
          <w:trHeight w:val="198"/>
          <w:jc w:val="center"/>
        </w:trPr>
        <w:tc>
          <w:tcPr>
            <w:tcW w:w="2362"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right="-84" w:firstLine="0"/>
              <w:jc w:val="left"/>
              <w:rPr>
                <w:rFonts w:ascii="Arial Narrow" w:hAnsi="Arial Narrow"/>
                <w:bCs/>
                <w:color w:val="000000"/>
                <w:lang w:eastAsia="es-ES"/>
              </w:rPr>
            </w:pPr>
            <w:r w:rsidRPr="00D3579F">
              <w:rPr>
                <w:rFonts w:ascii="Arial Narrow" w:hAnsi="Arial Narrow"/>
                <w:bCs/>
                <w:color w:val="000000"/>
                <w:lang w:eastAsia="es-ES"/>
              </w:rPr>
              <w:t>Capítulo II</w:t>
            </w:r>
            <w:r>
              <w:rPr>
                <w:rFonts w:ascii="Arial Narrow" w:hAnsi="Arial Narrow"/>
                <w:bCs/>
                <w:color w:val="000000"/>
                <w:lang w:eastAsia="es-ES"/>
              </w:rPr>
              <w:t xml:space="preserve">: bienes </w:t>
            </w:r>
            <w:proofErr w:type="spellStart"/>
            <w:r>
              <w:rPr>
                <w:rFonts w:ascii="Arial Narrow" w:hAnsi="Arial Narrow"/>
                <w:bCs/>
                <w:color w:val="000000"/>
                <w:lang w:eastAsia="es-ES"/>
              </w:rPr>
              <w:t>ctes</w:t>
            </w:r>
            <w:proofErr w:type="spellEnd"/>
            <w:r>
              <w:rPr>
                <w:rFonts w:ascii="Arial Narrow" w:hAnsi="Arial Narrow"/>
                <w:bCs/>
                <w:color w:val="000000"/>
                <w:lang w:eastAsia="es-ES"/>
              </w:rPr>
              <w:t xml:space="preserve">. y </w:t>
            </w:r>
            <w:proofErr w:type="spellStart"/>
            <w:r>
              <w:rPr>
                <w:rFonts w:ascii="Arial Narrow" w:hAnsi="Arial Narrow"/>
                <w:bCs/>
                <w:color w:val="000000"/>
                <w:lang w:eastAsia="es-ES"/>
              </w:rPr>
              <w:t>serv</w:t>
            </w:r>
            <w:proofErr w:type="spellEnd"/>
            <w:r>
              <w:rPr>
                <w:rFonts w:ascii="Arial Narrow" w:hAnsi="Arial Narrow"/>
                <w:bCs/>
                <w:color w:val="000000"/>
                <w:lang w:eastAsia="es-ES"/>
              </w:rPr>
              <w:t>.</w:t>
            </w:r>
          </w:p>
        </w:tc>
        <w:tc>
          <w:tcPr>
            <w:tcW w:w="849"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left="-56" w:firstLine="0"/>
              <w:jc w:val="right"/>
              <w:rPr>
                <w:rFonts w:ascii="Arial Narrow" w:hAnsi="Arial Narrow"/>
                <w:color w:val="000000"/>
                <w:lang w:eastAsia="es-ES"/>
              </w:rPr>
            </w:pPr>
            <w:r w:rsidRPr="00D3579F">
              <w:rPr>
                <w:rFonts w:ascii="Arial Narrow" w:hAnsi="Arial Narrow"/>
                <w:color w:val="000000"/>
                <w:lang w:eastAsia="es-ES"/>
              </w:rPr>
              <w:t>10.558</w:t>
            </w:r>
          </w:p>
        </w:tc>
        <w:tc>
          <w:tcPr>
            <w:tcW w:w="850"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left="-56" w:firstLine="0"/>
              <w:jc w:val="right"/>
              <w:rPr>
                <w:rFonts w:ascii="Arial Narrow" w:hAnsi="Arial Narrow"/>
                <w:color w:val="000000"/>
                <w:lang w:eastAsia="es-ES"/>
              </w:rPr>
            </w:pPr>
            <w:r w:rsidRPr="00D3579F">
              <w:rPr>
                <w:rFonts w:ascii="Arial Narrow" w:hAnsi="Arial Narrow"/>
                <w:color w:val="000000"/>
                <w:lang w:eastAsia="es-ES"/>
              </w:rPr>
              <w:t>14.140</w:t>
            </w:r>
          </w:p>
        </w:tc>
        <w:tc>
          <w:tcPr>
            <w:tcW w:w="849"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left="-56" w:firstLine="0"/>
              <w:jc w:val="right"/>
              <w:rPr>
                <w:rFonts w:ascii="Arial Narrow" w:hAnsi="Arial Narrow"/>
                <w:color w:val="000000"/>
                <w:lang w:eastAsia="es-ES"/>
              </w:rPr>
            </w:pPr>
            <w:r w:rsidRPr="00D3579F">
              <w:rPr>
                <w:rFonts w:ascii="Arial Narrow" w:hAnsi="Arial Narrow"/>
                <w:color w:val="000000"/>
                <w:lang w:eastAsia="es-ES"/>
              </w:rPr>
              <w:t>66.21</w:t>
            </w:r>
            <w:r>
              <w:rPr>
                <w:rFonts w:ascii="Arial Narrow" w:hAnsi="Arial Narrow"/>
                <w:color w:val="000000"/>
                <w:lang w:eastAsia="es-ES"/>
              </w:rPr>
              <w:t>4</w:t>
            </w:r>
          </w:p>
        </w:tc>
        <w:tc>
          <w:tcPr>
            <w:tcW w:w="850"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left="-56" w:firstLine="0"/>
              <w:jc w:val="right"/>
              <w:rPr>
                <w:rFonts w:ascii="Arial Narrow" w:hAnsi="Arial Narrow"/>
                <w:color w:val="000000"/>
                <w:lang w:eastAsia="es-ES"/>
              </w:rPr>
            </w:pPr>
            <w:r w:rsidRPr="00D3579F">
              <w:rPr>
                <w:rFonts w:ascii="Arial Narrow" w:hAnsi="Arial Narrow"/>
                <w:color w:val="000000"/>
                <w:lang w:eastAsia="es-ES"/>
              </w:rPr>
              <w:t>74.049</w:t>
            </w:r>
          </w:p>
        </w:tc>
        <w:tc>
          <w:tcPr>
            <w:tcW w:w="927"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left="-56" w:firstLine="0"/>
              <w:jc w:val="right"/>
              <w:rPr>
                <w:rFonts w:ascii="Arial Narrow" w:hAnsi="Arial Narrow"/>
                <w:color w:val="000000"/>
                <w:lang w:eastAsia="es-ES"/>
              </w:rPr>
            </w:pPr>
            <w:r w:rsidRPr="00D3579F">
              <w:rPr>
                <w:rFonts w:ascii="Arial Narrow" w:hAnsi="Arial Narrow"/>
                <w:color w:val="000000"/>
                <w:lang w:eastAsia="es-ES"/>
              </w:rPr>
              <w:t>199.241</w:t>
            </w:r>
          </w:p>
        </w:tc>
        <w:tc>
          <w:tcPr>
            <w:tcW w:w="1064"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left="-84" w:firstLine="0"/>
              <w:jc w:val="right"/>
              <w:rPr>
                <w:rFonts w:ascii="Arial Narrow" w:hAnsi="Arial Narrow"/>
                <w:color w:val="000000"/>
                <w:lang w:eastAsia="es-ES"/>
              </w:rPr>
            </w:pPr>
            <w:r w:rsidRPr="00D3579F">
              <w:rPr>
                <w:rFonts w:ascii="Arial Narrow" w:hAnsi="Arial Narrow"/>
                <w:color w:val="000000"/>
                <w:lang w:eastAsia="es-ES"/>
              </w:rPr>
              <w:t>1</w:t>
            </w:r>
            <w:r>
              <w:rPr>
                <w:rFonts w:ascii="Arial Narrow" w:hAnsi="Arial Narrow"/>
                <w:color w:val="000000"/>
                <w:lang w:eastAsia="es-ES"/>
              </w:rPr>
              <w:t>.</w:t>
            </w:r>
            <w:r w:rsidRPr="00D3579F">
              <w:rPr>
                <w:rFonts w:ascii="Arial Narrow" w:hAnsi="Arial Narrow"/>
                <w:color w:val="000000"/>
                <w:lang w:eastAsia="es-ES"/>
              </w:rPr>
              <w:t>787</w:t>
            </w:r>
          </w:p>
        </w:tc>
        <w:tc>
          <w:tcPr>
            <w:tcW w:w="1142"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left="-84" w:firstLine="0"/>
              <w:jc w:val="right"/>
              <w:rPr>
                <w:rFonts w:ascii="Arial Narrow" w:hAnsi="Arial Narrow"/>
                <w:color w:val="000000"/>
                <w:lang w:eastAsia="es-ES"/>
              </w:rPr>
            </w:pPr>
            <w:r w:rsidRPr="00D3579F">
              <w:rPr>
                <w:rFonts w:ascii="Arial Narrow" w:hAnsi="Arial Narrow"/>
                <w:color w:val="000000"/>
                <w:lang w:eastAsia="es-ES"/>
              </w:rPr>
              <w:t>169</w:t>
            </w:r>
          </w:p>
        </w:tc>
      </w:tr>
      <w:tr w:rsidR="00B66E05" w:rsidRPr="00D3579F" w:rsidTr="007678DD">
        <w:trPr>
          <w:trHeight w:val="198"/>
          <w:jc w:val="center"/>
        </w:trPr>
        <w:tc>
          <w:tcPr>
            <w:tcW w:w="2362"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right="-84" w:firstLine="0"/>
              <w:jc w:val="left"/>
              <w:rPr>
                <w:rFonts w:ascii="Arial Narrow" w:hAnsi="Arial Narrow"/>
                <w:bCs/>
                <w:color w:val="000000"/>
                <w:lang w:eastAsia="es-ES"/>
              </w:rPr>
            </w:pPr>
            <w:r w:rsidRPr="00D3579F">
              <w:rPr>
                <w:rFonts w:ascii="Arial Narrow" w:hAnsi="Arial Narrow"/>
                <w:bCs/>
                <w:color w:val="000000"/>
                <w:lang w:eastAsia="es-ES"/>
              </w:rPr>
              <w:t>Capítulo IV</w:t>
            </w:r>
            <w:r>
              <w:rPr>
                <w:rFonts w:ascii="Arial Narrow" w:hAnsi="Arial Narrow"/>
                <w:bCs/>
                <w:color w:val="000000"/>
                <w:lang w:eastAsia="es-ES"/>
              </w:rPr>
              <w:t xml:space="preserve">: </w:t>
            </w:r>
            <w:proofErr w:type="spellStart"/>
            <w:r>
              <w:rPr>
                <w:rFonts w:ascii="Arial Narrow" w:hAnsi="Arial Narrow"/>
                <w:bCs/>
                <w:color w:val="000000"/>
                <w:lang w:eastAsia="es-ES"/>
              </w:rPr>
              <w:t>transf</w:t>
            </w:r>
            <w:proofErr w:type="spellEnd"/>
            <w:r>
              <w:rPr>
                <w:rFonts w:ascii="Arial Narrow" w:hAnsi="Arial Narrow"/>
                <w:bCs/>
                <w:color w:val="000000"/>
                <w:lang w:eastAsia="es-ES"/>
              </w:rPr>
              <w:t>.</w:t>
            </w:r>
            <w:r w:rsidR="007678DD">
              <w:rPr>
                <w:rFonts w:ascii="Arial Narrow" w:hAnsi="Arial Narrow"/>
                <w:bCs/>
                <w:color w:val="000000"/>
                <w:lang w:eastAsia="es-ES"/>
              </w:rPr>
              <w:t xml:space="preserve"> </w:t>
            </w:r>
            <w:proofErr w:type="spellStart"/>
            <w:r>
              <w:rPr>
                <w:rFonts w:ascii="Arial Narrow" w:hAnsi="Arial Narrow"/>
                <w:bCs/>
                <w:color w:val="000000"/>
                <w:lang w:eastAsia="es-ES"/>
              </w:rPr>
              <w:t>ctes</w:t>
            </w:r>
            <w:proofErr w:type="spellEnd"/>
            <w:r>
              <w:rPr>
                <w:rFonts w:ascii="Arial Narrow" w:hAnsi="Arial Narrow"/>
                <w:bCs/>
                <w:color w:val="000000"/>
                <w:lang w:eastAsia="es-ES"/>
              </w:rPr>
              <w:t>.</w:t>
            </w:r>
          </w:p>
        </w:tc>
        <w:tc>
          <w:tcPr>
            <w:tcW w:w="849"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left="-56"/>
              <w:jc w:val="right"/>
              <w:rPr>
                <w:rFonts w:ascii="Arial Narrow" w:hAnsi="Arial Narrow"/>
                <w:color w:val="000000"/>
                <w:lang w:eastAsia="es-ES"/>
              </w:rPr>
            </w:pPr>
            <w:r w:rsidRPr="00D3579F">
              <w:rPr>
                <w:rFonts w:ascii="Arial Narrow" w:hAnsi="Arial Narrow"/>
                <w:color w:val="000000"/>
                <w:lang w:eastAsia="es-ES"/>
              </w:rPr>
              <w:t>0</w:t>
            </w:r>
          </w:p>
        </w:tc>
        <w:tc>
          <w:tcPr>
            <w:tcW w:w="850" w:type="dxa"/>
            <w:tcBorders>
              <w:top w:val="single" w:sz="2" w:space="0" w:color="auto"/>
              <w:bottom w:val="single" w:sz="2" w:space="0" w:color="auto"/>
            </w:tcBorders>
            <w:shd w:val="clear" w:color="auto" w:fill="auto"/>
            <w:noWrap/>
            <w:vAlign w:val="bottom"/>
            <w:hideMark/>
          </w:tcPr>
          <w:p w:rsidR="000C076E" w:rsidRPr="00D3579F" w:rsidRDefault="000C076E" w:rsidP="00B66E05">
            <w:pPr>
              <w:spacing w:after="0"/>
              <w:ind w:left="-56" w:firstLine="0"/>
              <w:jc w:val="right"/>
              <w:rPr>
                <w:rFonts w:ascii="Arial Narrow" w:hAnsi="Arial Narrow"/>
                <w:color w:val="000000"/>
                <w:lang w:eastAsia="es-ES"/>
              </w:rPr>
            </w:pPr>
            <w:r w:rsidRPr="00D3579F">
              <w:rPr>
                <w:rFonts w:ascii="Arial Narrow" w:hAnsi="Arial Narrow"/>
                <w:color w:val="000000"/>
                <w:lang w:eastAsia="es-ES"/>
              </w:rPr>
              <w:t>35.000</w:t>
            </w:r>
          </w:p>
        </w:tc>
        <w:tc>
          <w:tcPr>
            <w:tcW w:w="849" w:type="dxa"/>
            <w:tcBorders>
              <w:top w:val="single" w:sz="2" w:space="0" w:color="auto"/>
              <w:bottom w:val="single" w:sz="2" w:space="0" w:color="auto"/>
            </w:tcBorders>
            <w:shd w:val="clear" w:color="auto" w:fill="auto"/>
            <w:noWrap/>
            <w:vAlign w:val="bottom"/>
            <w:hideMark/>
          </w:tcPr>
          <w:p w:rsidR="000C076E" w:rsidRPr="00D3579F" w:rsidRDefault="000C076E" w:rsidP="00B66E05">
            <w:pPr>
              <w:spacing w:after="0"/>
              <w:ind w:left="-56" w:firstLine="0"/>
              <w:jc w:val="right"/>
              <w:rPr>
                <w:rFonts w:ascii="Arial Narrow" w:hAnsi="Arial Narrow"/>
                <w:color w:val="000000"/>
                <w:lang w:eastAsia="es-ES"/>
              </w:rPr>
            </w:pPr>
            <w:r w:rsidRPr="00D3579F">
              <w:rPr>
                <w:rFonts w:ascii="Arial Narrow" w:hAnsi="Arial Narrow"/>
                <w:color w:val="000000"/>
                <w:lang w:eastAsia="es-ES"/>
              </w:rPr>
              <w:t>140.29</w:t>
            </w:r>
            <w:r>
              <w:rPr>
                <w:rFonts w:ascii="Arial Narrow" w:hAnsi="Arial Narrow"/>
                <w:color w:val="000000"/>
                <w:lang w:eastAsia="es-ES"/>
              </w:rPr>
              <w:t>0</w:t>
            </w:r>
          </w:p>
        </w:tc>
        <w:tc>
          <w:tcPr>
            <w:tcW w:w="850" w:type="dxa"/>
            <w:tcBorders>
              <w:top w:val="single" w:sz="2" w:space="0" w:color="auto"/>
              <w:bottom w:val="single" w:sz="2" w:space="0" w:color="auto"/>
            </w:tcBorders>
            <w:shd w:val="clear" w:color="auto" w:fill="auto"/>
            <w:noWrap/>
            <w:vAlign w:val="bottom"/>
            <w:hideMark/>
          </w:tcPr>
          <w:p w:rsidR="000C076E" w:rsidRPr="00D3579F" w:rsidRDefault="000C076E" w:rsidP="00B66E05">
            <w:pPr>
              <w:spacing w:after="0"/>
              <w:ind w:left="-56" w:firstLine="0"/>
              <w:jc w:val="right"/>
              <w:rPr>
                <w:rFonts w:ascii="Arial Narrow" w:hAnsi="Arial Narrow"/>
                <w:color w:val="000000"/>
                <w:lang w:eastAsia="es-ES"/>
              </w:rPr>
            </w:pPr>
            <w:r w:rsidRPr="00D3579F">
              <w:rPr>
                <w:rFonts w:ascii="Arial Narrow" w:hAnsi="Arial Narrow"/>
                <w:color w:val="000000"/>
                <w:lang w:eastAsia="es-ES"/>
              </w:rPr>
              <w:t>438.36</w:t>
            </w:r>
            <w:r>
              <w:rPr>
                <w:rFonts w:ascii="Arial Narrow" w:hAnsi="Arial Narrow"/>
                <w:color w:val="000000"/>
                <w:lang w:eastAsia="es-ES"/>
              </w:rPr>
              <w:t>1</w:t>
            </w:r>
          </w:p>
        </w:tc>
        <w:tc>
          <w:tcPr>
            <w:tcW w:w="927" w:type="dxa"/>
            <w:tcBorders>
              <w:top w:val="single" w:sz="2" w:space="0" w:color="auto"/>
              <w:bottom w:val="single" w:sz="2" w:space="0" w:color="auto"/>
            </w:tcBorders>
            <w:shd w:val="clear" w:color="auto" w:fill="auto"/>
            <w:noWrap/>
            <w:vAlign w:val="bottom"/>
            <w:hideMark/>
          </w:tcPr>
          <w:p w:rsidR="000C076E" w:rsidRPr="00D3579F" w:rsidRDefault="000C076E" w:rsidP="00B66E05">
            <w:pPr>
              <w:spacing w:after="0"/>
              <w:ind w:left="-56" w:firstLine="0"/>
              <w:jc w:val="right"/>
              <w:rPr>
                <w:rFonts w:ascii="Arial Narrow" w:hAnsi="Arial Narrow"/>
                <w:color w:val="000000"/>
                <w:lang w:eastAsia="es-ES"/>
              </w:rPr>
            </w:pPr>
            <w:r w:rsidRPr="00D3579F">
              <w:rPr>
                <w:rFonts w:ascii="Arial Narrow" w:hAnsi="Arial Narrow"/>
                <w:color w:val="000000"/>
                <w:lang w:eastAsia="es-ES"/>
              </w:rPr>
              <w:t>836.05</w:t>
            </w:r>
            <w:r>
              <w:rPr>
                <w:rFonts w:ascii="Arial Narrow" w:hAnsi="Arial Narrow"/>
                <w:color w:val="000000"/>
                <w:lang w:eastAsia="es-ES"/>
              </w:rPr>
              <w:t>8</w:t>
            </w:r>
          </w:p>
        </w:tc>
        <w:tc>
          <w:tcPr>
            <w:tcW w:w="1064"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left="-84" w:firstLine="0"/>
              <w:jc w:val="right"/>
              <w:rPr>
                <w:rFonts w:ascii="Arial Narrow" w:hAnsi="Arial Narrow"/>
                <w:color w:val="000000"/>
                <w:lang w:eastAsia="es-ES"/>
              </w:rPr>
            </w:pPr>
            <w:r>
              <w:rPr>
                <w:rFonts w:ascii="Arial Narrow" w:hAnsi="Arial Narrow"/>
                <w:color w:val="000000"/>
                <w:lang w:eastAsia="es-ES"/>
              </w:rPr>
              <w:t>-</w:t>
            </w:r>
          </w:p>
        </w:tc>
        <w:tc>
          <w:tcPr>
            <w:tcW w:w="1142"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left="-84" w:firstLine="0"/>
              <w:jc w:val="right"/>
              <w:rPr>
                <w:rFonts w:ascii="Arial Narrow" w:hAnsi="Arial Narrow"/>
                <w:color w:val="000000"/>
                <w:lang w:eastAsia="es-ES"/>
              </w:rPr>
            </w:pPr>
            <w:r w:rsidRPr="00D3579F">
              <w:rPr>
                <w:rFonts w:ascii="Arial Narrow" w:hAnsi="Arial Narrow"/>
                <w:color w:val="000000"/>
                <w:lang w:eastAsia="es-ES"/>
              </w:rPr>
              <w:t>91</w:t>
            </w:r>
          </w:p>
        </w:tc>
      </w:tr>
      <w:tr w:rsidR="00B66E05" w:rsidRPr="00D3579F" w:rsidTr="007678DD">
        <w:trPr>
          <w:trHeight w:val="198"/>
          <w:jc w:val="center"/>
        </w:trPr>
        <w:tc>
          <w:tcPr>
            <w:tcW w:w="2362" w:type="dxa"/>
            <w:tcBorders>
              <w:top w:val="single" w:sz="2" w:space="0" w:color="auto"/>
              <w:bottom w:val="single" w:sz="4" w:space="0" w:color="auto"/>
            </w:tcBorders>
            <w:shd w:val="clear" w:color="auto" w:fill="auto"/>
            <w:noWrap/>
            <w:vAlign w:val="center"/>
            <w:hideMark/>
          </w:tcPr>
          <w:p w:rsidR="000C076E" w:rsidRPr="00D3579F" w:rsidRDefault="000C076E" w:rsidP="00B66E05">
            <w:pPr>
              <w:spacing w:after="0"/>
              <w:ind w:right="-84" w:firstLine="0"/>
              <w:jc w:val="left"/>
              <w:rPr>
                <w:rFonts w:ascii="Arial Narrow" w:hAnsi="Arial Narrow"/>
                <w:bCs/>
                <w:color w:val="000000"/>
                <w:lang w:eastAsia="es-ES"/>
              </w:rPr>
            </w:pPr>
            <w:r w:rsidRPr="00D3579F">
              <w:rPr>
                <w:rFonts w:ascii="Arial Narrow" w:hAnsi="Arial Narrow"/>
                <w:bCs/>
                <w:color w:val="000000"/>
                <w:lang w:eastAsia="es-ES"/>
              </w:rPr>
              <w:t>Capítu</w:t>
            </w:r>
            <w:r>
              <w:rPr>
                <w:rFonts w:ascii="Arial Narrow" w:hAnsi="Arial Narrow"/>
                <w:bCs/>
                <w:color w:val="000000"/>
                <w:lang w:eastAsia="es-ES"/>
              </w:rPr>
              <w:t>lo V</w:t>
            </w:r>
            <w:r w:rsidRPr="00D3579F">
              <w:rPr>
                <w:rFonts w:ascii="Arial Narrow" w:hAnsi="Arial Narrow"/>
                <w:bCs/>
                <w:color w:val="000000"/>
                <w:lang w:eastAsia="es-ES"/>
              </w:rPr>
              <w:t>I</w:t>
            </w:r>
            <w:r>
              <w:rPr>
                <w:rFonts w:ascii="Arial Narrow" w:hAnsi="Arial Narrow"/>
                <w:bCs/>
                <w:color w:val="000000"/>
                <w:lang w:eastAsia="es-ES"/>
              </w:rPr>
              <w:t>: inversiones</w:t>
            </w:r>
          </w:p>
        </w:tc>
        <w:tc>
          <w:tcPr>
            <w:tcW w:w="849" w:type="dxa"/>
            <w:tcBorders>
              <w:top w:val="single" w:sz="2" w:space="0" w:color="auto"/>
              <w:bottom w:val="single" w:sz="4" w:space="0" w:color="auto"/>
            </w:tcBorders>
            <w:shd w:val="clear" w:color="auto" w:fill="auto"/>
            <w:noWrap/>
            <w:vAlign w:val="center"/>
            <w:hideMark/>
          </w:tcPr>
          <w:p w:rsidR="000C076E" w:rsidRPr="00D3579F" w:rsidRDefault="000C076E" w:rsidP="00B66E05">
            <w:pPr>
              <w:spacing w:after="0"/>
              <w:ind w:left="-56" w:firstLine="0"/>
              <w:jc w:val="right"/>
              <w:rPr>
                <w:rFonts w:ascii="Arial Narrow" w:hAnsi="Arial Narrow"/>
                <w:color w:val="000000"/>
                <w:lang w:eastAsia="es-ES"/>
              </w:rPr>
            </w:pPr>
            <w:r w:rsidRPr="00D3579F">
              <w:rPr>
                <w:rFonts w:ascii="Arial Narrow" w:hAnsi="Arial Narrow"/>
                <w:color w:val="000000"/>
                <w:lang w:eastAsia="es-ES"/>
              </w:rPr>
              <w:t>6.916</w:t>
            </w:r>
          </w:p>
        </w:tc>
        <w:tc>
          <w:tcPr>
            <w:tcW w:w="850" w:type="dxa"/>
            <w:tcBorders>
              <w:top w:val="single" w:sz="2" w:space="0" w:color="auto"/>
              <w:bottom w:val="single" w:sz="4" w:space="0" w:color="auto"/>
            </w:tcBorders>
            <w:shd w:val="clear" w:color="auto" w:fill="auto"/>
            <w:noWrap/>
            <w:vAlign w:val="bottom"/>
            <w:hideMark/>
          </w:tcPr>
          <w:p w:rsidR="000C076E" w:rsidRPr="00D3579F" w:rsidRDefault="000C076E" w:rsidP="00B66E05">
            <w:pPr>
              <w:spacing w:after="0"/>
              <w:ind w:left="-56" w:firstLine="0"/>
              <w:jc w:val="right"/>
              <w:rPr>
                <w:rFonts w:ascii="Arial Narrow" w:hAnsi="Arial Narrow"/>
                <w:color w:val="000000"/>
                <w:lang w:eastAsia="es-ES"/>
              </w:rPr>
            </w:pPr>
            <w:r w:rsidRPr="00D3579F">
              <w:rPr>
                <w:rFonts w:ascii="Arial Narrow" w:hAnsi="Arial Narrow"/>
                <w:color w:val="000000"/>
                <w:lang w:eastAsia="es-ES"/>
              </w:rPr>
              <w:t>4.500</w:t>
            </w:r>
          </w:p>
        </w:tc>
        <w:tc>
          <w:tcPr>
            <w:tcW w:w="849" w:type="dxa"/>
            <w:tcBorders>
              <w:top w:val="single" w:sz="2" w:space="0" w:color="auto"/>
              <w:bottom w:val="single" w:sz="4" w:space="0" w:color="auto"/>
            </w:tcBorders>
            <w:shd w:val="clear" w:color="auto" w:fill="auto"/>
            <w:noWrap/>
            <w:vAlign w:val="bottom"/>
            <w:hideMark/>
          </w:tcPr>
          <w:p w:rsidR="000C076E" w:rsidRPr="00D3579F" w:rsidRDefault="000C076E" w:rsidP="00B66E05">
            <w:pPr>
              <w:spacing w:after="0"/>
              <w:ind w:left="-56" w:firstLine="0"/>
              <w:jc w:val="right"/>
              <w:rPr>
                <w:rFonts w:ascii="Arial Narrow" w:hAnsi="Arial Narrow"/>
                <w:color w:val="000000"/>
                <w:lang w:eastAsia="es-ES"/>
              </w:rPr>
            </w:pPr>
            <w:r w:rsidRPr="00D3579F">
              <w:rPr>
                <w:rFonts w:ascii="Arial Narrow" w:hAnsi="Arial Narrow"/>
                <w:color w:val="000000"/>
                <w:lang w:eastAsia="es-ES"/>
              </w:rPr>
              <w:t>14.445</w:t>
            </w:r>
          </w:p>
        </w:tc>
        <w:tc>
          <w:tcPr>
            <w:tcW w:w="850" w:type="dxa"/>
            <w:tcBorders>
              <w:top w:val="single" w:sz="2" w:space="0" w:color="auto"/>
              <w:bottom w:val="single" w:sz="4" w:space="0" w:color="auto"/>
            </w:tcBorders>
            <w:shd w:val="clear" w:color="auto" w:fill="auto"/>
            <w:noWrap/>
            <w:vAlign w:val="bottom"/>
            <w:hideMark/>
          </w:tcPr>
          <w:p w:rsidR="000C076E" w:rsidRPr="00D3579F" w:rsidRDefault="000C076E" w:rsidP="00B66E05">
            <w:pPr>
              <w:spacing w:after="0"/>
              <w:ind w:left="-56" w:firstLine="0"/>
              <w:jc w:val="right"/>
              <w:rPr>
                <w:rFonts w:ascii="Arial Narrow" w:hAnsi="Arial Narrow"/>
                <w:color w:val="000000"/>
                <w:lang w:eastAsia="es-ES"/>
              </w:rPr>
            </w:pPr>
            <w:r w:rsidRPr="00D3579F">
              <w:rPr>
                <w:rFonts w:ascii="Arial Narrow" w:hAnsi="Arial Narrow"/>
                <w:color w:val="000000"/>
                <w:lang w:eastAsia="es-ES"/>
              </w:rPr>
              <w:t>6.52</w:t>
            </w:r>
            <w:r>
              <w:rPr>
                <w:rFonts w:ascii="Arial Narrow" w:hAnsi="Arial Narrow"/>
                <w:color w:val="000000"/>
                <w:lang w:eastAsia="es-ES"/>
              </w:rPr>
              <w:t>2</w:t>
            </w:r>
          </w:p>
        </w:tc>
        <w:tc>
          <w:tcPr>
            <w:tcW w:w="927" w:type="dxa"/>
            <w:tcBorders>
              <w:top w:val="single" w:sz="2" w:space="0" w:color="auto"/>
              <w:bottom w:val="single" w:sz="4" w:space="0" w:color="auto"/>
            </w:tcBorders>
            <w:shd w:val="clear" w:color="auto" w:fill="auto"/>
            <w:noWrap/>
            <w:vAlign w:val="bottom"/>
            <w:hideMark/>
          </w:tcPr>
          <w:p w:rsidR="000C076E" w:rsidRPr="00D3579F" w:rsidRDefault="000C076E" w:rsidP="00B66E05">
            <w:pPr>
              <w:spacing w:after="0"/>
              <w:ind w:left="-56" w:firstLine="0"/>
              <w:jc w:val="right"/>
              <w:rPr>
                <w:rFonts w:ascii="Arial Narrow" w:hAnsi="Arial Narrow"/>
                <w:color w:val="000000"/>
                <w:lang w:eastAsia="es-ES"/>
              </w:rPr>
            </w:pPr>
            <w:r w:rsidRPr="00D3579F">
              <w:rPr>
                <w:rFonts w:ascii="Arial Narrow" w:hAnsi="Arial Narrow"/>
                <w:color w:val="000000"/>
                <w:lang w:eastAsia="es-ES"/>
              </w:rPr>
              <w:t>23.162</w:t>
            </w:r>
          </w:p>
        </w:tc>
        <w:tc>
          <w:tcPr>
            <w:tcW w:w="1064" w:type="dxa"/>
            <w:tcBorders>
              <w:top w:val="single" w:sz="2" w:space="0" w:color="auto"/>
              <w:bottom w:val="single" w:sz="4" w:space="0" w:color="auto"/>
            </w:tcBorders>
            <w:shd w:val="clear" w:color="auto" w:fill="auto"/>
            <w:noWrap/>
            <w:vAlign w:val="center"/>
            <w:hideMark/>
          </w:tcPr>
          <w:p w:rsidR="000C076E" w:rsidRPr="00D3579F" w:rsidRDefault="000C076E" w:rsidP="00B66E05">
            <w:pPr>
              <w:spacing w:after="0"/>
              <w:ind w:left="-84" w:firstLine="0"/>
              <w:jc w:val="right"/>
              <w:rPr>
                <w:rFonts w:ascii="Arial Narrow" w:hAnsi="Arial Narrow"/>
                <w:color w:val="000000"/>
                <w:lang w:eastAsia="es-ES"/>
              </w:rPr>
            </w:pPr>
            <w:r w:rsidRPr="00D3579F">
              <w:rPr>
                <w:rFonts w:ascii="Arial Narrow" w:hAnsi="Arial Narrow"/>
                <w:color w:val="000000"/>
                <w:lang w:eastAsia="es-ES"/>
              </w:rPr>
              <w:t>235</w:t>
            </w:r>
          </w:p>
        </w:tc>
        <w:tc>
          <w:tcPr>
            <w:tcW w:w="1142" w:type="dxa"/>
            <w:tcBorders>
              <w:top w:val="single" w:sz="2" w:space="0" w:color="auto"/>
              <w:bottom w:val="single" w:sz="4" w:space="0" w:color="auto"/>
            </w:tcBorders>
            <w:shd w:val="clear" w:color="auto" w:fill="auto"/>
            <w:noWrap/>
            <w:vAlign w:val="center"/>
            <w:hideMark/>
          </w:tcPr>
          <w:p w:rsidR="000C076E" w:rsidRPr="00D3579F" w:rsidRDefault="000C076E" w:rsidP="00B66E05">
            <w:pPr>
              <w:spacing w:after="0"/>
              <w:ind w:left="-84" w:firstLine="0"/>
              <w:jc w:val="right"/>
              <w:rPr>
                <w:rFonts w:ascii="Arial Narrow" w:hAnsi="Arial Narrow"/>
                <w:color w:val="000000"/>
                <w:lang w:eastAsia="es-ES"/>
              </w:rPr>
            </w:pPr>
            <w:r w:rsidRPr="00D3579F">
              <w:rPr>
                <w:rFonts w:ascii="Arial Narrow" w:hAnsi="Arial Narrow"/>
                <w:color w:val="000000"/>
                <w:lang w:eastAsia="es-ES"/>
              </w:rPr>
              <w:t>255</w:t>
            </w:r>
          </w:p>
        </w:tc>
      </w:tr>
      <w:tr w:rsidR="00B66E05" w:rsidRPr="00D3579F" w:rsidTr="00B66E05">
        <w:trPr>
          <w:trHeight w:val="255"/>
          <w:jc w:val="center"/>
        </w:trPr>
        <w:tc>
          <w:tcPr>
            <w:tcW w:w="2362"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right="-84" w:firstLine="0"/>
              <w:jc w:val="left"/>
              <w:rPr>
                <w:rFonts w:ascii="Arial" w:hAnsi="Arial" w:cs="Arial"/>
                <w:bCs/>
                <w:color w:val="000000"/>
                <w:sz w:val="18"/>
                <w:szCs w:val="18"/>
                <w:lang w:eastAsia="es-ES"/>
              </w:rPr>
            </w:pPr>
            <w:r w:rsidRPr="00D3579F">
              <w:rPr>
                <w:rFonts w:ascii="Arial" w:hAnsi="Arial" w:cs="Arial"/>
                <w:bCs/>
                <w:color w:val="000000"/>
                <w:sz w:val="18"/>
                <w:szCs w:val="18"/>
                <w:lang w:eastAsia="es-ES"/>
              </w:rPr>
              <w:t>Total gasto</w:t>
            </w:r>
          </w:p>
        </w:tc>
        <w:tc>
          <w:tcPr>
            <w:tcW w:w="849"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56" w:firstLine="0"/>
              <w:jc w:val="right"/>
              <w:rPr>
                <w:rFonts w:ascii="Arial" w:hAnsi="Arial" w:cs="Arial"/>
                <w:bCs/>
                <w:color w:val="000000"/>
                <w:sz w:val="18"/>
                <w:szCs w:val="18"/>
                <w:lang w:eastAsia="es-ES"/>
              </w:rPr>
            </w:pPr>
            <w:r w:rsidRPr="00D3579F">
              <w:rPr>
                <w:rFonts w:ascii="Arial" w:hAnsi="Arial" w:cs="Arial"/>
                <w:bCs/>
                <w:color w:val="000000"/>
                <w:sz w:val="18"/>
                <w:szCs w:val="18"/>
                <w:lang w:eastAsia="es-ES"/>
              </w:rPr>
              <w:t>17.474</w:t>
            </w:r>
          </w:p>
        </w:tc>
        <w:tc>
          <w:tcPr>
            <w:tcW w:w="850"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56" w:firstLine="0"/>
              <w:jc w:val="right"/>
              <w:rPr>
                <w:rFonts w:ascii="Arial" w:hAnsi="Arial" w:cs="Arial"/>
                <w:color w:val="000000"/>
                <w:sz w:val="18"/>
                <w:szCs w:val="18"/>
                <w:lang w:eastAsia="es-ES"/>
              </w:rPr>
            </w:pPr>
            <w:r w:rsidRPr="00D3579F">
              <w:rPr>
                <w:rFonts w:ascii="Arial" w:hAnsi="Arial" w:cs="Arial"/>
                <w:color w:val="000000"/>
                <w:sz w:val="18"/>
                <w:szCs w:val="18"/>
                <w:lang w:eastAsia="es-ES"/>
              </w:rPr>
              <w:t>53.640</w:t>
            </w:r>
          </w:p>
        </w:tc>
        <w:tc>
          <w:tcPr>
            <w:tcW w:w="849"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56" w:firstLine="0"/>
              <w:jc w:val="right"/>
              <w:rPr>
                <w:rFonts w:ascii="Arial" w:hAnsi="Arial" w:cs="Arial"/>
                <w:color w:val="000000"/>
                <w:sz w:val="18"/>
                <w:szCs w:val="18"/>
                <w:lang w:eastAsia="es-ES"/>
              </w:rPr>
            </w:pPr>
            <w:r w:rsidRPr="00D3579F">
              <w:rPr>
                <w:rFonts w:ascii="Arial" w:hAnsi="Arial" w:cs="Arial"/>
                <w:color w:val="000000"/>
                <w:sz w:val="18"/>
                <w:szCs w:val="18"/>
                <w:lang w:eastAsia="es-ES"/>
              </w:rPr>
              <w:t>220.949</w:t>
            </w:r>
          </w:p>
        </w:tc>
        <w:tc>
          <w:tcPr>
            <w:tcW w:w="850"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56" w:firstLine="0"/>
              <w:jc w:val="right"/>
              <w:rPr>
                <w:rFonts w:ascii="Arial" w:hAnsi="Arial" w:cs="Arial"/>
                <w:color w:val="000000"/>
                <w:sz w:val="18"/>
                <w:szCs w:val="18"/>
                <w:lang w:eastAsia="es-ES"/>
              </w:rPr>
            </w:pPr>
            <w:r w:rsidRPr="00D3579F">
              <w:rPr>
                <w:rFonts w:ascii="Arial" w:hAnsi="Arial" w:cs="Arial"/>
                <w:color w:val="000000"/>
                <w:sz w:val="18"/>
                <w:szCs w:val="18"/>
                <w:lang w:eastAsia="es-ES"/>
              </w:rPr>
              <w:t>518.932</w:t>
            </w:r>
          </w:p>
        </w:tc>
        <w:tc>
          <w:tcPr>
            <w:tcW w:w="927"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56" w:firstLine="0"/>
              <w:jc w:val="right"/>
              <w:rPr>
                <w:rFonts w:ascii="Arial" w:hAnsi="Arial" w:cs="Arial"/>
                <w:color w:val="000000"/>
                <w:sz w:val="18"/>
                <w:szCs w:val="18"/>
                <w:lang w:eastAsia="es-ES"/>
              </w:rPr>
            </w:pPr>
            <w:r w:rsidRPr="00D3579F">
              <w:rPr>
                <w:rFonts w:ascii="Arial" w:hAnsi="Arial" w:cs="Arial"/>
                <w:color w:val="000000"/>
                <w:sz w:val="18"/>
                <w:szCs w:val="18"/>
                <w:lang w:eastAsia="es-ES"/>
              </w:rPr>
              <w:t>1.058.461</w:t>
            </w:r>
          </w:p>
        </w:tc>
        <w:tc>
          <w:tcPr>
            <w:tcW w:w="1064"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84" w:firstLine="0"/>
              <w:jc w:val="right"/>
              <w:rPr>
                <w:rFonts w:ascii="Arial" w:hAnsi="Arial" w:cs="Arial"/>
                <w:color w:val="000000"/>
                <w:sz w:val="18"/>
                <w:szCs w:val="18"/>
                <w:lang w:eastAsia="es-ES"/>
              </w:rPr>
            </w:pPr>
            <w:r w:rsidRPr="00D3579F">
              <w:rPr>
                <w:rFonts w:ascii="Arial" w:hAnsi="Arial" w:cs="Arial"/>
                <w:color w:val="000000"/>
                <w:sz w:val="18"/>
                <w:szCs w:val="18"/>
                <w:lang w:eastAsia="es-ES"/>
              </w:rPr>
              <w:t>5</w:t>
            </w:r>
            <w:r>
              <w:rPr>
                <w:rFonts w:ascii="Arial" w:hAnsi="Arial" w:cs="Arial"/>
                <w:color w:val="000000"/>
                <w:sz w:val="18"/>
                <w:szCs w:val="18"/>
                <w:lang w:eastAsia="es-ES"/>
              </w:rPr>
              <w:t>.</w:t>
            </w:r>
            <w:r w:rsidRPr="00D3579F">
              <w:rPr>
                <w:rFonts w:ascii="Arial" w:hAnsi="Arial" w:cs="Arial"/>
                <w:color w:val="000000"/>
                <w:sz w:val="18"/>
                <w:szCs w:val="18"/>
                <w:lang w:eastAsia="es-ES"/>
              </w:rPr>
              <w:t>957</w:t>
            </w:r>
          </w:p>
        </w:tc>
        <w:tc>
          <w:tcPr>
            <w:tcW w:w="1142"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left="-84" w:firstLine="0"/>
              <w:jc w:val="right"/>
              <w:rPr>
                <w:rFonts w:ascii="Arial" w:hAnsi="Arial" w:cs="Arial"/>
                <w:color w:val="000000"/>
                <w:sz w:val="18"/>
                <w:szCs w:val="18"/>
                <w:lang w:eastAsia="es-ES"/>
              </w:rPr>
            </w:pPr>
            <w:r w:rsidRPr="00D3579F">
              <w:rPr>
                <w:rFonts w:ascii="Arial" w:hAnsi="Arial" w:cs="Arial"/>
                <w:color w:val="000000"/>
                <w:sz w:val="18"/>
                <w:szCs w:val="18"/>
                <w:lang w:eastAsia="es-ES"/>
              </w:rPr>
              <w:t>104</w:t>
            </w:r>
          </w:p>
        </w:tc>
      </w:tr>
    </w:tbl>
    <w:p w:rsidR="000C076E" w:rsidRDefault="009F6E6A" w:rsidP="000C076E">
      <w:pPr>
        <w:pStyle w:val="texto"/>
        <w:spacing w:before="240" w:after="120"/>
        <w:rPr>
          <w:rFonts w:cs="Arial"/>
        </w:rPr>
      </w:pPr>
      <w:r>
        <w:rPr>
          <w:rFonts w:cs="Arial"/>
        </w:rPr>
        <w:t>En 2017 el importe recibido por estas entidades</w:t>
      </w:r>
      <w:r w:rsidR="000C076E">
        <w:rPr>
          <w:rFonts w:cs="Arial"/>
        </w:rPr>
        <w:t xml:space="preserve"> fue de 1,06 millones, lo que supone el 57 por ciento del total del periodo, habiéndose incrementado signif</w:t>
      </w:r>
      <w:r w:rsidR="000C076E">
        <w:rPr>
          <w:rFonts w:cs="Arial"/>
        </w:rPr>
        <w:t>i</w:t>
      </w:r>
      <w:r w:rsidR="000C076E">
        <w:rPr>
          <w:rFonts w:cs="Arial"/>
        </w:rPr>
        <w:t>cativamente respecto a los años anteriores.</w:t>
      </w:r>
    </w:p>
    <w:p w:rsidR="000C076E" w:rsidRDefault="000C076E" w:rsidP="000C076E">
      <w:pPr>
        <w:pStyle w:val="texto"/>
        <w:spacing w:before="120" w:after="120"/>
        <w:rPr>
          <w:rFonts w:cs="Arial"/>
        </w:rPr>
      </w:pPr>
      <w:r>
        <w:rPr>
          <w:rFonts w:cs="Arial"/>
        </w:rPr>
        <w:t>El importe más relevante corresponde al capítulo IV de transferencias c</w:t>
      </w:r>
      <w:r>
        <w:rPr>
          <w:rFonts w:cs="Arial"/>
        </w:rPr>
        <w:t>o</w:t>
      </w:r>
      <w:r>
        <w:rPr>
          <w:rFonts w:cs="Arial"/>
        </w:rPr>
        <w:t>rrientes con un 78 por ciento sobre el gasto total, seguido del capítulo II de bi</w:t>
      </w:r>
      <w:r>
        <w:rPr>
          <w:rFonts w:cs="Arial"/>
        </w:rPr>
        <w:t>e</w:t>
      </w:r>
      <w:r>
        <w:rPr>
          <w:rFonts w:cs="Arial"/>
        </w:rPr>
        <w:t>nes corrientes y servicios con un 19 por ciento, y de manera residual el capítulo VI de inversiones con un tres por ciento.</w:t>
      </w:r>
    </w:p>
    <w:p w:rsidR="000C076E" w:rsidRDefault="000C076E" w:rsidP="000C076E">
      <w:pPr>
        <w:pStyle w:val="texto"/>
        <w:spacing w:before="120" w:after="240"/>
        <w:rPr>
          <w:rFonts w:cs="Arial"/>
        </w:rPr>
      </w:pPr>
      <w:r>
        <w:rPr>
          <w:rFonts w:cs="Arial"/>
        </w:rPr>
        <w:t>El total percibido por cada uno de los acreedores citados en la petición en el periodo analizado es:</w:t>
      </w:r>
    </w:p>
    <w:tbl>
      <w:tblPr>
        <w:tblW w:w="8863" w:type="dxa"/>
        <w:jc w:val="center"/>
        <w:tblInd w:w="66" w:type="dxa"/>
        <w:tblLayout w:type="fixed"/>
        <w:tblCellMar>
          <w:left w:w="70" w:type="dxa"/>
          <w:right w:w="70" w:type="dxa"/>
        </w:tblCellMar>
        <w:tblLook w:val="04A0" w:firstRow="1" w:lastRow="0" w:firstColumn="1" w:lastColumn="0" w:noHBand="0" w:noVBand="1"/>
      </w:tblPr>
      <w:tblGrid>
        <w:gridCol w:w="3509"/>
        <w:gridCol w:w="787"/>
        <w:gridCol w:w="874"/>
        <w:gridCol w:w="874"/>
        <w:gridCol w:w="874"/>
        <w:gridCol w:w="930"/>
        <w:gridCol w:w="1015"/>
      </w:tblGrid>
      <w:tr w:rsidR="00AC7529" w:rsidRPr="00D3579F" w:rsidTr="00AC7529">
        <w:trPr>
          <w:trHeight w:val="255"/>
          <w:jc w:val="center"/>
        </w:trPr>
        <w:tc>
          <w:tcPr>
            <w:tcW w:w="3509"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B66E05">
            <w:pPr>
              <w:spacing w:after="0"/>
              <w:ind w:firstLine="0"/>
              <w:jc w:val="left"/>
              <w:rPr>
                <w:rFonts w:ascii="Arial" w:hAnsi="Arial" w:cs="Arial"/>
                <w:color w:val="000000"/>
                <w:sz w:val="18"/>
                <w:szCs w:val="18"/>
                <w:lang w:val="es-ES" w:eastAsia="es-ES"/>
              </w:rPr>
            </w:pPr>
            <w:r w:rsidRPr="00D3579F">
              <w:rPr>
                <w:rFonts w:ascii="Arial" w:hAnsi="Arial" w:cs="Arial"/>
                <w:color w:val="000000"/>
                <w:sz w:val="18"/>
                <w:szCs w:val="18"/>
                <w:lang w:val="es-ES" w:eastAsia="es-ES"/>
              </w:rPr>
              <w:t xml:space="preserve">Acreedor petición </w:t>
            </w:r>
          </w:p>
        </w:tc>
        <w:tc>
          <w:tcPr>
            <w:tcW w:w="787"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AC7529">
            <w:pPr>
              <w:spacing w:after="0"/>
              <w:ind w:left="-81" w:right="-67" w:firstLine="0"/>
              <w:jc w:val="right"/>
              <w:rPr>
                <w:rFonts w:ascii="Arial" w:hAnsi="Arial" w:cs="Arial"/>
                <w:color w:val="000000"/>
                <w:sz w:val="18"/>
                <w:szCs w:val="18"/>
                <w:lang w:val="es-ES" w:eastAsia="es-ES"/>
              </w:rPr>
            </w:pPr>
            <w:r w:rsidRPr="00D3579F">
              <w:rPr>
                <w:rFonts w:ascii="Arial" w:hAnsi="Arial" w:cs="Arial"/>
                <w:color w:val="000000"/>
                <w:sz w:val="18"/>
                <w:szCs w:val="18"/>
                <w:lang w:val="es-ES" w:eastAsia="es-ES"/>
              </w:rPr>
              <w:t>2013</w:t>
            </w:r>
          </w:p>
        </w:tc>
        <w:tc>
          <w:tcPr>
            <w:tcW w:w="874"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AC7529">
            <w:pPr>
              <w:spacing w:after="0"/>
              <w:ind w:left="-81" w:right="-67" w:firstLine="0"/>
              <w:jc w:val="right"/>
              <w:rPr>
                <w:rFonts w:ascii="Arial" w:hAnsi="Arial" w:cs="Arial"/>
                <w:color w:val="000000"/>
                <w:sz w:val="18"/>
                <w:szCs w:val="18"/>
                <w:lang w:val="es-ES" w:eastAsia="es-ES"/>
              </w:rPr>
            </w:pPr>
            <w:r w:rsidRPr="00D3579F">
              <w:rPr>
                <w:rFonts w:ascii="Arial" w:hAnsi="Arial" w:cs="Arial"/>
                <w:color w:val="000000"/>
                <w:sz w:val="18"/>
                <w:szCs w:val="18"/>
                <w:lang w:val="es-ES" w:eastAsia="es-ES"/>
              </w:rPr>
              <w:t>2014</w:t>
            </w:r>
          </w:p>
        </w:tc>
        <w:tc>
          <w:tcPr>
            <w:tcW w:w="874"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AC7529">
            <w:pPr>
              <w:spacing w:after="0"/>
              <w:ind w:left="-81" w:right="-67" w:firstLine="0"/>
              <w:jc w:val="right"/>
              <w:rPr>
                <w:rFonts w:ascii="Arial" w:hAnsi="Arial" w:cs="Arial"/>
                <w:color w:val="000000"/>
                <w:sz w:val="18"/>
                <w:szCs w:val="18"/>
                <w:lang w:val="es-ES" w:eastAsia="es-ES"/>
              </w:rPr>
            </w:pPr>
            <w:r w:rsidRPr="00D3579F">
              <w:rPr>
                <w:rFonts w:ascii="Arial" w:hAnsi="Arial" w:cs="Arial"/>
                <w:color w:val="000000"/>
                <w:sz w:val="18"/>
                <w:szCs w:val="18"/>
                <w:lang w:val="es-ES" w:eastAsia="es-ES"/>
              </w:rPr>
              <w:t>2015</w:t>
            </w:r>
          </w:p>
        </w:tc>
        <w:tc>
          <w:tcPr>
            <w:tcW w:w="874"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AC7529">
            <w:pPr>
              <w:spacing w:after="0"/>
              <w:ind w:left="-81" w:right="-67" w:firstLine="0"/>
              <w:jc w:val="right"/>
              <w:rPr>
                <w:rFonts w:ascii="Arial" w:hAnsi="Arial" w:cs="Arial"/>
                <w:color w:val="000000"/>
                <w:sz w:val="18"/>
                <w:szCs w:val="18"/>
                <w:lang w:val="es-ES" w:eastAsia="es-ES"/>
              </w:rPr>
            </w:pPr>
            <w:r w:rsidRPr="00D3579F">
              <w:rPr>
                <w:rFonts w:ascii="Arial" w:hAnsi="Arial" w:cs="Arial"/>
                <w:color w:val="000000"/>
                <w:sz w:val="18"/>
                <w:szCs w:val="18"/>
                <w:lang w:val="es-ES" w:eastAsia="es-ES"/>
              </w:rPr>
              <w:t xml:space="preserve">2016  </w:t>
            </w:r>
          </w:p>
        </w:tc>
        <w:tc>
          <w:tcPr>
            <w:tcW w:w="930"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AC7529">
            <w:pPr>
              <w:spacing w:after="0"/>
              <w:ind w:left="-81" w:right="-67" w:firstLine="0"/>
              <w:jc w:val="right"/>
              <w:rPr>
                <w:rFonts w:ascii="Arial" w:hAnsi="Arial" w:cs="Arial"/>
                <w:color w:val="000000"/>
                <w:sz w:val="18"/>
                <w:szCs w:val="18"/>
                <w:lang w:val="es-ES" w:eastAsia="es-ES"/>
              </w:rPr>
            </w:pPr>
            <w:r w:rsidRPr="00D3579F">
              <w:rPr>
                <w:rFonts w:ascii="Arial" w:hAnsi="Arial" w:cs="Arial"/>
                <w:color w:val="000000"/>
                <w:sz w:val="18"/>
                <w:szCs w:val="18"/>
                <w:lang w:val="es-ES" w:eastAsia="es-ES"/>
              </w:rPr>
              <w:t xml:space="preserve">2017  </w:t>
            </w:r>
          </w:p>
        </w:tc>
        <w:tc>
          <w:tcPr>
            <w:tcW w:w="1015"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Default="000C076E" w:rsidP="00B66E05">
            <w:pPr>
              <w:spacing w:after="0"/>
              <w:ind w:firstLine="0"/>
              <w:jc w:val="right"/>
              <w:rPr>
                <w:rFonts w:ascii="Arial" w:hAnsi="Arial" w:cs="Arial"/>
                <w:color w:val="000000"/>
                <w:sz w:val="18"/>
                <w:szCs w:val="18"/>
                <w:lang w:val="es-ES" w:eastAsia="es-ES"/>
              </w:rPr>
            </w:pPr>
            <w:r w:rsidRPr="00D3579F">
              <w:rPr>
                <w:rFonts w:ascii="Arial" w:hAnsi="Arial" w:cs="Arial"/>
                <w:color w:val="000000"/>
                <w:sz w:val="18"/>
                <w:szCs w:val="18"/>
                <w:lang w:val="es-ES" w:eastAsia="es-ES"/>
              </w:rPr>
              <w:t xml:space="preserve">Total </w:t>
            </w:r>
          </w:p>
          <w:p w:rsidR="000C076E" w:rsidRPr="00D3579F" w:rsidRDefault="000C076E" w:rsidP="00B66E05">
            <w:pPr>
              <w:spacing w:after="0"/>
              <w:ind w:firstLine="0"/>
              <w:jc w:val="right"/>
              <w:rPr>
                <w:rFonts w:ascii="Arial" w:hAnsi="Arial" w:cs="Arial"/>
                <w:color w:val="000000"/>
                <w:sz w:val="18"/>
                <w:szCs w:val="18"/>
                <w:lang w:val="es-ES" w:eastAsia="es-ES"/>
              </w:rPr>
            </w:pPr>
            <w:r w:rsidRPr="00D3579F">
              <w:rPr>
                <w:rFonts w:ascii="Arial" w:hAnsi="Arial" w:cs="Arial"/>
                <w:color w:val="000000"/>
                <w:sz w:val="18"/>
                <w:szCs w:val="18"/>
                <w:lang w:val="es-ES" w:eastAsia="es-ES"/>
              </w:rPr>
              <w:t>2013-2017</w:t>
            </w:r>
          </w:p>
        </w:tc>
      </w:tr>
      <w:tr w:rsidR="00AC7529" w:rsidRPr="00D3579F" w:rsidTr="00AC7529">
        <w:trPr>
          <w:cantSplit/>
          <w:trHeight w:val="198"/>
          <w:jc w:val="center"/>
        </w:trPr>
        <w:tc>
          <w:tcPr>
            <w:tcW w:w="3509" w:type="dxa"/>
            <w:tcBorders>
              <w:top w:val="single" w:sz="4"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lang w:val="es-ES" w:eastAsia="es-ES"/>
              </w:rPr>
            </w:pPr>
            <w:r w:rsidRPr="00D3579F">
              <w:rPr>
                <w:rFonts w:ascii="Arial Narrow" w:hAnsi="Arial Narrow"/>
                <w:color w:val="000000"/>
                <w:lang w:val="es-ES" w:eastAsia="es-ES"/>
              </w:rPr>
              <w:t>A</w:t>
            </w:r>
            <w:r>
              <w:rPr>
                <w:rFonts w:ascii="Arial Narrow" w:hAnsi="Arial Narrow"/>
                <w:color w:val="000000"/>
                <w:lang w:val="es-ES" w:eastAsia="es-ES"/>
              </w:rPr>
              <w:t>EK</w:t>
            </w:r>
          </w:p>
        </w:tc>
        <w:tc>
          <w:tcPr>
            <w:tcW w:w="787" w:type="dxa"/>
            <w:tcBorders>
              <w:top w:val="single" w:sz="4"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58  </w:t>
            </w:r>
          </w:p>
        </w:tc>
        <w:tc>
          <w:tcPr>
            <w:tcW w:w="874" w:type="dxa"/>
            <w:tcBorders>
              <w:top w:val="single" w:sz="4"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58  </w:t>
            </w:r>
          </w:p>
        </w:tc>
        <w:tc>
          <w:tcPr>
            <w:tcW w:w="874" w:type="dxa"/>
            <w:tcBorders>
              <w:top w:val="single" w:sz="4"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117.320  </w:t>
            </w:r>
          </w:p>
        </w:tc>
        <w:tc>
          <w:tcPr>
            <w:tcW w:w="874" w:type="dxa"/>
            <w:tcBorders>
              <w:top w:val="single" w:sz="4"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360.550  </w:t>
            </w:r>
          </w:p>
        </w:tc>
        <w:tc>
          <w:tcPr>
            <w:tcW w:w="930" w:type="dxa"/>
            <w:tcBorders>
              <w:top w:val="single" w:sz="4"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612.499  </w:t>
            </w:r>
          </w:p>
        </w:tc>
        <w:tc>
          <w:tcPr>
            <w:tcW w:w="1015" w:type="dxa"/>
            <w:tcBorders>
              <w:top w:val="single" w:sz="4"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lang w:val="es-ES" w:eastAsia="es-ES"/>
              </w:rPr>
            </w:pPr>
            <w:r w:rsidRPr="00D3579F">
              <w:rPr>
                <w:rFonts w:ascii="Arial Narrow" w:hAnsi="Arial Narrow"/>
                <w:color w:val="000000"/>
                <w:lang w:val="es-ES" w:eastAsia="es-ES"/>
              </w:rPr>
              <w:t xml:space="preserve">1.090.485  </w:t>
            </w:r>
          </w:p>
        </w:tc>
      </w:tr>
      <w:tr w:rsidR="00AC7529" w:rsidRPr="00D3579F" w:rsidTr="00AC7529">
        <w:trPr>
          <w:cantSplit/>
          <w:trHeight w:val="198"/>
          <w:jc w:val="center"/>
        </w:trPr>
        <w:tc>
          <w:tcPr>
            <w:tcW w:w="3509"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lang w:val="es-ES" w:eastAsia="es-ES"/>
              </w:rPr>
            </w:pPr>
            <w:proofErr w:type="spellStart"/>
            <w:r>
              <w:rPr>
                <w:rFonts w:ascii="Arial Narrow" w:hAnsi="Arial Narrow"/>
                <w:color w:val="000000"/>
                <w:lang w:val="es-ES" w:eastAsia="es-ES"/>
              </w:rPr>
              <w:t>Labrit</w:t>
            </w:r>
            <w:proofErr w:type="spellEnd"/>
            <w:r>
              <w:rPr>
                <w:rFonts w:ascii="Arial Narrow" w:hAnsi="Arial Narrow"/>
                <w:color w:val="000000"/>
                <w:lang w:val="es-ES" w:eastAsia="es-ES"/>
              </w:rPr>
              <w:t xml:space="preserve"> P</w:t>
            </w:r>
            <w:r w:rsidRPr="00D3579F">
              <w:rPr>
                <w:rFonts w:ascii="Arial Narrow" w:hAnsi="Arial Narrow"/>
                <w:color w:val="000000"/>
                <w:lang w:val="es-ES" w:eastAsia="es-ES"/>
              </w:rPr>
              <w:t>atrimonio</w:t>
            </w:r>
          </w:p>
        </w:tc>
        <w:tc>
          <w:tcPr>
            <w:tcW w:w="787"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15.916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18.582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53.705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37.441  </w:t>
            </w:r>
          </w:p>
        </w:tc>
        <w:tc>
          <w:tcPr>
            <w:tcW w:w="930"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136.502  </w:t>
            </w:r>
          </w:p>
        </w:tc>
        <w:tc>
          <w:tcPr>
            <w:tcW w:w="1015"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lang w:val="es-ES" w:eastAsia="es-ES"/>
              </w:rPr>
            </w:pPr>
            <w:r w:rsidRPr="00D3579F">
              <w:rPr>
                <w:rFonts w:ascii="Arial Narrow" w:hAnsi="Arial Narrow"/>
                <w:color w:val="000000"/>
                <w:lang w:val="es-ES" w:eastAsia="es-ES"/>
              </w:rPr>
              <w:t xml:space="preserve">262.147  </w:t>
            </w:r>
          </w:p>
        </w:tc>
      </w:tr>
      <w:tr w:rsidR="00AC7529" w:rsidRPr="00D3579F" w:rsidTr="00AC7529">
        <w:trPr>
          <w:cantSplit/>
          <w:trHeight w:val="198"/>
          <w:jc w:val="center"/>
        </w:trPr>
        <w:tc>
          <w:tcPr>
            <w:tcW w:w="3509"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firstLine="0"/>
              <w:jc w:val="left"/>
              <w:rPr>
                <w:rFonts w:ascii="Arial Narrow" w:hAnsi="Arial Narrow"/>
                <w:color w:val="000000"/>
                <w:lang w:val="es-ES" w:eastAsia="es-ES"/>
              </w:rPr>
            </w:pPr>
            <w:r>
              <w:rPr>
                <w:rFonts w:ascii="Arial Narrow" w:hAnsi="Arial Narrow"/>
                <w:color w:val="000000"/>
                <w:lang w:val="es-ES" w:eastAsia="es-ES"/>
              </w:rPr>
              <w:t>Asociación C</w:t>
            </w:r>
            <w:r w:rsidRPr="00D3579F">
              <w:rPr>
                <w:rFonts w:ascii="Arial Narrow" w:hAnsi="Arial Narrow"/>
                <w:color w:val="000000"/>
                <w:lang w:val="es-ES" w:eastAsia="es-ES"/>
              </w:rPr>
              <w:t xml:space="preserve">ultural </w:t>
            </w:r>
            <w:r>
              <w:rPr>
                <w:rFonts w:ascii="Arial Narrow" w:hAnsi="Arial Narrow"/>
                <w:color w:val="000000"/>
                <w:lang w:val="es-ES" w:eastAsia="es-ES"/>
              </w:rPr>
              <w:t>A</w:t>
            </w:r>
            <w:r w:rsidRPr="00D3579F">
              <w:rPr>
                <w:rFonts w:ascii="Arial Narrow" w:hAnsi="Arial Narrow"/>
                <w:color w:val="000000"/>
                <w:lang w:val="es-ES" w:eastAsia="es-ES"/>
              </w:rPr>
              <w:t xml:space="preserve">rturo </w:t>
            </w:r>
            <w:proofErr w:type="spellStart"/>
            <w:r w:rsidR="00D866F2">
              <w:rPr>
                <w:rFonts w:ascii="Arial Narrow" w:hAnsi="Arial Narrow"/>
                <w:color w:val="000000"/>
                <w:lang w:val="es-ES" w:eastAsia="es-ES"/>
              </w:rPr>
              <w:t>Campion</w:t>
            </w:r>
            <w:proofErr w:type="spellEnd"/>
          </w:p>
        </w:tc>
        <w:tc>
          <w:tcPr>
            <w:tcW w:w="787"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13.845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41.117  </w:t>
            </w:r>
          </w:p>
        </w:tc>
        <w:tc>
          <w:tcPr>
            <w:tcW w:w="930"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80.366  </w:t>
            </w:r>
          </w:p>
        </w:tc>
        <w:tc>
          <w:tcPr>
            <w:tcW w:w="1015"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lang w:val="es-ES" w:eastAsia="es-ES"/>
              </w:rPr>
            </w:pPr>
            <w:r w:rsidRPr="00D3579F">
              <w:rPr>
                <w:rFonts w:ascii="Arial Narrow" w:hAnsi="Arial Narrow"/>
                <w:color w:val="000000"/>
                <w:lang w:val="es-ES" w:eastAsia="es-ES"/>
              </w:rPr>
              <w:t xml:space="preserve">135.328  </w:t>
            </w:r>
          </w:p>
        </w:tc>
      </w:tr>
      <w:tr w:rsidR="00AC7529" w:rsidRPr="00D3579F" w:rsidTr="00AC7529">
        <w:trPr>
          <w:cantSplit/>
          <w:trHeight w:val="198"/>
          <w:jc w:val="center"/>
        </w:trPr>
        <w:tc>
          <w:tcPr>
            <w:tcW w:w="3509"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lang w:val="es-ES" w:eastAsia="es-ES"/>
              </w:rPr>
            </w:pPr>
            <w:r>
              <w:rPr>
                <w:rFonts w:ascii="Arial Narrow" w:hAnsi="Arial Narrow"/>
                <w:color w:val="000000"/>
                <w:lang w:val="es-ES" w:eastAsia="es-ES"/>
              </w:rPr>
              <w:t>Fundació</w:t>
            </w:r>
            <w:r w:rsidRPr="00D3579F">
              <w:rPr>
                <w:rFonts w:ascii="Arial Narrow" w:hAnsi="Arial Narrow"/>
                <w:color w:val="000000"/>
                <w:lang w:val="es-ES" w:eastAsia="es-ES"/>
              </w:rPr>
              <w:t xml:space="preserve">n </w:t>
            </w:r>
            <w:proofErr w:type="spellStart"/>
            <w:r>
              <w:rPr>
                <w:rFonts w:ascii="Arial Narrow" w:hAnsi="Arial Narrow"/>
                <w:color w:val="000000"/>
                <w:lang w:val="es-ES" w:eastAsia="es-ES"/>
              </w:rPr>
              <w:t>S</w:t>
            </w:r>
            <w:r w:rsidRPr="00D3579F">
              <w:rPr>
                <w:rFonts w:ascii="Arial Narrow" w:hAnsi="Arial Narrow"/>
                <w:color w:val="000000"/>
                <w:lang w:val="es-ES" w:eastAsia="es-ES"/>
              </w:rPr>
              <w:t>ahats</w:t>
            </w:r>
            <w:proofErr w:type="spellEnd"/>
          </w:p>
        </w:tc>
        <w:tc>
          <w:tcPr>
            <w:tcW w:w="787"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11.489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31.945  </w:t>
            </w:r>
          </w:p>
        </w:tc>
        <w:tc>
          <w:tcPr>
            <w:tcW w:w="930"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55.829  </w:t>
            </w:r>
          </w:p>
        </w:tc>
        <w:tc>
          <w:tcPr>
            <w:tcW w:w="1015"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lang w:val="es-ES" w:eastAsia="es-ES"/>
              </w:rPr>
            </w:pPr>
            <w:r w:rsidRPr="00D3579F">
              <w:rPr>
                <w:rFonts w:ascii="Arial Narrow" w:hAnsi="Arial Narrow"/>
                <w:color w:val="000000"/>
                <w:lang w:val="es-ES" w:eastAsia="es-ES"/>
              </w:rPr>
              <w:t xml:space="preserve">99.263  </w:t>
            </w:r>
          </w:p>
        </w:tc>
      </w:tr>
      <w:tr w:rsidR="00AC7529" w:rsidRPr="00D3579F" w:rsidTr="00AC7529">
        <w:trPr>
          <w:cantSplit/>
          <w:trHeight w:val="198"/>
          <w:jc w:val="center"/>
        </w:trPr>
        <w:tc>
          <w:tcPr>
            <w:tcW w:w="3509"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lang w:val="es-ES" w:eastAsia="es-ES"/>
              </w:rPr>
            </w:pPr>
            <w:proofErr w:type="spellStart"/>
            <w:r>
              <w:rPr>
                <w:rFonts w:ascii="Arial Narrow" w:hAnsi="Arial Narrow"/>
                <w:color w:val="000000"/>
                <w:lang w:val="es-ES" w:eastAsia="es-ES"/>
              </w:rPr>
              <w:t>Topagunea</w:t>
            </w:r>
            <w:proofErr w:type="spellEnd"/>
            <w:r>
              <w:rPr>
                <w:rFonts w:ascii="Arial Narrow" w:hAnsi="Arial Narrow"/>
                <w:color w:val="000000"/>
                <w:lang w:val="es-ES" w:eastAsia="es-ES"/>
              </w:rPr>
              <w:t xml:space="preserve"> E</w:t>
            </w:r>
            <w:r w:rsidRPr="00D3579F">
              <w:rPr>
                <w:rFonts w:ascii="Arial Narrow" w:hAnsi="Arial Narrow"/>
                <w:color w:val="000000"/>
                <w:lang w:val="es-ES" w:eastAsia="es-ES"/>
              </w:rPr>
              <w:t xml:space="preserve">uskara </w:t>
            </w:r>
            <w:proofErr w:type="spellStart"/>
            <w:r>
              <w:rPr>
                <w:rFonts w:ascii="Arial Narrow" w:hAnsi="Arial Narrow"/>
                <w:color w:val="000000"/>
                <w:lang w:val="es-ES" w:eastAsia="es-ES"/>
              </w:rPr>
              <w:t>E</w:t>
            </w:r>
            <w:r w:rsidRPr="00D3579F">
              <w:rPr>
                <w:rFonts w:ascii="Arial Narrow" w:hAnsi="Arial Narrow"/>
                <w:color w:val="000000"/>
                <w:lang w:val="es-ES" w:eastAsia="es-ES"/>
              </w:rPr>
              <w:t>lkarteen</w:t>
            </w:r>
            <w:proofErr w:type="spellEnd"/>
            <w:r w:rsidRPr="00D3579F">
              <w:rPr>
                <w:rFonts w:ascii="Arial Narrow" w:hAnsi="Arial Narrow"/>
                <w:color w:val="000000"/>
                <w:lang w:val="es-ES" w:eastAsia="es-ES"/>
              </w:rPr>
              <w:t xml:space="preserve"> </w:t>
            </w:r>
            <w:proofErr w:type="spellStart"/>
            <w:r>
              <w:rPr>
                <w:rFonts w:ascii="Arial Narrow" w:hAnsi="Arial Narrow"/>
                <w:color w:val="000000"/>
                <w:lang w:val="es-ES" w:eastAsia="es-ES"/>
              </w:rPr>
              <w:t>F</w:t>
            </w:r>
            <w:r w:rsidRPr="00D3579F">
              <w:rPr>
                <w:rFonts w:ascii="Arial Narrow" w:hAnsi="Arial Narrow"/>
                <w:color w:val="000000"/>
                <w:lang w:val="es-ES" w:eastAsia="es-ES"/>
              </w:rPr>
              <w:t>ederazioa</w:t>
            </w:r>
            <w:proofErr w:type="spellEnd"/>
          </w:p>
        </w:tc>
        <w:tc>
          <w:tcPr>
            <w:tcW w:w="787"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11.890  </w:t>
            </w:r>
          </w:p>
        </w:tc>
        <w:tc>
          <w:tcPr>
            <w:tcW w:w="930"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63.697  </w:t>
            </w:r>
          </w:p>
        </w:tc>
        <w:tc>
          <w:tcPr>
            <w:tcW w:w="1015"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lang w:val="es-ES" w:eastAsia="es-ES"/>
              </w:rPr>
            </w:pPr>
            <w:r w:rsidRPr="00D3579F">
              <w:rPr>
                <w:rFonts w:ascii="Arial Narrow" w:hAnsi="Arial Narrow"/>
                <w:color w:val="000000"/>
                <w:lang w:val="es-ES" w:eastAsia="es-ES"/>
              </w:rPr>
              <w:t xml:space="preserve">75.587  </w:t>
            </w:r>
          </w:p>
        </w:tc>
      </w:tr>
      <w:tr w:rsidR="00AC7529" w:rsidRPr="00D3579F" w:rsidTr="00AC7529">
        <w:trPr>
          <w:cantSplit/>
          <w:trHeight w:val="198"/>
          <w:jc w:val="center"/>
        </w:trPr>
        <w:tc>
          <w:tcPr>
            <w:tcW w:w="3509"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lang w:val="es-ES" w:eastAsia="es-ES"/>
              </w:rPr>
            </w:pPr>
            <w:r>
              <w:rPr>
                <w:rFonts w:ascii="Arial Narrow" w:hAnsi="Arial Narrow"/>
                <w:color w:val="000000"/>
                <w:lang w:val="es-ES" w:eastAsia="es-ES"/>
              </w:rPr>
              <w:t xml:space="preserve">Cooperativa </w:t>
            </w:r>
            <w:proofErr w:type="spellStart"/>
            <w:r>
              <w:rPr>
                <w:rFonts w:ascii="Arial Narrow" w:hAnsi="Arial Narrow"/>
                <w:color w:val="000000"/>
                <w:lang w:val="es-ES" w:eastAsia="es-ES"/>
              </w:rPr>
              <w:t>K</w:t>
            </w:r>
            <w:r w:rsidRPr="00D3579F">
              <w:rPr>
                <w:rFonts w:ascii="Arial Narrow" w:hAnsi="Arial Narrow"/>
                <w:color w:val="000000"/>
                <w:lang w:val="es-ES" w:eastAsia="es-ES"/>
              </w:rPr>
              <w:t>atakrak</w:t>
            </w:r>
            <w:proofErr w:type="spellEnd"/>
          </w:p>
        </w:tc>
        <w:tc>
          <w:tcPr>
            <w:tcW w:w="787"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35.000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12.000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1.107  </w:t>
            </w:r>
          </w:p>
        </w:tc>
        <w:tc>
          <w:tcPr>
            <w:tcW w:w="930"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21.642  </w:t>
            </w:r>
          </w:p>
        </w:tc>
        <w:tc>
          <w:tcPr>
            <w:tcW w:w="1015"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lang w:val="es-ES" w:eastAsia="es-ES"/>
              </w:rPr>
            </w:pPr>
            <w:r w:rsidRPr="00D3579F">
              <w:rPr>
                <w:rFonts w:ascii="Arial Narrow" w:hAnsi="Arial Narrow"/>
                <w:color w:val="000000"/>
                <w:lang w:val="es-ES" w:eastAsia="es-ES"/>
              </w:rPr>
              <w:t xml:space="preserve">69.749  </w:t>
            </w:r>
          </w:p>
        </w:tc>
      </w:tr>
      <w:tr w:rsidR="00AC7529" w:rsidRPr="00D3579F" w:rsidTr="00AC7529">
        <w:trPr>
          <w:cantSplit/>
          <w:trHeight w:val="198"/>
          <w:jc w:val="center"/>
        </w:trPr>
        <w:tc>
          <w:tcPr>
            <w:tcW w:w="3509"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lang w:val="es-ES" w:eastAsia="es-ES"/>
              </w:rPr>
            </w:pPr>
            <w:proofErr w:type="spellStart"/>
            <w:r>
              <w:rPr>
                <w:rFonts w:ascii="Arial Narrow" w:hAnsi="Arial Narrow"/>
                <w:color w:val="000000"/>
                <w:lang w:val="es-ES" w:eastAsia="es-ES"/>
              </w:rPr>
              <w:t>Bortzirietako</w:t>
            </w:r>
            <w:proofErr w:type="spellEnd"/>
            <w:r>
              <w:rPr>
                <w:rFonts w:ascii="Arial Narrow" w:hAnsi="Arial Narrow"/>
                <w:color w:val="000000"/>
                <w:lang w:val="es-ES" w:eastAsia="es-ES"/>
              </w:rPr>
              <w:t xml:space="preserve"> </w:t>
            </w:r>
            <w:proofErr w:type="spellStart"/>
            <w:r>
              <w:rPr>
                <w:rFonts w:ascii="Arial Narrow" w:hAnsi="Arial Narrow"/>
                <w:color w:val="000000"/>
                <w:lang w:val="es-ES" w:eastAsia="es-ES"/>
              </w:rPr>
              <w:t>E</w:t>
            </w:r>
            <w:r w:rsidRPr="00D3579F">
              <w:rPr>
                <w:rFonts w:ascii="Arial Narrow" w:hAnsi="Arial Narrow"/>
                <w:color w:val="000000"/>
                <w:lang w:val="es-ES" w:eastAsia="es-ES"/>
              </w:rPr>
              <w:t>uskaltegia</w:t>
            </w:r>
            <w:proofErr w:type="spellEnd"/>
            <w:r w:rsidRPr="00D3579F">
              <w:rPr>
                <w:rFonts w:ascii="Arial Narrow" w:hAnsi="Arial Narrow"/>
                <w:color w:val="000000"/>
                <w:lang w:val="es-ES" w:eastAsia="es-ES"/>
              </w:rPr>
              <w:t xml:space="preserve"> </w:t>
            </w:r>
            <w:r w:rsidR="00D866F2">
              <w:rPr>
                <w:rFonts w:ascii="Arial Narrow" w:hAnsi="Arial Narrow"/>
                <w:color w:val="000000"/>
                <w:lang w:val="es-ES" w:eastAsia="es-ES"/>
              </w:rPr>
              <w:t>IKA</w:t>
            </w:r>
          </w:p>
        </w:tc>
        <w:tc>
          <w:tcPr>
            <w:tcW w:w="787"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3.360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12.292  </w:t>
            </w:r>
          </w:p>
        </w:tc>
        <w:tc>
          <w:tcPr>
            <w:tcW w:w="930"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22.021  </w:t>
            </w:r>
          </w:p>
        </w:tc>
        <w:tc>
          <w:tcPr>
            <w:tcW w:w="1015"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lang w:val="es-ES" w:eastAsia="es-ES"/>
              </w:rPr>
            </w:pPr>
            <w:r w:rsidRPr="00D3579F">
              <w:rPr>
                <w:rFonts w:ascii="Arial Narrow" w:hAnsi="Arial Narrow"/>
                <w:color w:val="000000"/>
                <w:lang w:val="es-ES" w:eastAsia="es-ES"/>
              </w:rPr>
              <w:t xml:space="preserve">37.673  </w:t>
            </w:r>
          </w:p>
        </w:tc>
      </w:tr>
      <w:tr w:rsidR="00AC7529" w:rsidRPr="00D3579F" w:rsidTr="00AC7529">
        <w:trPr>
          <w:cantSplit/>
          <w:trHeight w:val="198"/>
          <w:jc w:val="center"/>
        </w:trPr>
        <w:tc>
          <w:tcPr>
            <w:tcW w:w="3509"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lang w:val="es-ES" w:eastAsia="es-ES"/>
              </w:rPr>
            </w:pPr>
            <w:r w:rsidRPr="00D3579F">
              <w:rPr>
                <w:rFonts w:ascii="Arial Narrow" w:hAnsi="Arial Narrow"/>
                <w:color w:val="000000"/>
                <w:lang w:val="es-ES" w:eastAsia="es-ES"/>
              </w:rPr>
              <w:t>Federaci</w:t>
            </w:r>
            <w:r>
              <w:rPr>
                <w:rFonts w:ascii="Arial Narrow" w:hAnsi="Arial Narrow"/>
                <w:color w:val="000000"/>
                <w:lang w:val="es-ES" w:eastAsia="es-ES"/>
              </w:rPr>
              <w:t>ón Navarra de I</w:t>
            </w:r>
            <w:r w:rsidRPr="00D3579F">
              <w:rPr>
                <w:rFonts w:ascii="Arial Narrow" w:hAnsi="Arial Narrow"/>
                <w:color w:val="000000"/>
                <w:lang w:val="es-ES" w:eastAsia="es-ES"/>
              </w:rPr>
              <w:t>kastolas</w:t>
            </w:r>
          </w:p>
        </w:tc>
        <w:tc>
          <w:tcPr>
            <w:tcW w:w="787"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1.000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4.101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930"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23.161  </w:t>
            </w:r>
          </w:p>
        </w:tc>
        <w:tc>
          <w:tcPr>
            <w:tcW w:w="1015"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lang w:val="es-ES" w:eastAsia="es-ES"/>
              </w:rPr>
            </w:pPr>
            <w:r w:rsidRPr="00D3579F">
              <w:rPr>
                <w:rFonts w:ascii="Arial Narrow" w:hAnsi="Arial Narrow"/>
                <w:color w:val="000000"/>
                <w:lang w:val="es-ES" w:eastAsia="es-ES"/>
              </w:rPr>
              <w:t xml:space="preserve">28.262  </w:t>
            </w:r>
          </w:p>
        </w:tc>
      </w:tr>
      <w:tr w:rsidR="00AC7529" w:rsidRPr="00D3579F" w:rsidTr="00AC7529">
        <w:trPr>
          <w:cantSplit/>
          <w:trHeight w:val="198"/>
          <w:jc w:val="center"/>
        </w:trPr>
        <w:tc>
          <w:tcPr>
            <w:tcW w:w="3509"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lang w:val="es-ES" w:eastAsia="es-ES"/>
              </w:rPr>
            </w:pPr>
            <w:proofErr w:type="spellStart"/>
            <w:r>
              <w:rPr>
                <w:rFonts w:ascii="Arial Narrow" w:hAnsi="Arial Narrow"/>
                <w:color w:val="000000"/>
                <w:lang w:val="es-ES" w:eastAsia="es-ES"/>
              </w:rPr>
              <w:t>Hizkuntz</w:t>
            </w:r>
            <w:proofErr w:type="spellEnd"/>
            <w:r>
              <w:rPr>
                <w:rFonts w:ascii="Arial Narrow" w:hAnsi="Arial Narrow"/>
                <w:color w:val="000000"/>
                <w:lang w:val="es-ES" w:eastAsia="es-ES"/>
              </w:rPr>
              <w:t xml:space="preserve"> </w:t>
            </w:r>
            <w:proofErr w:type="spellStart"/>
            <w:r>
              <w:rPr>
                <w:rFonts w:ascii="Arial Narrow" w:hAnsi="Arial Narrow"/>
                <w:color w:val="000000"/>
                <w:lang w:val="es-ES" w:eastAsia="es-ES"/>
              </w:rPr>
              <w:t>E</w:t>
            </w:r>
            <w:r w:rsidRPr="00D3579F">
              <w:rPr>
                <w:rFonts w:ascii="Arial Narrow" w:hAnsi="Arial Narrow"/>
                <w:color w:val="000000"/>
                <w:lang w:val="es-ES" w:eastAsia="es-ES"/>
              </w:rPr>
              <w:t>skubideen</w:t>
            </w:r>
            <w:proofErr w:type="spellEnd"/>
            <w:r w:rsidRPr="00D3579F">
              <w:rPr>
                <w:rFonts w:ascii="Arial Narrow" w:hAnsi="Arial Narrow"/>
                <w:color w:val="000000"/>
                <w:lang w:val="es-ES" w:eastAsia="es-ES"/>
              </w:rPr>
              <w:t xml:space="preserve"> </w:t>
            </w:r>
            <w:proofErr w:type="spellStart"/>
            <w:r>
              <w:rPr>
                <w:rFonts w:ascii="Arial Narrow" w:hAnsi="Arial Narrow"/>
                <w:color w:val="000000"/>
                <w:lang w:val="es-ES" w:eastAsia="es-ES"/>
              </w:rPr>
              <w:t>B</w:t>
            </w:r>
            <w:r w:rsidRPr="00D3579F">
              <w:rPr>
                <w:rFonts w:ascii="Arial Narrow" w:hAnsi="Arial Narrow"/>
                <w:color w:val="000000"/>
                <w:lang w:val="es-ES" w:eastAsia="es-ES"/>
              </w:rPr>
              <w:t>ehatokia</w:t>
            </w:r>
            <w:proofErr w:type="spellEnd"/>
          </w:p>
        </w:tc>
        <w:tc>
          <w:tcPr>
            <w:tcW w:w="787"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500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8.398  </w:t>
            </w:r>
          </w:p>
        </w:tc>
        <w:tc>
          <w:tcPr>
            <w:tcW w:w="930"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9.555  </w:t>
            </w:r>
          </w:p>
        </w:tc>
        <w:tc>
          <w:tcPr>
            <w:tcW w:w="1015"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lang w:val="es-ES" w:eastAsia="es-ES"/>
              </w:rPr>
            </w:pPr>
            <w:r w:rsidRPr="00D3579F">
              <w:rPr>
                <w:rFonts w:ascii="Arial Narrow" w:hAnsi="Arial Narrow"/>
                <w:color w:val="000000"/>
                <w:lang w:val="es-ES" w:eastAsia="es-ES"/>
              </w:rPr>
              <w:t xml:space="preserve">18.452  </w:t>
            </w:r>
          </w:p>
        </w:tc>
      </w:tr>
      <w:tr w:rsidR="00AC7529" w:rsidRPr="00D3579F" w:rsidTr="00AC7529">
        <w:trPr>
          <w:cantSplit/>
          <w:trHeight w:val="198"/>
          <w:jc w:val="center"/>
        </w:trPr>
        <w:tc>
          <w:tcPr>
            <w:tcW w:w="3509"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lang w:val="es-ES" w:eastAsia="es-ES"/>
              </w:rPr>
            </w:pPr>
            <w:r>
              <w:rPr>
                <w:rFonts w:ascii="Arial Narrow" w:hAnsi="Arial Narrow"/>
                <w:color w:val="000000"/>
                <w:lang w:val="es-ES" w:eastAsia="es-ES"/>
              </w:rPr>
              <w:t xml:space="preserve">Asociación </w:t>
            </w:r>
            <w:proofErr w:type="spellStart"/>
            <w:r>
              <w:rPr>
                <w:rFonts w:ascii="Arial Narrow" w:hAnsi="Arial Narrow"/>
                <w:color w:val="000000"/>
                <w:lang w:val="es-ES" w:eastAsia="es-ES"/>
              </w:rPr>
              <w:t>L</w:t>
            </w:r>
            <w:r w:rsidRPr="00D3579F">
              <w:rPr>
                <w:rFonts w:ascii="Arial Narrow" w:hAnsi="Arial Narrow"/>
                <w:color w:val="000000"/>
                <w:lang w:val="es-ES" w:eastAsia="es-ES"/>
              </w:rPr>
              <w:t>eitzako</w:t>
            </w:r>
            <w:proofErr w:type="spellEnd"/>
            <w:r w:rsidRPr="00D3579F">
              <w:rPr>
                <w:rFonts w:ascii="Arial Narrow" w:hAnsi="Arial Narrow"/>
                <w:color w:val="000000"/>
                <w:lang w:val="es-ES" w:eastAsia="es-ES"/>
              </w:rPr>
              <w:t xml:space="preserve"> </w:t>
            </w:r>
            <w:proofErr w:type="spellStart"/>
            <w:r>
              <w:rPr>
                <w:rFonts w:ascii="Arial Narrow" w:hAnsi="Arial Narrow"/>
                <w:color w:val="000000"/>
                <w:lang w:val="es-ES" w:eastAsia="es-ES"/>
              </w:rPr>
              <w:t>E</w:t>
            </w:r>
            <w:r w:rsidRPr="00D3579F">
              <w:rPr>
                <w:rFonts w:ascii="Arial Narrow" w:hAnsi="Arial Narrow"/>
                <w:color w:val="000000"/>
                <w:lang w:val="es-ES" w:eastAsia="es-ES"/>
              </w:rPr>
              <w:t>uskaltegia</w:t>
            </w:r>
            <w:proofErr w:type="spellEnd"/>
          </w:p>
        </w:tc>
        <w:tc>
          <w:tcPr>
            <w:tcW w:w="787"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2.510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2.128  </w:t>
            </w:r>
          </w:p>
        </w:tc>
        <w:tc>
          <w:tcPr>
            <w:tcW w:w="930"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11.706  </w:t>
            </w:r>
          </w:p>
        </w:tc>
        <w:tc>
          <w:tcPr>
            <w:tcW w:w="1015"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lang w:val="es-ES" w:eastAsia="es-ES"/>
              </w:rPr>
            </w:pPr>
            <w:r w:rsidRPr="00D3579F">
              <w:rPr>
                <w:rFonts w:ascii="Arial Narrow" w:hAnsi="Arial Narrow"/>
                <w:color w:val="000000"/>
                <w:lang w:val="es-ES" w:eastAsia="es-ES"/>
              </w:rPr>
              <w:t xml:space="preserve">16.343  </w:t>
            </w:r>
          </w:p>
        </w:tc>
      </w:tr>
      <w:tr w:rsidR="00AC7529" w:rsidRPr="00D3579F" w:rsidTr="00AC7529">
        <w:trPr>
          <w:cantSplit/>
          <w:trHeight w:val="198"/>
          <w:jc w:val="center"/>
        </w:trPr>
        <w:tc>
          <w:tcPr>
            <w:tcW w:w="3509"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lang w:val="es-ES" w:eastAsia="es-ES"/>
              </w:rPr>
            </w:pPr>
            <w:r>
              <w:rPr>
                <w:rFonts w:ascii="Arial Narrow" w:hAnsi="Arial Narrow"/>
                <w:color w:val="000000"/>
                <w:lang w:val="es-ES" w:eastAsia="es-ES"/>
              </w:rPr>
              <w:t>Asociación C</w:t>
            </w:r>
            <w:r w:rsidRPr="00D3579F">
              <w:rPr>
                <w:rFonts w:ascii="Arial Narrow" w:hAnsi="Arial Narrow"/>
                <w:color w:val="000000"/>
                <w:lang w:val="es-ES" w:eastAsia="es-ES"/>
              </w:rPr>
              <w:t xml:space="preserve">ultural </w:t>
            </w:r>
            <w:proofErr w:type="spellStart"/>
            <w:r>
              <w:rPr>
                <w:rFonts w:ascii="Arial Narrow" w:hAnsi="Arial Narrow"/>
                <w:color w:val="000000"/>
                <w:lang w:val="es-ES" w:eastAsia="es-ES"/>
              </w:rPr>
              <w:t>G</w:t>
            </w:r>
            <w:r w:rsidRPr="00D3579F">
              <w:rPr>
                <w:rFonts w:ascii="Arial Narrow" w:hAnsi="Arial Narrow"/>
                <w:color w:val="000000"/>
                <w:lang w:val="es-ES" w:eastAsia="es-ES"/>
              </w:rPr>
              <w:t>aueskola</w:t>
            </w:r>
            <w:proofErr w:type="spellEnd"/>
            <w:r w:rsidRPr="00D3579F">
              <w:rPr>
                <w:rFonts w:ascii="Arial Narrow" w:hAnsi="Arial Narrow"/>
                <w:color w:val="000000"/>
                <w:lang w:val="es-ES" w:eastAsia="es-ES"/>
              </w:rPr>
              <w:t xml:space="preserve"> </w:t>
            </w:r>
            <w:proofErr w:type="spellStart"/>
            <w:r>
              <w:rPr>
                <w:rFonts w:ascii="Arial Narrow" w:hAnsi="Arial Narrow"/>
                <w:color w:val="000000"/>
                <w:lang w:val="es-ES" w:eastAsia="es-ES"/>
              </w:rPr>
              <w:t>B</w:t>
            </w:r>
            <w:r w:rsidRPr="00D3579F">
              <w:rPr>
                <w:rFonts w:ascii="Arial Narrow" w:hAnsi="Arial Narrow"/>
                <w:color w:val="000000"/>
                <w:lang w:val="es-ES" w:eastAsia="es-ES"/>
              </w:rPr>
              <w:t>urlata</w:t>
            </w:r>
            <w:proofErr w:type="spellEnd"/>
          </w:p>
        </w:tc>
        <w:tc>
          <w:tcPr>
            <w:tcW w:w="787"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2.620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6.484  </w:t>
            </w:r>
          </w:p>
        </w:tc>
        <w:tc>
          <w:tcPr>
            <w:tcW w:w="930"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5.042  </w:t>
            </w:r>
          </w:p>
        </w:tc>
        <w:tc>
          <w:tcPr>
            <w:tcW w:w="1015"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lang w:val="es-ES" w:eastAsia="es-ES"/>
              </w:rPr>
            </w:pPr>
            <w:r w:rsidRPr="00D3579F">
              <w:rPr>
                <w:rFonts w:ascii="Arial Narrow" w:hAnsi="Arial Narrow"/>
                <w:color w:val="000000"/>
                <w:lang w:val="es-ES" w:eastAsia="es-ES"/>
              </w:rPr>
              <w:t xml:space="preserve">14.146  </w:t>
            </w:r>
          </w:p>
        </w:tc>
      </w:tr>
      <w:tr w:rsidR="00AC7529" w:rsidRPr="00D3579F" w:rsidTr="00AC7529">
        <w:trPr>
          <w:cantSplit/>
          <w:trHeight w:val="198"/>
          <w:jc w:val="center"/>
        </w:trPr>
        <w:tc>
          <w:tcPr>
            <w:tcW w:w="3509"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lang w:val="es-ES" w:eastAsia="es-ES"/>
              </w:rPr>
            </w:pPr>
            <w:r w:rsidRPr="00D3579F">
              <w:rPr>
                <w:rFonts w:ascii="Arial Narrow" w:hAnsi="Arial Narrow"/>
                <w:color w:val="000000"/>
                <w:lang w:val="es-ES" w:eastAsia="es-ES"/>
              </w:rPr>
              <w:t>Asociaci</w:t>
            </w:r>
            <w:r>
              <w:rPr>
                <w:rFonts w:ascii="Arial Narrow" w:hAnsi="Arial Narrow"/>
                <w:color w:val="000000"/>
                <w:lang w:val="es-ES" w:eastAsia="es-ES"/>
              </w:rPr>
              <w:t>ón C</w:t>
            </w:r>
            <w:r w:rsidRPr="00D3579F">
              <w:rPr>
                <w:rFonts w:ascii="Arial Narrow" w:hAnsi="Arial Narrow"/>
                <w:color w:val="000000"/>
                <w:lang w:val="es-ES" w:eastAsia="es-ES"/>
              </w:rPr>
              <w:t xml:space="preserve">ultural </w:t>
            </w:r>
            <w:proofErr w:type="spellStart"/>
            <w:r>
              <w:rPr>
                <w:rFonts w:ascii="Arial Narrow" w:hAnsi="Arial Narrow"/>
                <w:color w:val="000000"/>
                <w:lang w:val="es-ES" w:eastAsia="es-ES"/>
              </w:rPr>
              <w:t>Doneztebeko</w:t>
            </w:r>
            <w:proofErr w:type="spellEnd"/>
            <w:r>
              <w:rPr>
                <w:rFonts w:ascii="Arial Narrow" w:hAnsi="Arial Narrow"/>
                <w:color w:val="000000"/>
                <w:lang w:val="es-ES" w:eastAsia="es-ES"/>
              </w:rPr>
              <w:t xml:space="preserve"> </w:t>
            </w:r>
            <w:proofErr w:type="spellStart"/>
            <w:r>
              <w:rPr>
                <w:rFonts w:ascii="Arial Narrow" w:hAnsi="Arial Narrow"/>
                <w:color w:val="000000"/>
                <w:lang w:val="es-ES" w:eastAsia="es-ES"/>
              </w:rPr>
              <w:t>E</w:t>
            </w:r>
            <w:r w:rsidRPr="00D3579F">
              <w:rPr>
                <w:rFonts w:ascii="Arial Narrow" w:hAnsi="Arial Narrow"/>
                <w:color w:val="000000"/>
                <w:lang w:val="es-ES" w:eastAsia="es-ES"/>
              </w:rPr>
              <w:t>uskaltegia</w:t>
            </w:r>
            <w:proofErr w:type="spellEnd"/>
          </w:p>
        </w:tc>
        <w:tc>
          <w:tcPr>
            <w:tcW w:w="787"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5.581  </w:t>
            </w:r>
          </w:p>
        </w:tc>
        <w:tc>
          <w:tcPr>
            <w:tcW w:w="930"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6.605  </w:t>
            </w:r>
          </w:p>
        </w:tc>
        <w:tc>
          <w:tcPr>
            <w:tcW w:w="1015" w:type="dxa"/>
            <w:tcBorders>
              <w:top w:val="single" w:sz="2" w:space="0" w:color="auto"/>
              <w:left w:val="nil"/>
              <w:bottom w:val="single" w:sz="2"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lang w:val="es-ES" w:eastAsia="es-ES"/>
              </w:rPr>
            </w:pPr>
            <w:r w:rsidRPr="00D3579F">
              <w:rPr>
                <w:rFonts w:ascii="Arial Narrow" w:hAnsi="Arial Narrow"/>
                <w:color w:val="000000"/>
                <w:lang w:val="es-ES" w:eastAsia="es-ES"/>
              </w:rPr>
              <w:t xml:space="preserve">12.186  </w:t>
            </w:r>
          </w:p>
        </w:tc>
      </w:tr>
      <w:tr w:rsidR="00AC7529" w:rsidRPr="00D3579F" w:rsidTr="00AC7529">
        <w:trPr>
          <w:cantSplit/>
          <w:trHeight w:val="198"/>
          <w:jc w:val="center"/>
        </w:trPr>
        <w:tc>
          <w:tcPr>
            <w:tcW w:w="3509" w:type="dxa"/>
            <w:tcBorders>
              <w:top w:val="single" w:sz="2" w:space="0" w:color="auto"/>
              <w:left w:val="nil"/>
              <w:bottom w:val="single" w:sz="4" w:space="0" w:color="auto"/>
              <w:right w:val="nil"/>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lang w:val="es-ES" w:eastAsia="es-ES"/>
              </w:rPr>
            </w:pPr>
            <w:proofErr w:type="spellStart"/>
            <w:r w:rsidRPr="00D3579F">
              <w:rPr>
                <w:rFonts w:ascii="Arial Narrow" w:hAnsi="Arial Narrow"/>
                <w:color w:val="000000"/>
                <w:lang w:val="es-ES" w:eastAsia="es-ES"/>
              </w:rPr>
              <w:t>Ahotsa</w:t>
            </w:r>
            <w:proofErr w:type="spellEnd"/>
          </w:p>
        </w:tc>
        <w:tc>
          <w:tcPr>
            <w:tcW w:w="787" w:type="dxa"/>
            <w:tcBorders>
              <w:top w:val="single" w:sz="2" w:space="0" w:color="auto"/>
              <w:left w:val="nil"/>
              <w:bottom w:val="single" w:sz="4"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4"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4"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874" w:type="dxa"/>
            <w:tcBorders>
              <w:top w:val="single" w:sz="2" w:space="0" w:color="auto"/>
              <w:left w:val="nil"/>
              <w:bottom w:val="single" w:sz="4"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0  </w:t>
            </w:r>
          </w:p>
        </w:tc>
        <w:tc>
          <w:tcPr>
            <w:tcW w:w="930" w:type="dxa"/>
            <w:tcBorders>
              <w:top w:val="single" w:sz="2" w:space="0" w:color="auto"/>
              <w:left w:val="nil"/>
              <w:bottom w:val="single" w:sz="4" w:space="0" w:color="auto"/>
              <w:right w:val="nil"/>
            </w:tcBorders>
            <w:shd w:val="clear" w:color="auto" w:fill="auto"/>
            <w:noWrap/>
            <w:vAlign w:val="center"/>
            <w:hideMark/>
          </w:tcPr>
          <w:p w:rsidR="000C076E" w:rsidRPr="00D3579F" w:rsidRDefault="000C076E" w:rsidP="00AC7529">
            <w:pPr>
              <w:spacing w:after="0"/>
              <w:ind w:left="-81" w:right="-67" w:firstLine="0"/>
              <w:jc w:val="right"/>
              <w:rPr>
                <w:rFonts w:ascii="Arial Narrow" w:hAnsi="Arial Narrow"/>
                <w:color w:val="000000"/>
                <w:lang w:val="es-ES" w:eastAsia="es-ES"/>
              </w:rPr>
            </w:pPr>
            <w:r w:rsidRPr="00D3579F">
              <w:rPr>
                <w:rFonts w:ascii="Arial Narrow" w:hAnsi="Arial Narrow"/>
                <w:color w:val="000000"/>
                <w:lang w:val="es-ES" w:eastAsia="es-ES"/>
              </w:rPr>
              <w:t xml:space="preserve">9.835  </w:t>
            </w:r>
          </w:p>
        </w:tc>
        <w:tc>
          <w:tcPr>
            <w:tcW w:w="1015" w:type="dxa"/>
            <w:tcBorders>
              <w:top w:val="single" w:sz="2" w:space="0" w:color="auto"/>
              <w:left w:val="nil"/>
              <w:bottom w:val="single" w:sz="4" w:space="0" w:color="auto"/>
              <w:right w:val="nil"/>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lang w:val="es-ES" w:eastAsia="es-ES"/>
              </w:rPr>
            </w:pPr>
            <w:r w:rsidRPr="00D3579F">
              <w:rPr>
                <w:rFonts w:ascii="Arial Narrow" w:hAnsi="Arial Narrow"/>
                <w:color w:val="000000"/>
                <w:lang w:val="es-ES" w:eastAsia="es-ES"/>
              </w:rPr>
              <w:t xml:space="preserve">9.835  </w:t>
            </w:r>
          </w:p>
        </w:tc>
      </w:tr>
      <w:tr w:rsidR="00AC7529" w:rsidRPr="00D3579F" w:rsidTr="00AC7529">
        <w:trPr>
          <w:trHeight w:val="255"/>
          <w:jc w:val="center"/>
        </w:trPr>
        <w:tc>
          <w:tcPr>
            <w:tcW w:w="3509"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B66E05">
            <w:pPr>
              <w:spacing w:after="0"/>
              <w:ind w:firstLine="0"/>
              <w:jc w:val="left"/>
              <w:rPr>
                <w:rFonts w:ascii="Arial" w:hAnsi="Arial" w:cs="Arial"/>
                <w:color w:val="000000"/>
                <w:sz w:val="18"/>
                <w:szCs w:val="18"/>
                <w:lang w:val="es-ES" w:eastAsia="es-ES"/>
              </w:rPr>
            </w:pPr>
            <w:r w:rsidRPr="00D3579F">
              <w:rPr>
                <w:rFonts w:ascii="Arial" w:hAnsi="Arial" w:cs="Arial"/>
                <w:color w:val="000000"/>
                <w:sz w:val="18"/>
                <w:szCs w:val="18"/>
                <w:lang w:val="es-ES" w:eastAsia="es-ES"/>
              </w:rPr>
              <w:t>Total</w:t>
            </w:r>
          </w:p>
        </w:tc>
        <w:tc>
          <w:tcPr>
            <w:tcW w:w="787"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AC7529">
            <w:pPr>
              <w:spacing w:after="0"/>
              <w:ind w:left="-81" w:right="-67" w:firstLine="0"/>
              <w:jc w:val="right"/>
              <w:rPr>
                <w:rFonts w:ascii="Arial" w:hAnsi="Arial" w:cs="Arial"/>
                <w:color w:val="000000"/>
                <w:sz w:val="18"/>
                <w:szCs w:val="18"/>
                <w:lang w:val="es-ES" w:eastAsia="es-ES"/>
              </w:rPr>
            </w:pPr>
            <w:r w:rsidRPr="00D3579F">
              <w:rPr>
                <w:rFonts w:ascii="Arial" w:hAnsi="Arial" w:cs="Arial"/>
                <w:color w:val="000000"/>
                <w:sz w:val="18"/>
                <w:szCs w:val="18"/>
                <w:lang w:val="es-ES" w:eastAsia="es-ES"/>
              </w:rPr>
              <w:t xml:space="preserve">17.474  </w:t>
            </w:r>
          </w:p>
        </w:tc>
        <w:tc>
          <w:tcPr>
            <w:tcW w:w="874"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AC7529">
            <w:pPr>
              <w:spacing w:after="0"/>
              <w:ind w:left="-81" w:right="-67" w:firstLine="0"/>
              <w:jc w:val="right"/>
              <w:rPr>
                <w:rFonts w:ascii="Arial" w:hAnsi="Arial" w:cs="Arial"/>
                <w:color w:val="000000"/>
                <w:sz w:val="18"/>
                <w:szCs w:val="18"/>
                <w:lang w:val="es-ES" w:eastAsia="es-ES"/>
              </w:rPr>
            </w:pPr>
            <w:r w:rsidRPr="00D3579F">
              <w:rPr>
                <w:rFonts w:ascii="Arial" w:hAnsi="Arial" w:cs="Arial"/>
                <w:color w:val="000000"/>
                <w:sz w:val="18"/>
                <w:szCs w:val="18"/>
                <w:lang w:val="es-ES" w:eastAsia="es-ES"/>
              </w:rPr>
              <w:t xml:space="preserve">53.640  </w:t>
            </w:r>
          </w:p>
        </w:tc>
        <w:tc>
          <w:tcPr>
            <w:tcW w:w="874"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AC7529">
            <w:pPr>
              <w:spacing w:after="0"/>
              <w:ind w:left="-81" w:right="-67" w:firstLine="0"/>
              <w:jc w:val="right"/>
              <w:rPr>
                <w:rFonts w:ascii="Arial" w:hAnsi="Arial" w:cs="Arial"/>
                <w:color w:val="000000"/>
                <w:sz w:val="18"/>
                <w:szCs w:val="18"/>
                <w:lang w:val="es-ES" w:eastAsia="es-ES"/>
              </w:rPr>
            </w:pPr>
            <w:r w:rsidRPr="00D3579F">
              <w:rPr>
                <w:rFonts w:ascii="Arial" w:hAnsi="Arial" w:cs="Arial"/>
                <w:color w:val="000000"/>
                <w:sz w:val="18"/>
                <w:szCs w:val="18"/>
                <w:lang w:val="es-ES" w:eastAsia="es-ES"/>
              </w:rPr>
              <w:t>220.9</w:t>
            </w:r>
            <w:r>
              <w:rPr>
                <w:rFonts w:ascii="Arial" w:hAnsi="Arial" w:cs="Arial"/>
                <w:color w:val="000000"/>
                <w:sz w:val="18"/>
                <w:szCs w:val="18"/>
                <w:lang w:val="es-ES" w:eastAsia="es-ES"/>
              </w:rPr>
              <w:t>50</w:t>
            </w:r>
            <w:r w:rsidRPr="00D3579F">
              <w:rPr>
                <w:rFonts w:ascii="Arial" w:hAnsi="Arial" w:cs="Arial"/>
                <w:color w:val="000000"/>
                <w:sz w:val="18"/>
                <w:szCs w:val="18"/>
                <w:lang w:val="es-ES" w:eastAsia="es-ES"/>
              </w:rPr>
              <w:t xml:space="preserve">  </w:t>
            </w:r>
          </w:p>
        </w:tc>
        <w:tc>
          <w:tcPr>
            <w:tcW w:w="874"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AC7529">
            <w:pPr>
              <w:spacing w:after="0"/>
              <w:ind w:left="-81" w:right="-67" w:firstLine="0"/>
              <w:jc w:val="right"/>
              <w:rPr>
                <w:rFonts w:ascii="Arial" w:hAnsi="Arial" w:cs="Arial"/>
                <w:color w:val="000000"/>
                <w:sz w:val="18"/>
                <w:szCs w:val="18"/>
                <w:lang w:val="es-ES" w:eastAsia="es-ES"/>
              </w:rPr>
            </w:pPr>
            <w:r w:rsidRPr="00D3579F">
              <w:rPr>
                <w:rFonts w:ascii="Arial" w:hAnsi="Arial" w:cs="Arial"/>
                <w:color w:val="000000"/>
                <w:sz w:val="18"/>
                <w:szCs w:val="18"/>
                <w:lang w:val="es-ES" w:eastAsia="es-ES"/>
              </w:rPr>
              <w:t xml:space="preserve">518.932  </w:t>
            </w:r>
          </w:p>
        </w:tc>
        <w:tc>
          <w:tcPr>
            <w:tcW w:w="930"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AC7529">
            <w:pPr>
              <w:spacing w:after="0"/>
              <w:ind w:left="-81" w:right="-67" w:firstLine="0"/>
              <w:jc w:val="right"/>
              <w:rPr>
                <w:rFonts w:ascii="Arial" w:hAnsi="Arial" w:cs="Arial"/>
                <w:color w:val="000000"/>
                <w:sz w:val="18"/>
                <w:szCs w:val="18"/>
                <w:lang w:val="es-ES" w:eastAsia="es-ES"/>
              </w:rPr>
            </w:pPr>
            <w:r w:rsidRPr="00D3579F">
              <w:rPr>
                <w:rFonts w:ascii="Arial" w:hAnsi="Arial" w:cs="Arial"/>
                <w:color w:val="000000"/>
                <w:sz w:val="18"/>
                <w:szCs w:val="18"/>
                <w:lang w:val="es-ES" w:eastAsia="es-ES"/>
              </w:rPr>
              <w:t xml:space="preserve">1.058.461  </w:t>
            </w:r>
          </w:p>
        </w:tc>
        <w:tc>
          <w:tcPr>
            <w:tcW w:w="1015" w:type="dxa"/>
            <w:tcBorders>
              <w:top w:val="single" w:sz="4" w:space="0" w:color="auto"/>
              <w:left w:val="nil"/>
              <w:bottom w:val="single" w:sz="4" w:space="0" w:color="auto"/>
              <w:right w:val="nil"/>
            </w:tcBorders>
            <w:shd w:val="clear" w:color="auto" w:fill="8DB3E2" w:themeFill="text2" w:themeFillTint="66"/>
            <w:noWrap/>
            <w:vAlign w:val="center"/>
            <w:hideMark/>
          </w:tcPr>
          <w:p w:rsidR="000C076E" w:rsidRPr="00D3579F" w:rsidRDefault="000C076E" w:rsidP="00B66E05">
            <w:pPr>
              <w:spacing w:after="0"/>
              <w:ind w:firstLine="0"/>
              <w:jc w:val="right"/>
              <w:rPr>
                <w:rFonts w:ascii="Arial" w:hAnsi="Arial" w:cs="Arial"/>
                <w:color w:val="000000"/>
                <w:sz w:val="18"/>
                <w:szCs w:val="18"/>
                <w:lang w:val="es-ES" w:eastAsia="es-ES"/>
              </w:rPr>
            </w:pPr>
            <w:r w:rsidRPr="00D3579F">
              <w:rPr>
                <w:rFonts w:ascii="Arial" w:hAnsi="Arial" w:cs="Arial"/>
                <w:color w:val="000000"/>
                <w:sz w:val="18"/>
                <w:szCs w:val="18"/>
                <w:lang w:val="es-ES" w:eastAsia="es-ES"/>
              </w:rPr>
              <w:t xml:space="preserve">1.869.457  </w:t>
            </w:r>
          </w:p>
        </w:tc>
      </w:tr>
    </w:tbl>
    <w:p w:rsidR="000C076E" w:rsidRDefault="000C076E" w:rsidP="000C076E">
      <w:pPr>
        <w:pStyle w:val="texto"/>
        <w:spacing w:before="120" w:after="120"/>
        <w:rPr>
          <w:rFonts w:cs="Arial"/>
        </w:rPr>
      </w:pPr>
    </w:p>
    <w:p w:rsidR="000C076E" w:rsidRDefault="000C076E" w:rsidP="000C076E">
      <w:pPr>
        <w:pStyle w:val="texto"/>
        <w:spacing w:before="120" w:after="120"/>
        <w:rPr>
          <w:rFonts w:cs="Arial"/>
        </w:rPr>
      </w:pPr>
      <w:r>
        <w:rPr>
          <w:rFonts w:cs="Arial"/>
        </w:rPr>
        <w:lastRenderedPageBreak/>
        <w:t xml:space="preserve">Como se observa, AEK es el acreedor que percibe más fondos públicos con un 58 por ciento del total, siendo especialmente significativo su aumento en 2017 frente a años anteriores. </w:t>
      </w:r>
    </w:p>
    <w:p w:rsidR="000C076E" w:rsidRDefault="000C076E" w:rsidP="000C076E">
      <w:pPr>
        <w:pStyle w:val="texto"/>
        <w:spacing w:before="120" w:after="120"/>
        <w:rPr>
          <w:rFonts w:cs="Arial"/>
        </w:rPr>
      </w:pPr>
      <w:r>
        <w:rPr>
          <w:rFonts w:cs="Arial"/>
        </w:rPr>
        <w:t>Hemos fiscalizado el 82 por ciento del gasto correspondiente a 2017 según el detalle que mostramos a continuación para cada capítulo de gasto presupuest</w:t>
      </w:r>
      <w:r>
        <w:rPr>
          <w:rFonts w:cs="Arial"/>
        </w:rPr>
        <w:t>a</w:t>
      </w:r>
      <w:r>
        <w:rPr>
          <w:rFonts w:cs="Arial"/>
        </w:rPr>
        <w:t>rio.</w:t>
      </w:r>
    </w:p>
    <w:p w:rsidR="000C076E" w:rsidRDefault="000C076E" w:rsidP="000C076E">
      <w:pPr>
        <w:spacing w:before="240" w:after="120"/>
        <w:ind w:firstLine="284"/>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t>Revisión muestra capítulo IV transferencias corrientes</w:t>
      </w:r>
    </w:p>
    <w:p w:rsidR="000C076E" w:rsidRDefault="000C076E" w:rsidP="000C076E">
      <w:pPr>
        <w:pStyle w:val="texto"/>
        <w:spacing w:before="120" w:after="240"/>
        <w:rPr>
          <w:rFonts w:cs="Arial"/>
        </w:rPr>
      </w:pPr>
      <w:r>
        <w:rPr>
          <w:rFonts w:cs="Arial"/>
        </w:rPr>
        <w:t>Hemos revisado la tramitación de los expedientes de las siguientes partidas presupuestarias en 2017:</w:t>
      </w:r>
    </w:p>
    <w:tbl>
      <w:tblPr>
        <w:tblW w:w="8844" w:type="dxa"/>
        <w:jc w:val="center"/>
        <w:tblCellMar>
          <w:left w:w="70" w:type="dxa"/>
          <w:right w:w="70" w:type="dxa"/>
        </w:tblCellMar>
        <w:tblLook w:val="04A0" w:firstRow="1" w:lastRow="0" w:firstColumn="1" w:lastColumn="0" w:noHBand="0" w:noVBand="1"/>
      </w:tblPr>
      <w:tblGrid>
        <w:gridCol w:w="4648"/>
        <w:gridCol w:w="840"/>
        <w:gridCol w:w="1133"/>
        <w:gridCol w:w="1022"/>
        <w:gridCol w:w="1201"/>
      </w:tblGrid>
      <w:tr w:rsidR="000C076E" w:rsidRPr="00D3579F" w:rsidTr="00CD52C0">
        <w:trPr>
          <w:trHeight w:val="255"/>
          <w:jc w:val="center"/>
        </w:trPr>
        <w:tc>
          <w:tcPr>
            <w:tcW w:w="4648" w:type="dxa"/>
            <w:tcBorders>
              <w:top w:val="single" w:sz="4" w:space="0" w:color="auto"/>
              <w:bottom w:val="single" w:sz="4" w:space="0" w:color="auto"/>
            </w:tcBorders>
            <w:shd w:val="clear" w:color="auto" w:fill="8DB3E2" w:themeFill="text2" w:themeFillTint="66"/>
            <w:noWrap/>
            <w:vAlign w:val="bottom"/>
            <w:hideMark/>
          </w:tcPr>
          <w:p w:rsidR="000C076E" w:rsidRPr="00D3579F" w:rsidRDefault="000C076E" w:rsidP="00B66E05">
            <w:pPr>
              <w:spacing w:after="0"/>
              <w:rPr>
                <w:rFonts w:ascii="Arial" w:hAnsi="Arial" w:cs="Arial"/>
                <w:color w:val="000000"/>
                <w:sz w:val="18"/>
                <w:szCs w:val="18"/>
                <w:lang w:eastAsia="es-ES"/>
              </w:rPr>
            </w:pPr>
          </w:p>
        </w:tc>
        <w:tc>
          <w:tcPr>
            <w:tcW w:w="840"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CD52C0">
            <w:pPr>
              <w:spacing w:after="0"/>
              <w:ind w:firstLine="0"/>
              <w:jc w:val="right"/>
              <w:rPr>
                <w:rFonts w:ascii="Arial" w:hAnsi="Arial" w:cs="Arial"/>
                <w:bCs/>
                <w:color w:val="000000"/>
                <w:sz w:val="18"/>
                <w:szCs w:val="18"/>
                <w:lang w:eastAsia="es-ES"/>
              </w:rPr>
            </w:pPr>
            <w:r>
              <w:rPr>
                <w:rFonts w:ascii="Arial" w:hAnsi="Arial" w:cs="Arial"/>
                <w:bCs/>
                <w:color w:val="000000"/>
                <w:sz w:val="18"/>
                <w:szCs w:val="18"/>
                <w:lang w:eastAsia="es-ES"/>
              </w:rPr>
              <w:t xml:space="preserve">Gasto </w:t>
            </w:r>
            <w:r w:rsidRPr="00D3579F">
              <w:rPr>
                <w:rFonts w:ascii="Arial" w:hAnsi="Arial" w:cs="Arial"/>
                <w:bCs/>
                <w:color w:val="000000"/>
                <w:sz w:val="18"/>
                <w:szCs w:val="18"/>
                <w:lang w:eastAsia="es-ES"/>
              </w:rPr>
              <w:t>2017</w:t>
            </w:r>
          </w:p>
        </w:tc>
        <w:tc>
          <w:tcPr>
            <w:tcW w:w="1133" w:type="dxa"/>
            <w:tcBorders>
              <w:top w:val="single" w:sz="4" w:space="0" w:color="auto"/>
              <w:bottom w:val="single" w:sz="4" w:space="0" w:color="auto"/>
            </w:tcBorders>
            <w:shd w:val="clear" w:color="auto" w:fill="8DB3E2" w:themeFill="text2" w:themeFillTint="66"/>
            <w:vAlign w:val="center"/>
          </w:tcPr>
          <w:p w:rsidR="000C076E" w:rsidRPr="00D3579F" w:rsidRDefault="000C076E" w:rsidP="00CD52C0">
            <w:pPr>
              <w:spacing w:after="0"/>
              <w:jc w:val="right"/>
              <w:rPr>
                <w:rFonts w:ascii="Arial" w:hAnsi="Arial" w:cs="Arial"/>
                <w:bCs/>
                <w:color w:val="000000"/>
                <w:sz w:val="18"/>
                <w:szCs w:val="18"/>
                <w:lang w:eastAsia="es-ES"/>
              </w:rPr>
            </w:pPr>
            <w:r>
              <w:rPr>
                <w:rFonts w:ascii="Arial" w:hAnsi="Arial" w:cs="Arial"/>
                <w:bCs/>
                <w:color w:val="000000"/>
                <w:sz w:val="18"/>
                <w:szCs w:val="18"/>
                <w:lang w:eastAsia="es-ES"/>
              </w:rPr>
              <w:t>Nº acreedores</w:t>
            </w:r>
          </w:p>
        </w:tc>
        <w:tc>
          <w:tcPr>
            <w:tcW w:w="1022" w:type="dxa"/>
            <w:tcBorders>
              <w:top w:val="single" w:sz="4" w:space="0" w:color="auto"/>
              <w:bottom w:val="single" w:sz="4" w:space="0" w:color="auto"/>
            </w:tcBorders>
            <w:shd w:val="clear" w:color="auto" w:fill="8DB3E2" w:themeFill="text2" w:themeFillTint="66"/>
            <w:vAlign w:val="center"/>
          </w:tcPr>
          <w:p w:rsidR="00CD52C0" w:rsidRDefault="000C076E" w:rsidP="00CD52C0">
            <w:pPr>
              <w:spacing w:after="0"/>
              <w:ind w:left="-70" w:firstLine="28"/>
              <w:jc w:val="right"/>
              <w:rPr>
                <w:rFonts w:ascii="Arial" w:hAnsi="Arial" w:cs="Arial"/>
                <w:bCs/>
                <w:color w:val="000000"/>
                <w:sz w:val="18"/>
                <w:szCs w:val="18"/>
                <w:lang w:eastAsia="es-ES"/>
              </w:rPr>
            </w:pPr>
            <w:r>
              <w:rPr>
                <w:rFonts w:ascii="Arial" w:hAnsi="Arial" w:cs="Arial"/>
                <w:bCs/>
                <w:color w:val="000000"/>
                <w:sz w:val="18"/>
                <w:szCs w:val="18"/>
                <w:lang w:eastAsia="es-ES"/>
              </w:rPr>
              <w:t xml:space="preserve">Nº </w:t>
            </w:r>
          </w:p>
          <w:p w:rsidR="00CD52C0" w:rsidRDefault="000C076E" w:rsidP="00CD52C0">
            <w:pPr>
              <w:spacing w:after="0"/>
              <w:ind w:left="-70" w:firstLine="28"/>
              <w:jc w:val="right"/>
              <w:rPr>
                <w:rFonts w:ascii="Arial" w:hAnsi="Arial" w:cs="Arial"/>
                <w:bCs/>
                <w:color w:val="000000"/>
                <w:sz w:val="18"/>
                <w:szCs w:val="18"/>
                <w:lang w:eastAsia="es-ES"/>
              </w:rPr>
            </w:pPr>
            <w:r>
              <w:rPr>
                <w:rFonts w:ascii="Arial" w:hAnsi="Arial" w:cs="Arial"/>
                <w:bCs/>
                <w:color w:val="000000"/>
                <w:sz w:val="18"/>
                <w:szCs w:val="18"/>
                <w:lang w:eastAsia="es-ES"/>
              </w:rPr>
              <w:t xml:space="preserve">acreedores </w:t>
            </w:r>
          </w:p>
          <w:p w:rsidR="000C076E" w:rsidRDefault="000C076E" w:rsidP="00CD52C0">
            <w:pPr>
              <w:spacing w:after="0"/>
              <w:ind w:left="-70" w:firstLine="28"/>
              <w:jc w:val="right"/>
              <w:rPr>
                <w:rFonts w:ascii="Arial" w:hAnsi="Arial" w:cs="Arial"/>
                <w:bCs/>
                <w:color w:val="000000"/>
                <w:sz w:val="18"/>
                <w:szCs w:val="18"/>
                <w:lang w:eastAsia="es-ES"/>
              </w:rPr>
            </w:pPr>
            <w:r>
              <w:rPr>
                <w:rFonts w:ascii="Arial" w:hAnsi="Arial" w:cs="Arial"/>
                <w:bCs/>
                <w:color w:val="000000"/>
                <w:sz w:val="18"/>
                <w:szCs w:val="18"/>
                <w:lang w:eastAsia="es-ES"/>
              </w:rPr>
              <w:t>petición</w:t>
            </w:r>
          </w:p>
        </w:tc>
        <w:tc>
          <w:tcPr>
            <w:tcW w:w="1201" w:type="dxa"/>
            <w:tcBorders>
              <w:top w:val="single" w:sz="4" w:space="0" w:color="auto"/>
              <w:bottom w:val="single" w:sz="4" w:space="0" w:color="auto"/>
            </w:tcBorders>
            <w:shd w:val="clear" w:color="auto" w:fill="8DB3E2" w:themeFill="text2" w:themeFillTint="66"/>
            <w:vAlign w:val="center"/>
          </w:tcPr>
          <w:p w:rsidR="00CD52C0" w:rsidRDefault="000C076E" w:rsidP="00CD52C0">
            <w:pPr>
              <w:spacing w:after="0"/>
              <w:ind w:hanging="33"/>
              <w:jc w:val="right"/>
              <w:rPr>
                <w:rFonts w:ascii="Arial" w:hAnsi="Arial" w:cs="Arial"/>
                <w:bCs/>
                <w:color w:val="000000"/>
                <w:sz w:val="18"/>
                <w:szCs w:val="18"/>
                <w:lang w:eastAsia="es-ES"/>
              </w:rPr>
            </w:pPr>
            <w:r>
              <w:rPr>
                <w:rFonts w:ascii="Arial" w:hAnsi="Arial" w:cs="Arial"/>
                <w:bCs/>
                <w:color w:val="000000"/>
                <w:sz w:val="18"/>
                <w:szCs w:val="18"/>
                <w:lang w:eastAsia="es-ES"/>
              </w:rPr>
              <w:t xml:space="preserve">Gasto </w:t>
            </w:r>
          </w:p>
          <w:p w:rsidR="000C076E" w:rsidRDefault="000C076E" w:rsidP="00CD52C0">
            <w:pPr>
              <w:spacing w:after="0"/>
              <w:ind w:hanging="33"/>
              <w:jc w:val="right"/>
              <w:rPr>
                <w:rFonts w:ascii="Arial" w:hAnsi="Arial" w:cs="Arial"/>
                <w:bCs/>
                <w:color w:val="000000"/>
                <w:sz w:val="18"/>
                <w:szCs w:val="18"/>
                <w:lang w:eastAsia="es-ES"/>
              </w:rPr>
            </w:pPr>
            <w:r>
              <w:rPr>
                <w:rFonts w:ascii="Arial" w:hAnsi="Arial" w:cs="Arial"/>
                <w:bCs/>
                <w:color w:val="000000"/>
                <w:sz w:val="18"/>
                <w:szCs w:val="18"/>
                <w:lang w:eastAsia="es-ES"/>
              </w:rPr>
              <w:t>acreedores petición</w:t>
            </w:r>
          </w:p>
        </w:tc>
      </w:tr>
      <w:tr w:rsidR="000C076E" w:rsidRPr="00D3579F" w:rsidTr="00CD52C0">
        <w:trPr>
          <w:trHeight w:val="198"/>
          <w:jc w:val="center"/>
        </w:trPr>
        <w:tc>
          <w:tcPr>
            <w:tcW w:w="4648"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firstLine="0"/>
              <w:jc w:val="left"/>
              <w:rPr>
                <w:rFonts w:ascii="Arial Narrow" w:hAnsi="Arial Narrow"/>
                <w:bCs/>
                <w:color w:val="000000"/>
                <w:lang w:eastAsia="es-ES"/>
              </w:rPr>
            </w:pPr>
            <w:r>
              <w:rPr>
                <w:rFonts w:ascii="Arial Narrow" w:hAnsi="Arial Narrow"/>
                <w:bCs/>
                <w:color w:val="000000"/>
                <w:lang w:eastAsia="es-ES"/>
              </w:rPr>
              <w:t>Ayudas a la enseñanza de euskera a personas adultas</w:t>
            </w:r>
          </w:p>
        </w:tc>
        <w:tc>
          <w:tcPr>
            <w:tcW w:w="840" w:type="dxa"/>
            <w:tcBorders>
              <w:top w:val="single" w:sz="4" w:space="0" w:color="auto"/>
              <w:bottom w:val="single" w:sz="2" w:space="0" w:color="auto"/>
            </w:tcBorders>
            <w:shd w:val="clear" w:color="auto" w:fill="auto"/>
            <w:noWrap/>
            <w:vAlign w:val="center"/>
          </w:tcPr>
          <w:p w:rsidR="000C076E" w:rsidRPr="00D3579F" w:rsidRDefault="000C076E" w:rsidP="00CD52C0">
            <w:pPr>
              <w:spacing w:after="0"/>
              <w:ind w:firstLine="0"/>
              <w:jc w:val="right"/>
              <w:rPr>
                <w:rFonts w:ascii="Arial Narrow" w:hAnsi="Arial Narrow"/>
                <w:color w:val="000000"/>
                <w:lang w:eastAsia="es-ES"/>
              </w:rPr>
            </w:pPr>
            <w:r>
              <w:rPr>
                <w:rFonts w:ascii="Arial Narrow" w:hAnsi="Arial Narrow"/>
                <w:color w:val="000000"/>
                <w:lang w:eastAsia="es-ES"/>
              </w:rPr>
              <w:t>697.633</w:t>
            </w:r>
          </w:p>
        </w:tc>
        <w:tc>
          <w:tcPr>
            <w:tcW w:w="1133" w:type="dxa"/>
            <w:tcBorders>
              <w:top w:val="single" w:sz="4" w:space="0" w:color="auto"/>
              <w:bottom w:val="single" w:sz="2" w:space="0" w:color="auto"/>
            </w:tcBorders>
            <w:vAlign w:val="center"/>
          </w:tcPr>
          <w:p w:rsidR="000C076E" w:rsidRDefault="000C076E" w:rsidP="00CD52C0">
            <w:pPr>
              <w:spacing w:after="0"/>
              <w:ind w:firstLine="0"/>
              <w:jc w:val="right"/>
              <w:rPr>
                <w:rFonts w:ascii="Arial Narrow" w:hAnsi="Arial Narrow"/>
                <w:color w:val="000000"/>
                <w:lang w:eastAsia="es-ES"/>
              </w:rPr>
            </w:pPr>
            <w:r>
              <w:rPr>
                <w:rFonts w:ascii="Arial Narrow" w:hAnsi="Arial Narrow"/>
                <w:color w:val="000000"/>
                <w:lang w:eastAsia="es-ES"/>
              </w:rPr>
              <w:t>8</w:t>
            </w:r>
          </w:p>
        </w:tc>
        <w:tc>
          <w:tcPr>
            <w:tcW w:w="1022" w:type="dxa"/>
            <w:tcBorders>
              <w:top w:val="single" w:sz="4" w:space="0" w:color="auto"/>
              <w:bottom w:val="single" w:sz="2" w:space="0" w:color="auto"/>
            </w:tcBorders>
            <w:vAlign w:val="center"/>
          </w:tcPr>
          <w:p w:rsidR="000C076E" w:rsidRDefault="000C076E" w:rsidP="00CD52C0">
            <w:pPr>
              <w:spacing w:after="0"/>
              <w:ind w:firstLine="0"/>
              <w:jc w:val="right"/>
              <w:rPr>
                <w:rFonts w:ascii="Arial Narrow" w:hAnsi="Arial Narrow"/>
                <w:color w:val="000000"/>
                <w:lang w:eastAsia="es-ES"/>
              </w:rPr>
            </w:pPr>
            <w:r>
              <w:rPr>
                <w:rFonts w:ascii="Arial Narrow" w:hAnsi="Arial Narrow"/>
                <w:color w:val="000000"/>
                <w:lang w:eastAsia="es-ES"/>
              </w:rPr>
              <w:t>7</w:t>
            </w:r>
          </w:p>
        </w:tc>
        <w:tc>
          <w:tcPr>
            <w:tcW w:w="1201" w:type="dxa"/>
            <w:tcBorders>
              <w:top w:val="single" w:sz="4" w:space="0" w:color="auto"/>
              <w:bottom w:val="single" w:sz="2" w:space="0" w:color="auto"/>
            </w:tcBorders>
            <w:vAlign w:val="center"/>
          </w:tcPr>
          <w:p w:rsidR="000C076E" w:rsidRDefault="000C076E" w:rsidP="00CD52C0">
            <w:pPr>
              <w:spacing w:after="0"/>
              <w:ind w:firstLine="0"/>
              <w:jc w:val="right"/>
              <w:rPr>
                <w:rFonts w:ascii="Arial Narrow" w:hAnsi="Arial Narrow"/>
                <w:color w:val="000000"/>
                <w:lang w:eastAsia="es-ES"/>
              </w:rPr>
            </w:pPr>
            <w:r>
              <w:rPr>
                <w:rFonts w:ascii="Arial Narrow" w:hAnsi="Arial Narrow"/>
                <w:color w:val="000000"/>
                <w:lang w:eastAsia="es-ES"/>
              </w:rPr>
              <w:t>693.514</w:t>
            </w:r>
          </w:p>
        </w:tc>
      </w:tr>
      <w:tr w:rsidR="000C076E" w:rsidRPr="00D3579F" w:rsidTr="00CD52C0">
        <w:trPr>
          <w:trHeight w:val="198"/>
          <w:jc w:val="center"/>
        </w:trPr>
        <w:tc>
          <w:tcPr>
            <w:tcW w:w="4648" w:type="dxa"/>
            <w:tcBorders>
              <w:top w:val="single" w:sz="2" w:space="0" w:color="auto"/>
              <w:bottom w:val="single" w:sz="4" w:space="0" w:color="auto"/>
            </w:tcBorders>
            <w:shd w:val="clear" w:color="auto" w:fill="auto"/>
            <w:noWrap/>
            <w:vAlign w:val="center"/>
            <w:hideMark/>
          </w:tcPr>
          <w:p w:rsidR="000C076E" w:rsidRPr="00D3579F" w:rsidRDefault="000C076E" w:rsidP="00B66E05">
            <w:pPr>
              <w:spacing w:after="0"/>
              <w:ind w:firstLine="0"/>
              <w:jc w:val="left"/>
              <w:rPr>
                <w:rFonts w:ascii="Arial Narrow" w:hAnsi="Arial Narrow"/>
                <w:bCs/>
                <w:color w:val="000000"/>
                <w:lang w:eastAsia="es-ES"/>
              </w:rPr>
            </w:pPr>
            <w:r>
              <w:rPr>
                <w:rFonts w:ascii="Arial Narrow" w:hAnsi="Arial Narrow"/>
                <w:bCs/>
                <w:color w:val="000000"/>
                <w:lang w:eastAsia="es-ES"/>
              </w:rPr>
              <w:t>Ayudas a entidades sin ánimo de lucro para fomento euskera</w:t>
            </w:r>
          </w:p>
        </w:tc>
        <w:tc>
          <w:tcPr>
            <w:tcW w:w="840" w:type="dxa"/>
            <w:tcBorders>
              <w:top w:val="single" w:sz="2" w:space="0" w:color="auto"/>
              <w:bottom w:val="single" w:sz="4" w:space="0" w:color="auto"/>
            </w:tcBorders>
            <w:shd w:val="clear" w:color="auto" w:fill="auto"/>
            <w:noWrap/>
            <w:vAlign w:val="center"/>
          </w:tcPr>
          <w:p w:rsidR="000C076E" w:rsidRPr="00D3579F" w:rsidRDefault="000C076E" w:rsidP="00CD52C0">
            <w:pPr>
              <w:spacing w:after="0"/>
              <w:ind w:firstLine="0"/>
              <w:jc w:val="right"/>
              <w:rPr>
                <w:rFonts w:ascii="Arial Narrow" w:hAnsi="Arial Narrow"/>
                <w:color w:val="000000"/>
                <w:lang w:eastAsia="es-ES"/>
              </w:rPr>
            </w:pPr>
            <w:r>
              <w:rPr>
                <w:rFonts w:ascii="Arial Narrow" w:hAnsi="Arial Narrow"/>
                <w:color w:val="000000"/>
                <w:lang w:eastAsia="es-ES"/>
              </w:rPr>
              <w:t>243.926</w:t>
            </w:r>
          </w:p>
        </w:tc>
        <w:tc>
          <w:tcPr>
            <w:tcW w:w="1133" w:type="dxa"/>
            <w:tcBorders>
              <w:top w:val="single" w:sz="2" w:space="0" w:color="auto"/>
              <w:bottom w:val="single" w:sz="4" w:space="0" w:color="auto"/>
            </w:tcBorders>
            <w:vAlign w:val="center"/>
          </w:tcPr>
          <w:p w:rsidR="000C076E" w:rsidRDefault="000C076E" w:rsidP="00CD52C0">
            <w:pPr>
              <w:spacing w:after="0"/>
              <w:ind w:firstLine="0"/>
              <w:jc w:val="right"/>
              <w:rPr>
                <w:rFonts w:ascii="Arial Narrow" w:hAnsi="Arial Narrow"/>
                <w:color w:val="000000"/>
                <w:lang w:eastAsia="es-ES"/>
              </w:rPr>
            </w:pPr>
            <w:r>
              <w:rPr>
                <w:rFonts w:ascii="Arial Narrow" w:hAnsi="Arial Narrow"/>
                <w:color w:val="000000"/>
                <w:lang w:eastAsia="es-ES"/>
              </w:rPr>
              <w:t>16</w:t>
            </w:r>
          </w:p>
        </w:tc>
        <w:tc>
          <w:tcPr>
            <w:tcW w:w="1022" w:type="dxa"/>
            <w:tcBorders>
              <w:top w:val="single" w:sz="2" w:space="0" w:color="auto"/>
              <w:bottom w:val="single" w:sz="4" w:space="0" w:color="auto"/>
            </w:tcBorders>
            <w:vAlign w:val="center"/>
          </w:tcPr>
          <w:p w:rsidR="000C076E" w:rsidRDefault="000C076E" w:rsidP="00CD52C0">
            <w:pPr>
              <w:spacing w:after="0"/>
              <w:ind w:firstLine="0"/>
              <w:jc w:val="right"/>
              <w:rPr>
                <w:rFonts w:ascii="Arial Narrow" w:hAnsi="Arial Narrow"/>
                <w:color w:val="000000"/>
                <w:lang w:eastAsia="es-ES"/>
              </w:rPr>
            </w:pPr>
            <w:r>
              <w:rPr>
                <w:rFonts w:ascii="Arial Narrow" w:hAnsi="Arial Narrow"/>
                <w:color w:val="000000"/>
                <w:lang w:eastAsia="es-ES"/>
              </w:rPr>
              <w:t>4</w:t>
            </w:r>
          </w:p>
        </w:tc>
        <w:tc>
          <w:tcPr>
            <w:tcW w:w="1201" w:type="dxa"/>
            <w:tcBorders>
              <w:top w:val="single" w:sz="2" w:space="0" w:color="auto"/>
              <w:bottom w:val="single" w:sz="4" w:space="0" w:color="auto"/>
            </w:tcBorders>
            <w:vAlign w:val="center"/>
          </w:tcPr>
          <w:p w:rsidR="000C076E" w:rsidRDefault="000C076E" w:rsidP="00CD52C0">
            <w:pPr>
              <w:spacing w:after="0"/>
              <w:ind w:firstLine="0"/>
              <w:jc w:val="right"/>
              <w:rPr>
                <w:rFonts w:ascii="Arial Narrow" w:hAnsi="Arial Narrow"/>
                <w:color w:val="000000"/>
                <w:lang w:eastAsia="es-ES"/>
              </w:rPr>
            </w:pPr>
            <w:r>
              <w:rPr>
                <w:rFonts w:ascii="Arial Narrow" w:hAnsi="Arial Narrow"/>
                <w:color w:val="000000"/>
                <w:lang w:eastAsia="es-ES"/>
              </w:rPr>
              <w:t>98.999</w:t>
            </w:r>
          </w:p>
        </w:tc>
      </w:tr>
      <w:tr w:rsidR="000C076E" w:rsidRPr="00D3579F" w:rsidTr="00CD52C0">
        <w:trPr>
          <w:trHeight w:val="255"/>
          <w:jc w:val="center"/>
        </w:trPr>
        <w:tc>
          <w:tcPr>
            <w:tcW w:w="4648"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firstLine="0"/>
              <w:jc w:val="left"/>
              <w:rPr>
                <w:rFonts w:ascii="Arial" w:hAnsi="Arial" w:cs="Arial"/>
                <w:bCs/>
                <w:color w:val="000000"/>
                <w:sz w:val="18"/>
                <w:szCs w:val="18"/>
                <w:lang w:eastAsia="es-ES"/>
              </w:rPr>
            </w:pPr>
            <w:r w:rsidRPr="00D3579F">
              <w:rPr>
                <w:rFonts w:ascii="Arial" w:hAnsi="Arial" w:cs="Arial"/>
                <w:bCs/>
                <w:color w:val="000000"/>
                <w:sz w:val="18"/>
                <w:szCs w:val="18"/>
                <w:lang w:eastAsia="es-ES"/>
              </w:rPr>
              <w:t xml:space="preserve">Total </w:t>
            </w:r>
          </w:p>
        </w:tc>
        <w:tc>
          <w:tcPr>
            <w:tcW w:w="840"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CD52C0">
            <w:pPr>
              <w:spacing w:after="0"/>
              <w:ind w:firstLine="0"/>
              <w:jc w:val="right"/>
              <w:rPr>
                <w:rFonts w:ascii="Arial" w:hAnsi="Arial" w:cs="Arial"/>
                <w:color w:val="000000"/>
                <w:sz w:val="18"/>
                <w:szCs w:val="18"/>
                <w:lang w:eastAsia="es-ES"/>
              </w:rPr>
            </w:pPr>
            <w:r>
              <w:rPr>
                <w:rFonts w:ascii="Arial" w:hAnsi="Arial" w:cs="Arial"/>
                <w:color w:val="000000"/>
                <w:sz w:val="18"/>
                <w:szCs w:val="18"/>
                <w:lang w:eastAsia="es-ES"/>
              </w:rPr>
              <w:t>941.559</w:t>
            </w:r>
          </w:p>
        </w:tc>
        <w:tc>
          <w:tcPr>
            <w:tcW w:w="1133" w:type="dxa"/>
            <w:tcBorders>
              <w:top w:val="single" w:sz="4" w:space="0" w:color="auto"/>
              <w:bottom w:val="single" w:sz="4" w:space="0" w:color="auto"/>
            </w:tcBorders>
            <w:shd w:val="clear" w:color="auto" w:fill="8DB3E2" w:themeFill="text2" w:themeFillTint="66"/>
            <w:vAlign w:val="center"/>
          </w:tcPr>
          <w:p w:rsidR="000C076E" w:rsidRPr="00D3579F" w:rsidRDefault="000C076E" w:rsidP="00CD52C0">
            <w:pPr>
              <w:spacing w:after="0"/>
              <w:ind w:firstLine="0"/>
              <w:jc w:val="right"/>
              <w:rPr>
                <w:rFonts w:ascii="Arial" w:hAnsi="Arial" w:cs="Arial"/>
                <w:color w:val="000000"/>
                <w:sz w:val="18"/>
                <w:szCs w:val="18"/>
                <w:lang w:eastAsia="es-ES"/>
              </w:rPr>
            </w:pPr>
            <w:r>
              <w:rPr>
                <w:rFonts w:ascii="Arial" w:hAnsi="Arial" w:cs="Arial"/>
                <w:color w:val="000000"/>
                <w:sz w:val="18"/>
                <w:szCs w:val="18"/>
                <w:lang w:eastAsia="es-ES"/>
              </w:rPr>
              <w:t>23*</w:t>
            </w:r>
          </w:p>
        </w:tc>
        <w:tc>
          <w:tcPr>
            <w:tcW w:w="1022" w:type="dxa"/>
            <w:tcBorders>
              <w:top w:val="single" w:sz="4" w:space="0" w:color="auto"/>
              <w:bottom w:val="single" w:sz="4" w:space="0" w:color="auto"/>
            </w:tcBorders>
            <w:shd w:val="clear" w:color="auto" w:fill="8DB3E2" w:themeFill="text2" w:themeFillTint="66"/>
            <w:vAlign w:val="center"/>
          </w:tcPr>
          <w:p w:rsidR="000C076E" w:rsidRPr="00D3579F" w:rsidRDefault="000C076E" w:rsidP="00CD52C0">
            <w:pPr>
              <w:spacing w:after="0"/>
              <w:ind w:firstLine="0"/>
              <w:jc w:val="right"/>
              <w:rPr>
                <w:rFonts w:ascii="Arial" w:hAnsi="Arial" w:cs="Arial"/>
                <w:color w:val="000000"/>
                <w:sz w:val="18"/>
                <w:szCs w:val="18"/>
                <w:lang w:eastAsia="es-ES"/>
              </w:rPr>
            </w:pPr>
            <w:r>
              <w:rPr>
                <w:rFonts w:ascii="Arial" w:hAnsi="Arial" w:cs="Arial"/>
                <w:color w:val="000000"/>
                <w:sz w:val="18"/>
                <w:szCs w:val="18"/>
                <w:lang w:eastAsia="es-ES"/>
              </w:rPr>
              <w:t>10*</w:t>
            </w:r>
          </w:p>
        </w:tc>
        <w:tc>
          <w:tcPr>
            <w:tcW w:w="1201" w:type="dxa"/>
            <w:tcBorders>
              <w:top w:val="single" w:sz="4" w:space="0" w:color="auto"/>
              <w:bottom w:val="single" w:sz="4" w:space="0" w:color="auto"/>
            </w:tcBorders>
            <w:shd w:val="clear" w:color="auto" w:fill="8DB3E2" w:themeFill="text2" w:themeFillTint="66"/>
            <w:vAlign w:val="center"/>
          </w:tcPr>
          <w:p w:rsidR="000C076E" w:rsidRPr="00D3579F" w:rsidRDefault="000C076E" w:rsidP="00CD52C0">
            <w:pPr>
              <w:spacing w:after="0"/>
              <w:ind w:firstLine="0"/>
              <w:jc w:val="right"/>
              <w:rPr>
                <w:rFonts w:ascii="Arial" w:hAnsi="Arial" w:cs="Arial"/>
                <w:color w:val="000000"/>
                <w:sz w:val="18"/>
                <w:szCs w:val="18"/>
                <w:lang w:eastAsia="es-ES"/>
              </w:rPr>
            </w:pPr>
            <w:r>
              <w:rPr>
                <w:rFonts w:ascii="Arial" w:hAnsi="Arial" w:cs="Arial"/>
                <w:color w:val="000000"/>
                <w:sz w:val="18"/>
                <w:szCs w:val="18"/>
                <w:lang w:eastAsia="es-ES"/>
              </w:rPr>
              <w:t>792.513</w:t>
            </w:r>
          </w:p>
        </w:tc>
      </w:tr>
    </w:tbl>
    <w:p w:rsidR="00CD52C0" w:rsidRPr="009C49AA" w:rsidRDefault="00CD52C0" w:rsidP="00CD52C0">
      <w:pPr>
        <w:spacing w:before="60" w:after="0"/>
        <w:ind w:firstLine="0"/>
        <w:jc w:val="left"/>
        <w:rPr>
          <w:color w:val="000000"/>
          <w:sz w:val="16"/>
          <w:szCs w:val="16"/>
          <w:lang w:eastAsia="es-ES"/>
        </w:rPr>
      </w:pPr>
      <w:r w:rsidRPr="009C49AA">
        <w:rPr>
          <w:color w:val="000000"/>
          <w:sz w:val="16"/>
          <w:szCs w:val="16"/>
          <w:lang w:eastAsia="es-ES"/>
        </w:rPr>
        <w:t>*</w:t>
      </w:r>
      <w:r w:rsidR="000F064B">
        <w:rPr>
          <w:color w:val="000000"/>
          <w:sz w:val="16"/>
          <w:szCs w:val="16"/>
          <w:lang w:eastAsia="es-ES"/>
        </w:rPr>
        <w:t xml:space="preserve"> </w:t>
      </w:r>
      <w:r w:rsidRPr="009C49AA">
        <w:rPr>
          <w:color w:val="000000"/>
          <w:sz w:val="16"/>
          <w:szCs w:val="16"/>
          <w:lang w:eastAsia="es-ES"/>
        </w:rPr>
        <w:t>El número de acreedores no se corresponde con la suma ya que un acreedor es beneficiario de ambas ayudas</w:t>
      </w:r>
      <w:r>
        <w:rPr>
          <w:color w:val="000000"/>
          <w:sz w:val="16"/>
          <w:szCs w:val="16"/>
          <w:lang w:eastAsia="es-ES"/>
        </w:rPr>
        <w:t>.</w:t>
      </w:r>
    </w:p>
    <w:p w:rsidR="000C076E" w:rsidRPr="00CD52C0" w:rsidRDefault="000C076E" w:rsidP="00CD52C0">
      <w:pPr>
        <w:pStyle w:val="texto"/>
        <w:spacing w:before="240"/>
      </w:pPr>
      <w:r w:rsidRPr="00CD52C0">
        <w:t>Del análisis realizado podemos concluir que tanto las actuaciones previas, como el procedimiento de concesión de las ayudas contenidas en estas partidas, (tres convocatorias de subvenciones en total), se adecuaron a la normativa apl</w:t>
      </w:r>
      <w:r w:rsidRPr="00CD52C0">
        <w:t>i</w:t>
      </w:r>
      <w:r w:rsidRPr="00CD52C0">
        <w:t>cable.</w:t>
      </w:r>
    </w:p>
    <w:p w:rsidR="000C076E" w:rsidRPr="00CD52C0" w:rsidRDefault="000C076E" w:rsidP="00CD52C0">
      <w:pPr>
        <w:pStyle w:val="texto"/>
        <w:spacing w:after="240"/>
      </w:pPr>
      <w:r w:rsidRPr="00CD52C0">
        <w:t>El detalle del gasto revisado de estas partidas de los acreedores citados en la petición es el siguiente:</w:t>
      </w:r>
    </w:p>
    <w:tbl>
      <w:tblPr>
        <w:tblW w:w="8815" w:type="dxa"/>
        <w:jc w:val="center"/>
        <w:tblCellMar>
          <w:left w:w="70" w:type="dxa"/>
          <w:right w:w="70" w:type="dxa"/>
        </w:tblCellMar>
        <w:tblLook w:val="04A0" w:firstRow="1" w:lastRow="0" w:firstColumn="1" w:lastColumn="0" w:noHBand="0" w:noVBand="1"/>
      </w:tblPr>
      <w:tblGrid>
        <w:gridCol w:w="3798"/>
        <w:gridCol w:w="1081"/>
        <w:gridCol w:w="1361"/>
        <w:gridCol w:w="2575"/>
      </w:tblGrid>
      <w:tr w:rsidR="000C076E" w:rsidRPr="00D3579F" w:rsidTr="00AC7529">
        <w:trPr>
          <w:trHeight w:val="198"/>
          <w:jc w:val="center"/>
        </w:trPr>
        <w:tc>
          <w:tcPr>
            <w:tcW w:w="3798" w:type="dxa"/>
            <w:vMerge w:val="restart"/>
            <w:tcBorders>
              <w:top w:val="single" w:sz="4" w:space="0" w:color="auto"/>
            </w:tcBorders>
            <w:shd w:val="clear" w:color="auto" w:fill="8DB3E2" w:themeFill="text2" w:themeFillTint="66"/>
            <w:noWrap/>
            <w:vAlign w:val="center"/>
          </w:tcPr>
          <w:p w:rsidR="000C076E" w:rsidRPr="00D3579F" w:rsidRDefault="000C076E" w:rsidP="00B66E05">
            <w:pPr>
              <w:spacing w:after="0"/>
              <w:ind w:firstLine="0"/>
              <w:jc w:val="left"/>
              <w:rPr>
                <w:rFonts w:ascii="Arial" w:hAnsi="Arial" w:cs="Arial"/>
                <w:color w:val="000000"/>
                <w:sz w:val="18"/>
                <w:szCs w:val="18"/>
                <w:lang w:val="es-ES" w:eastAsia="es-ES"/>
              </w:rPr>
            </w:pPr>
            <w:r w:rsidRPr="00D3579F">
              <w:rPr>
                <w:rFonts w:ascii="Arial" w:hAnsi="Arial" w:cs="Arial"/>
                <w:color w:val="000000"/>
                <w:sz w:val="18"/>
                <w:szCs w:val="18"/>
                <w:lang w:val="es-ES" w:eastAsia="es-ES"/>
              </w:rPr>
              <w:t xml:space="preserve">Acreedor petición </w:t>
            </w:r>
          </w:p>
        </w:tc>
        <w:tc>
          <w:tcPr>
            <w:tcW w:w="5017" w:type="dxa"/>
            <w:gridSpan w:val="3"/>
            <w:tcBorders>
              <w:top w:val="single" w:sz="4" w:space="0" w:color="auto"/>
              <w:bottom w:val="single" w:sz="2" w:space="0" w:color="auto"/>
            </w:tcBorders>
            <w:shd w:val="clear" w:color="auto" w:fill="8DB3E2" w:themeFill="text2" w:themeFillTint="66"/>
            <w:noWrap/>
            <w:vAlign w:val="center"/>
          </w:tcPr>
          <w:p w:rsidR="000C076E" w:rsidRDefault="000C076E" w:rsidP="00B66E05">
            <w:pPr>
              <w:spacing w:after="0"/>
              <w:ind w:firstLine="0"/>
              <w:jc w:val="center"/>
              <w:rPr>
                <w:rFonts w:ascii="Arial" w:hAnsi="Arial" w:cs="Arial"/>
                <w:bCs/>
                <w:color w:val="000000"/>
                <w:sz w:val="18"/>
                <w:szCs w:val="18"/>
                <w:lang w:eastAsia="es-ES"/>
              </w:rPr>
            </w:pPr>
            <w:r>
              <w:rPr>
                <w:rFonts w:ascii="Arial" w:hAnsi="Arial" w:cs="Arial"/>
                <w:bCs/>
                <w:color w:val="000000"/>
                <w:sz w:val="18"/>
                <w:szCs w:val="18"/>
                <w:lang w:eastAsia="es-ES"/>
              </w:rPr>
              <w:t>Gasto 2017</w:t>
            </w:r>
          </w:p>
        </w:tc>
      </w:tr>
      <w:tr w:rsidR="000C076E" w:rsidRPr="00D3579F" w:rsidTr="00AC7529">
        <w:trPr>
          <w:trHeight w:val="198"/>
          <w:jc w:val="center"/>
        </w:trPr>
        <w:tc>
          <w:tcPr>
            <w:tcW w:w="3798" w:type="dxa"/>
            <w:vMerge/>
            <w:shd w:val="clear" w:color="auto" w:fill="8DB3E2" w:themeFill="text2" w:themeFillTint="66"/>
            <w:noWrap/>
            <w:vAlign w:val="center"/>
          </w:tcPr>
          <w:p w:rsidR="000C076E" w:rsidRPr="00D3579F" w:rsidRDefault="000C076E" w:rsidP="00B66E05">
            <w:pPr>
              <w:spacing w:after="0"/>
              <w:ind w:firstLine="0"/>
              <w:jc w:val="left"/>
              <w:rPr>
                <w:rFonts w:ascii="Arial" w:hAnsi="Arial" w:cs="Arial"/>
                <w:color w:val="000000"/>
                <w:sz w:val="18"/>
                <w:szCs w:val="18"/>
                <w:lang w:val="es-ES" w:eastAsia="es-ES"/>
              </w:rPr>
            </w:pPr>
          </w:p>
        </w:tc>
        <w:tc>
          <w:tcPr>
            <w:tcW w:w="2442" w:type="dxa"/>
            <w:gridSpan w:val="2"/>
            <w:tcBorders>
              <w:top w:val="single" w:sz="2" w:space="0" w:color="auto"/>
              <w:bottom w:val="single" w:sz="2" w:space="0" w:color="auto"/>
            </w:tcBorders>
            <w:shd w:val="clear" w:color="auto" w:fill="8DB3E2" w:themeFill="text2" w:themeFillTint="66"/>
            <w:noWrap/>
            <w:vAlign w:val="center"/>
          </w:tcPr>
          <w:p w:rsidR="000C076E" w:rsidRDefault="000C076E" w:rsidP="00B66E05">
            <w:pPr>
              <w:spacing w:after="0"/>
              <w:ind w:firstLine="0"/>
              <w:jc w:val="right"/>
              <w:rPr>
                <w:rFonts w:ascii="Arial" w:hAnsi="Arial" w:cs="Arial"/>
                <w:bCs/>
                <w:color w:val="000000"/>
                <w:sz w:val="18"/>
                <w:szCs w:val="18"/>
                <w:lang w:eastAsia="es-ES"/>
              </w:rPr>
            </w:pPr>
            <w:r w:rsidRPr="00B35583">
              <w:rPr>
                <w:rFonts w:ascii="Arial" w:hAnsi="Arial" w:cs="Arial"/>
                <w:bCs/>
                <w:color w:val="000000"/>
                <w:sz w:val="18"/>
                <w:szCs w:val="18"/>
                <w:lang w:eastAsia="es-ES"/>
              </w:rPr>
              <w:t>Ayudas a la ense</w:t>
            </w:r>
            <w:r>
              <w:rPr>
                <w:rFonts w:ascii="Arial" w:hAnsi="Arial" w:cs="Arial"/>
                <w:bCs/>
                <w:color w:val="000000"/>
                <w:sz w:val="18"/>
                <w:szCs w:val="18"/>
                <w:lang w:eastAsia="es-ES"/>
              </w:rPr>
              <w:t>ñanza</w:t>
            </w:r>
          </w:p>
          <w:p w:rsidR="000C076E" w:rsidRDefault="000C076E" w:rsidP="00B66E05">
            <w:pPr>
              <w:spacing w:after="0"/>
              <w:ind w:firstLine="0"/>
              <w:jc w:val="right"/>
              <w:rPr>
                <w:rFonts w:ascii="Arial" w:hAnsi="Arial" w:cs="Arial"/>
                <w:bCs/>
                <w:color w:val="000000"/>
                <w:sz w:val="18"/>
                <w:szCs w:val="18"/>
                <w:lang w:eastAsia="es-ES"/>
              </w:rPr>
            </w:pPr>
            <w:r w:rsidRPr="00B35583">
              <w:rPr>
                <w:rFonts w:ascii="Arial" w:hAnsi="Arial" w:cs="Arial"/>
                <w:bCs/>
                <w:color w:val="000000"/>
                <w:sz w:val="18"/>
                <w:szCs w:val="18"/>
                <w:lang w:eastAsia="es-ES"/>
              </w:rPr>
              <w:t>euskera a personas adultas</w:t>
            </w:r>
          </w:p>
        </w:tc>
        <w:tc>
          <w:tcPr>
            <w:tcW w:w="2575" w:type="dxa"/>
            <w:tcBorders>
              <w:top w:val="single" w:sz="2" w:space="0" w:color="auto"/>
              <w:bottom w:val="single" w:sz="2" w:space="0" w:color="auto"/>
            </w:tcBorders>
            <w:shd w:val="clear" w:color="auto" w:fill="8DB3E2" w:themeFill="text2" w:themeFillTint="66"/>
            <w:vAlign w:val="center"/>
          </w:tcPr>
          <w:p w:rsidR="000C076E" w:rsidRDefault="000C076E" w:rsidP="00B66E05">
            <w:pPr>
              <w:spacing w:after="0"/>
              <w:ind w:firstLine="0"/>
              <w:jc w:val="right"/>
              <w:rPr>
                <w:rFonts w:ascii="Arial" w:hAnsi="Arial" w:cs="Arial"/>
                <w:bCs/>
                <w:color w:val="000000"/>
                <w:sz w:val="18"/>
                <w:szCs w:val="18"/>
                <w:lang w:eastAsia="es-ES"/>
              </w:rPr>
            </w:pPr>
            <w:r>
              <w:rPr>
                <w:rFonts w:ascii="Arial" w:hAnsi="Arial" w:cs="Arial"/>
                <w:bCs/>
                <w:color w:val="000000"/>
                <w:sz w:val="18"/>
                <w:szCs w:val="18"/>
                <w:lang w:eastAsia="es-ES"/>
              </w:rPr>
              <w:t xml:space="preserve">Ayudas a entidades sin ánimo </w:t>
            </w:r>
          </w:p>
          <w:p w:rsidR="000C076E" w:rsidRPr="00B35583" w:rsidRDefault="000C076E" w:rsidP="00B66E05">
            <w:pPr>
              <w:spacing w:after="0"/>
              <w:ind w:firstLine="0"/>
              <w:jc w:val="right"/>
              <w:rPr>
                <w:rFonts w:ascii="Arial" w:hAnsi="Arial" w:cs="Arial"/>
                <w:bCs/>
                <w:color w:val="000000"/>
                <w:sz w:val="18"/>
                <w:szCs w:val="18"/>
                <w:lang w:eastAsia="es-ES"/>
              </w:rPr>
            </w:pPr>
            <w:r w:rsidRPr="00B35583">
              <w:rPr>
                <w:rFonts w:ascii="Arial" w:hAnsi="Arial" w:cs="Arial"/>
                <w:bCs/>
                <w:color w:val="000000"/>
                <w:sz w:val="18"/>
                <w:szCs w:val="18"/>
                <w:lang w:eastAsia="es-ES"/>
              </w:rPr>
              <w:t>lucro para fomento euskera</w:t>
            </w:r>
          </w:p>
        </w:tc>
      </w:tr>
      <w:tr w:rsidR="000C076E" w:rsidRPr="00D3579F" w:rsidTr="00AC7529">
        <w:trPr>
          <w:trHeight w:val="198"/>
          <w:jc w:val="center"/>
        </w:trPr>
        <w:tc>
          <w:tcPr>
            <w:tcW w:w="3798" w:type="dxa"/>
            <w:vMerge/>
            <w:tcBorders>
              <w:bottom w:val="single" w:sz="4" w:space="0" w:color="auto"/>
            </w:tcBorders>
            <w:shd w:val="clear" w:color="auto" w:fill="8DB3E2" w:themeFill="text2" w:themeFillTint="66"/>
            <w:noWrap/>
            <w:vAlign w:val="center"/>
          </w:tcPr>
          <w:p w:rsidR="000C076E" w:rsidRPr="00D3579F" w:rsidRDefault="000C076E" w:rsidP="00B66E05">
            <w:pPr>
              <w:spacing w:after="0"/>
              <w:ind w:firstLine="0"/>
              <w:jc w:val="left"/>
              <w:rPr>
                <w:rFonts w:ascii="Arial" w:hAnsi="Arial" w:cs="Arial"/>
                <w:color w:val="000000"/>
                <w:sz w:val="18"/>
                <w:szCs w:val="18"/>
                <w:lang w:val="es-ES" w:eastAsia="es-ES"/>
              </w:rPr>
            </w:pPr>
          </w:p>
        </w:tc>
        <w:tc>
          <w:tcPr>
            <w:tcW w:w="1081" w:type="dxa"/>
            <w:tcBorders>
              <w:top w:val="single" w:sz="2" w:space="0" w:color="auto"/>
              <w:bottom w:val="single" w:sz="4" w:space="0" w:color="auto"/>
            </w:tcBorders>
            <w:shd w:val="clear" w:color="auto" w:fill="8DB3E2" w:themeFill="text2" w:themeFillTint="66"/>
            <w:noWrap/>
            <w:vAlign w:val="center"/>
          </w:tcPr>
          <w:p w:rsidR="000C076E" w:rsidRPr="00B35583" w:rsidRDefault="000C076E" w:rsidP="00B66E05">
            <w:pPr>
              <w:spacing w:after="0"/>
              <w:ind w:firstLine="0"/>
              <w:jc w:val="right"/>
              <w:rPr>
                <w:rFonts w:ascii="Arial" w:hAnsi="Arial" w:cs="Arial"/>
                <w:bCs/>
                <w:color w:val="000000"/>
                <w:sz w:val="18"/>
                <w:szCs w:val="18"/>
                <w:lang w:eastAsia="es-ES"/>
              </w:rPr>
            </w:pPr>
            <w:r>
              <w:rPr>
                <w:rFonts w:ascii="Arial" w:hAnsi="Arial" w:cs="Arial"/>
                <w:bCs/>
                <w:color w:val="000000"/>
                <w:sz w:val="18"/>
                <w:szCs w:val="18"/>
                <w:lang w:eastAsia="es-ES"/>
              </w:rPr>
              <w:t>Conv.22/E</w:t>
            </w:r>
          </w:p>
        </w:tc>
        <w:tc>
          <w:tcPr>
            <w:tcW w:w="1361" w:type="dxa"/>
            <w:tcBorders>
              <w:top w:val="single" w:sz="2" w:space="0" w:color="auto"/>
              <w:bottom w:val="single" w:sz="4" w:space="0" w:color="auto"/>
            </w:tcBorders>
            <w:shd w:val="clear" w:color="auto" w:fill="8DB3E2" w:themeFill="text2" w:themeFillTint="66"/>
            <w:vAlign w:val="center"/>
          </w:tcPr>
          <w:p w:rsidR="000C076E" w:rsidRDefault="000C076E" w:rsidP="00B66E05">
            <w:pPr>
              <w:spacing w:after="0"/>
              <w:ind w:firstLine="0"/>
              <w:jc w:val="right"/>
              <w:rPr>
                <w:rFonts w:ascii="Arial" w:hAnsi="Arial" w:cs="Arial"/>
                <w:bCs/>
                <w:color w:val="000000"/>
                <w:sz w:val="18"/>
                <w:szCs w:val="18"/>
                <w:lang w:eastAsia="es-ES"/>
              </w:rPr>
            </w:pPr>
            <w:r>
              <w:rPr>
                <w:rFonts w:ascii="Arial" w:hAnsi="Arial" w:cs="Arial"/>
                <w:bCs/>
                <w:color w:val="000000"/>
                <w:sz w:val="18"/>
                <w:szCs w:val="18"/>
                <w:lang w:eastAsia="es-ES"/>
              </w:rPr>
              <w:t>Conv.38/E</w:t>
            </w:r>
          </w:p>
        </w:tc>
        <w:tc>
          <w:tcPr>
            <w:tcW w:w="2575" w:type="dxa"/>
            <w:tcBorders>
              <w:top w:val="single" w:sz="2" w:space="0" w:color="auto"/>
              <w:bottom w:val="single" w:sz="4" w:space="0" w:color="auto"/>
            </w:tcBorders>
            <w:shd w:val="clear" w:color="auto" w:fill="8DB3E2" w:themeFill="text2" w:themeFillTint="66"/>
            <w:vAlign w:val="center"/>
          </w:tcPr>
          <w:p w:rsidR="000C076E" w:rsidRDefault="000C076E" w:rsidP="00B66E05">
            <w:pPr>
              <w:spacing w:after="0"/>
              <w:ind w:firstLine="0"/>
              <w:jc w:val="right"/>
              <w:rPr>
                <w:rFonts w:ascii="Arial" w:hAnsi="Arial" w:cs="Arial"/>
                <w:bCs/>
                <w:color w:val="000000"/>
                <w:sz w:val="18"/>
                <w:szCs w:val="18"/>
                <w:lang w:eastAsia="es-ES"/>
              </w:rPr>
            </w:pPr>
            <w:r>
              <w:rPr>
                <w:rFonts w:ascii="Arial" w:hAnsi="Arial" w:cs="Arial"/>
                <w:bCs/>
                <w:color w:val="000000"/>
                <w:sz w:val="18"/>
                <w:szCs w:val="18"/>
                <w:lang w:eastAsia="es-ES"/>
              </w:rPr>
              <w:t>Conv.11/E</w:t>
            </w:r>
          </w:p>
        </w:tc>
      </w:tr>
      <w:tr w:rsidR="000C076E" w:rsidRPr="00D3579F" w:rsidTr="00CD52C0">
        <w:trPr>
          <w:cantSplit/>
          <w:trHeight w:val="198"/>
          <w:jc w:val="center"/>
        </w:trPr>
        <w:tc>
          <w:tcPr>
            <w:tcW w:w="3798"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lang w:val="es-ES" w:eastAsia="es-ES"/>
              </w:rPr>
            </w:pPr>
            <w:r w:rsidRPr="00D3579F">
              <w:rPr>
                <w:rFonts w:ascii="Arial Narrow" w:hAnsi="Arial Narrow"/>
                <w:color w:val="000000"/>
                <w:lang w:val="es-ES" w:eastAsia="es-ES"/>
              </w:rPr>
              <w:t>A</w:t>
            </w:r>
            <w:r>
              <w:rPr>
                <w:rFonts w:ascii="Arial Narrow" w:hAnsi="Arial Narrow"/>
                <w:color w:val="000000"/>
                <w:lang w:val="es-ES" w:eastAsia="es-ES"/>
              </w:rPr>
              <w:t>EK</w:t>
            </w:r>
          </w:p>
        </w:tc>
        <w:tc>
          <w:tcPr>
            <w:tcW w:w="1081"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468.068</w:t>
            </w:r>
            <w:r w:rsidRPr="00D3579F">
              <w:rPr>
                <w:rFonts w:ascii="Arial Narrow" w:hAnsi="Arial Narrow"/>
                <w:color w:val="000000"/>
                <w:lang w:val="es-ES" w:eastAsia="es-ES"/>
              </w:rPr>
              <w:t xml:space="preserve">  </w:t>
            </w:r>
          </w:p>
        </w:tc>
        <w:tc>
          <w:tcPr>
            <w:tcW w:w="1361" w:type="dxa"/>
            <w:tcBorders>
              <w:top w:val="single" w:sz="4" w:space="0" w:color="auto"/>
              <w:bottom w:val="single" w:sz="2" w:space="0" w:color="auto"/>
            </w:tcBorders>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43.877</w:t>
            </w:r>
          </w:p>
        </w:tc>
        <w:tc>
          <w:tcPr>
            <w:tcW w:w="2575" w:type="dxa"/>
            <w:tcBorders>
              <w:top w:val="single" w:sz="4" w:space="0" w:color="auto"/>
              <w:bottom w:val="single" w:sz="2" w:space="0" w:color="auto"/>
            </w:tcBorders>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21.897</w:t>
            </w:r>
          </w:p>
        </w:tc>
      </w:tr>
      <w:tr w:rsidR="000C076E" w:rsidRPr="00D3579F" w:rsidTr="00CD52C0">
        <w:trPr>
          <w:cantSplit/>
          <w:trHeight w:val="198"/>
          <w:jc w:val="center"/>
        </w:trPr>
        <w:tc>
          <w:tcPr>
            <w:tcW w:w="3798" w:type="dxa"/>
            <w:tcBorders>
              <w:top w:val="single" w:sz="2" w:space="0" w:color="auto"/>
              <w:bottom w:val="single" w:sz="2" w:space="0" w:color="auto"/>
            </w:tcBorders>
            <w:shd w:val="clear" w:color="auto" w:fill="auto"/>
            <w:noWrap/>
            <w:vAlign w:val="center"/>
            <w:hideMark/>
          </w:tcPr>
          <w:p w:rsidR="000C076E" w:rsidRPr="00D3579F" w:rsidRDefault="000C076E" w:rsidP="00CD52C0">
            <w:pPr>
              <w:spacing w:after="0"/>
              <w:ind w:firstLine="0"/>
              <w:jc w:val="left"/>
              <w:rPr>
                <w:rFonts w:ascii="Arial Narrow" w:hAnsi="Arial Narrow"/>
                <w:color w:val="000000"/>
                <w:lang w:val="es-ES" w:eastAsia="es-ES"/>
              </w:rPr>
            </w:pPr>
            <w:r>
              <w:rPr>
                <w:rFonts w:ascii="Arial Narrow" w:hAnsi="Arial Narrow"/>
                <w:color w:val="000000"/>
                <w:lang w:val="es-ES" w:eastAsia="es-ES"/>
              </w:rPr>
              <w:t>Asociación C</w:t>
            </w:r>
            <w:r w:rsidRPr="00D3579F">
              <w:rPr>
                <w:rFonts w:ascii="Arial Narrow" w:hAnsi="Arial Narrow"/>
                <w:color w:val="000000"/>
                <w:lang w:val="es-ES" w:eastAsia="es-ES"/>
              </w:rPr>
              <w:t xml:space="preserve">ultural </w:t>
            </w:r>
            <w:r>
              <w:rPr>
                <w:rFonts w:ascii="Arial Narrow" w:hAnsi="Arial Narrow"/>
                <w:color w:val="000000"/>
                <w:lang w:val="es-ES" w:eastAsia="es-ES"/>
              </w:rPr>
              <w:t>A</w:t>
            </w:r>
            <w:r w:rsidRPr="00D3579F">
              <w:rPr>
                <w:rFonts w:ascii="Arial Narrow" w:hAnsi="Arial Narrow"/>
                <w:color w:val="000000"/>
                <w:lang w:val="es-ES" w:eastAsia="es-ES"/>
              </w:rPr>
              <w:t xml:space="preserve">rturo </w:t>
            </w:r>
            <w:proofErr w:type="spellStart"/>
            <w:r w:rsidR="00D866F2">
              <w:rPr>
                <w:rFonts w:ascii="Arial Narrow" w:hAnsi="Arial Narrow"/>
                <w:color w:val="000000"/>
                <w:lang w:val="es-ES" w:eastAsia="es-ES"/>
              </w:rPr>
              <w:t>Campion</w:t>
            </w:r>
            <w:proofErr w:type="spellEnd"/>
          </w:p>
        </w:tc>
        <w:tc>
          <w:tcPr>
            <w:tcW w:w="1081"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73.537</w:t>
            </w:r>
            <w:r w:rsidRPr="00D3579F">
              <w:rPr>
                <w:rFonts w:ascii="Arial Narrow" w:hAnsi="Arial Narrow"/>
                <w:color w:val="000000"/>
                <w:lang w:val="es-ES" w:eastAsia="es-ES"/>
              </w:rPr>
              <w:t xml:space="preserve">  </w:t>
            </w:r>
          </w:p>
        </w:tc>
        <w:tc>
          <w:tcPr>
            <w:tcW w:w="1361"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6.829</w:t>
            </w:r>
          </w:p>
        </w:tc>
        <w:tc>
          <w:tcPr>
            <w:tcW w:w="2575"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0</w:t>
            </w:r>
          </w:p>
        </w:tc>
      </w:tr>
      <w:tr w:rsidR="000C076E" w:rsidRPr="00D3579F" w:rsidTr="00CD52C0">
        <w:trPr>
          <w:cantSplit/>
          <w:trHeight w:val="198"/>
          <w:jc w:val="center"/>
        </w:trPr>
        <w:tc>
          <w:tcPr>
            <w:tcW w:w="3798"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lang w:val="es-ES" w:eastAsia="es-ES"/>
              </w:rPr>
            </w:pPr>
            <w:r>
              <w:rPr>
                <w:rFonts w:ascii="Arial Narrow" w:hAnsi="Arial Narrow"/>
                <w:color w:val="000000"/>
                <w:lang w:val="es-ES" w:eastAsia="es-ES"/>
              </w:rPr>
              <w:t>Fundació</w:t>
            </w:r>
            <w:r w:rsidRPr="00D3579F">
              <w:rPr>
                <w:rFonts w:ascii="Arial Narrow" w:hAnsi="Arial Narrow"/>
                <w:color w:val="000000"/>
                <w:lang w:val="es-ES" w:eastAsia="es-ES"/>
              </w:rPr>
              <w:t xml:space="preserve">n </w:t>
            </w:r>
            <w:proofErr w:type="spellStart"/>
            <w:r>
              <w:rPr>
                <w:rFonts w:ascii="Arial Narrow" w:hAnsi="Arial Narrow"/>
                <w:color w:val="000000"/>
                <w:lang w:val="es-ES" w:eastAsia="es-ES"/>
              </w:rPr>
              <w:t>S</w:t>
            </w:r>
            <w:r w:rsidRPr="00D3579F">
              <w:rPr>
                <w:rFonts w:ascii="Arial Narrow" w:hAnsi="Arial Narrow"/>
                <w:color w:val="000000"/>
                <w:lang w:val="es-ES" w:eastAsia="es-ES"/>
              </w:rPr>
              <w:t>ahats</w:t>
            </w:r>
            <w:proofErr w:type="spellEnd"/>
          </w:p>
        </w:tc>
        <w:tc>
          <w:tcPr>
            <w:tcW w:w="1081"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50.854</w:t>
            </w:r>
            <w:r w:rsidRPr="00D3579F">
              <w:rPr>
                <w:rFonts w:ascii="Arial Narrow" w:hAnsi="Arial Narrow"/>
                <w:color w:val="000000"/>
                <w:lang w:val="es-ES" w:eastAsia="es-ES"/>
              </w:rPr>
              <w:t xml:space="preserve">  </w:t>
            </w:r>
          </w:p>
        </w:tc>
        <w:tc>
          <w:tcPr>
            <w:tcW w:w="1361"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4.975</w:t>
            </w:r>
          </w:p>
        </w:tc>
        <w:tc>
          <w:tcPr>
            <w:tcW w:w="2575"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0</w:t>
            </w:r>
          </w:p>
        </w:tc>
      </w:tr>
      <w:tr w:rsidR="000C076E" w:rsidRPr="00D3579F" w:rsidTr="00CD52C0">
        <w:trPr>
          <w:cantSplit/>
          <w:trHeight w:val="198"/>
          <w:jc w:val="center"/>
        </w:trPr>
        <w:tc>
          <w:tcPr>
            <w:tcW w:w="3798"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lang w:val="es-ES" w:eastAsia="es-ES"/>
              </w:rPr>
            </w:pPr>
            <w:proofErr w:type="spellStart"/>
            <w:r>
              <w:rPr>
                <w:rFonts w:ascii="Arial Narrow" w:hAnsi="Arial Narrow"/>
                <w:color w:val="000000"/>
                <w:lang w:val="es-ES" w:eastAsia="es-ES"/>
              </w:rPr>
              <w:t>Bortzirietako</w:t>
            </w:r>
            <w:proofErr w:type="spellEnd"/>
            <w:r>
              <w:rPr>
                <w:rFonts w:ascii="Arial Narrow" w:hAnsi="Arial Narrow"/>
                <w:color w:val="000000"/>
                <w:lang w:val="es-ES" w:eastAsia="es-ES"/>
              </w:rPr>
              <w:t xml:space="preserve"> </w:t>
            </w:r>
            <w:proofErr w:type="spellStart"/>
            <w:r>
              <w:rPr>
                <w:rFonts w:ascii="Arial Narrow" w:hAnsi="Arial Narrow"/>
                <w:color w:val="000000"/>
                <w:lang w:val="es-ES" w:eastAsia="es-ES"/>
              </w:rPr>
              <w:t>E</w:t>
            </w:r>
            <w:r w:rsidRPr="00D3579F">
              <w:rPr>
                <w:rFonts w:ascii="Arial Narrow" w:hAnsi="Arial Narrow"/>
                <w:color w:val="000000"/>
                <w:lang w:val="es-ES" w:eastAsia="es-ES"/>
              </w:rPr>
              <w:t>uskaltegia</w:t>
            </w:r>
            <w:proofErr w:type="spellEnd"/>
            <w:r w:rsidRPr="00D3579F">
              <w:rPr>
                <w:rFonts w:ascii="Arial Narrow" w:hAnsi="Arial Narrow"/>
                <w:color w:val="000000"/>
                <w:lang w:val="es-ES" w:eastAsia="es-ES"/>
              </w:rPr>
              <w:t xml:space="preserve"> </w:t>
            </w:r>
            <w:r w:rsidR="00D866F2">
              <w:rPr>
                <w:rFonts w:ascii="Arial Narrow" w:hAnsi="Arial Narrow"/>
                <w:color w:val="000000"/>
                <w:lang w:val="es-ES" w:eastAsia="es-ES"/>
              </w:rPr>
              <w:t>IKA</w:t>
            </w:r>
          </w:p>
        </w:tc>
        <w:tc>
          <w:tcPr>
            <w:tcW w:w="1081"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19.752</w:t>
            </w:r>
            <w:r w:rsidRPr="00D3579F">
              <w:rPr>
                <w:rFonts w:ascii="Arial Narrow" w:hAnsi="Arial Narrow"/>
                <w:color w:val="000000"/>
                <w:lang w:val="es-ES" w:eastAsia="es-ES"/>
              </w:rPr>
              <w:t xml:space="preserve">  </w:t>
            </w:r>
          </w:p>
        </w:tc>
        <w:tc>
          <w:tcPr>
            <w:tcW w:w="1361"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2.269</w:t>
            </w:r>
          </w:p>
        </w:tc>
        <w:tc>
          <w:tcPr>
            <w:tcW w:w="2575"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0</w:t>
            </w:r>
          </w:p>
        </w:tc>
      </w:tr>
      <w:tr w:rsidR="000C076E" w:rsidRPr="00D3579F" w:rsidTr="00CD52C0">
        <w:trPr>
          <w:cantSplit/>
          <w:trHeight w:val="198"/>
          <w:jc w:val="center"/>
        </w:trPr>
        <w:tc>
          <w:tcPr>
            <w:tcW w:w="3798"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lang w:val="es-ES" w:eastAsia="es-ES"/>
              </w:rPr>
            </w:pPr>
            <w:r>
              <w:rPr>
                <w:rFonts w:ascii="Arial Narrow" w:hAnsi="Arial Narrow"/>
                <w:color w:val="000000"/>
                <w:lang w:val="es-ES" w:eastAsia="es-ES"/>
              </w:rPr>
              <w:t xml:space="preserve">Asociación </w:t>
            </w:r>
            <w:proofErr w:type="spellStart"/>
            <w:r>
              <w:rPr>
                <w:rFonts w:ascii="Arial Narrow" w:hAnsi="Arial Narrow"/>
                <w:color w:val="000000"/>
                <w:lang w:val="es-ES" w:eastAsia="es-ES"/>
              </w:rPr>
              <w:t>L</w:t>
            </w:r>
            <w:r w:rsidRPr="00D3579F">
              <w:rPr>
                <w:rFonts w:ascii="Arial Narrow" w:hAnsi="Arial Narrow"/>
                <w:color w:val="000000"/>
                <w:lang w:val="es-ES" w:eastAsia="es-ES"/>
              </w:rPr>
              <w:t>eitzako</w:t>
            </w:r>
            <w:proofErr w:type="spellEnd"/>
            <w:r w:rsidRPr="00D3579F">
              <w:rPr>
                <w:rFonts w:ascii="Arial Narrow" w:hAnsi="Arial Narrow"/>
                <w:color w:val="000000"/>
                <w:lang w:val="es-ES" w:eastAsia="es-ES"/>
              </w:rPr>
              <w:t xml:space="preserve"> </w:t>
            </w:r>
            <w:proofErr w:type="spellStart"/>
            <w:r>
              <w:rPr>
                <w:rFonts w:ascii="Arial Narrow" w:hAnsi="Arial Narrow"/>
                <w:color w:val="000000"/>
                <w:lang w:val="es-ES" w:eastAsia="es-ES"/>
              </w:rPr>
              <w:t>E</w:t>
            </w:r>
            <w:r w:rsidRPr="00D3579F">
              <w:rPr>
                <w:rFonts w:ascii="Arial Narrow" w:hAnsi="Arial Narrow"/>
                <w:color w:val="000000"/>
                <w:lang w:val="es-ES" w:eastAsia="es-ES"/>
              </w:rPr>
              <w:t>uskaltegia</w:t>
            </w:r>
            <w:proofErr w:type="spellEnd"/>
          </w:p>
        </w:tc>
        <w:tc>
          <w:tcPr>
            <w:tcW w:w="1081"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10.993</w:t>
            </w:r>
            <w:r w:rsidRPr="00D3579F">
              <w:rPr>
                <w:rFonts w:ascii="Arial Narrow" w:hAnsi="Arial Narrow"/>
                <w:color w:val="000000"/>
                <w:lang w:val="es-ES" w:eastAsia="es-ES"/>
              </w:rPr>
              <w:t xml:space="preserve">  </w:t>
            </w:r>
          </w:p>
        </w:tc>
        <w:tc>
          <w:tcPr>
            <w:tcW w:w="1361"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713</w:t>
            </w:r>
          </w:p>
        </w:tc>
        <w:tc>
          <w:tcPr>
            <w:tcW w:w="2575"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0</w:t>
            </w:r>
          </w:p>
        </w:tc>
      </w:tr>
      <w:tr w:rsidR="000C076E" w:rsidRPr="00D3579F" w:rsidTr="00CD52C0">
        <w:trPr>
          <w:cantSplit/>
          <w:trHeight w:val="198"/>
          <w:jc w:val="center"/>
        </w:trPr>
        <w:tc>
          <w:tcPr>
            <w:tcW w:w="3798"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lang w:val="es-ES" w:eastAsia="es-ES"/>
              </w:rPr>
            </w:pPr>
            <w:r>
              <w:rPr>
                <w:rFonts w:ascii="Arial Narrow" w:hAnsi="Arial Narrow"/>
                <w:color w:val="000000"/>
                <w:lang w:val="es-ES" w:eastAsia="es-ES"/>
              </w:rPr>
              <w:t>Asociación C</w:t>
            </w:r>
            <w:r w:rsidRPr="00D3579F">
              <w:rPr>
                <w:rFonts w:ascii="Arial Narrow" w:hAnsi="Arial Narrow"/>
                <w:color w:val="000000"/>
                <w:lang w:val="es-ES" w:eastAsia="es-ES"/>
              </w:rPr>
              <w:t xml:space="preserve">ultural </w:t>
            </w:r>
            <w:proofErr w:type="spellStart"/>
            <w:r>
              <w:rPr>
                <w:rFonts w:ascii="Arial Narrow" w:hAnsi="Arial Narrow"/>
                <w:color w:val="000000"/>
                <w:lang w:val="es-ES" w:eastAsia="es-ES"/>
              </w:rPr>
              <w:t>G</w:t>
            </w:r>
            <w:r w:rsidRPr="00D3579F">
              <w:rPr>
                <w:rFonts w:ascii="Arial Narrow" w:hAnsi="Arial Narrow"/>
                <w:color w:val="000000"/>
                <w:lang w:val="es-ES" w:eastAsia="es-ES"/>
              </w:rPr>
              <w:t>aueskola</w:t>
            </w:r>
            <w:proofErr w:type="spellEnd"/>
            <w:r w:rsidRPr="00D3579F">
              <w:rPr>
                <w:rFonts w:ascii="Arial Narrow" w:hAnsi="Arial Narrow"/>
                <w:color w:val="000000"/>
                <w:lang w:val="es-ES" w:eastAsia="es-ES"/>
              </w:rPr>
              <w:t xml:space="preserve"> </w:t>
            </w:r>
            <w:proofErr w:type="spellStart"/>
            <w:r>
              <w:rPr>
                <w:rFonts w:ascii="Arial Narrow" w:hAnsi="Arial Narrow"/>
                <w:color w:val="000000"/>
                <w:lang w:val="es-ES" w:eastAsia="es-ES"/>
              </w:rPr>
              <w:t>B</w:t>
            </w:r>
            <w:r w:rsidRPr="00D3579F">
              <w:rPr>
                <w:rFonts w:ascii="Arial Narrow" w:hAnsi="Arial Narrow"/>
                <w:color w:val="000000"/>
                <w:lang w:val="es-ES" w:eastAsia="es-ES"/>
              </w:rPr>
              <w:t>urlata</w:t>
            </w:r>
            <w:proofErr w:type="spellEnd"/>
          </w:p>
        </w:tc>
        <w:tc>
          <w:tcPr>
            <w:tcW w:w="1081"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4.375</w:t>
            </w:r>
            <w:r w:rsidRPr="00D3579F">
              <w:rPr>
                <w:rFonts w:ascii="Arial Narrow" w:hAnsi="Arial Narrow"/>
                <w:color w:val="000000"/>
                <w:lang w:val="es-ES" w:eastAsia="es-ES"/>
              </w:rPr>
              <w:t xml:space="preserve">  </w:t>
            </w:r>
          </w:p>
        </w:tc>
        <w:tc>
          <w:tcPr>
            <w:tcW w:w="1361"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667</w:t>
            </w:r>
          </w:p>
        </w:tc>
        <w:tc>
          <w:tcPr>
            <w:tcW w:w="2575"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0</w:t>
            </w:r>
          </w:p>
        </w:tc>
      </w:tr>
      <w:tr w:rsidR="000C076E" w:rsidRPr="00D3579F" w:rsidTr="00CD52C0">
        <w:trPr>
          <w:cantSplit/>
          <w:trHeight w:val="198"/>
          <w:jc w:val="center"/>
        </w:trPr>
        <w:tc>
          <w:tcPr>
            <w:tcW w:w="3798"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firstLine="0"/>
              <w:jc w:val="left"/>
              <w:rPr>
                <w:rFonts w:ascii="Arial Narrow" w:hAnsi="Arial Narrow"/>
                <w:color w:val="000000"/>
                <w:lang w:val="es-ES" w:eastAsia="es-ES"/>
              </w:rPr>
            </w:pPr>
            <w:r w:rsidRPr="00D3579F">
              <w:rPr>
                <w:rFonts w:ascii="Arial Narrow" w:hAnsi="Arial Narrow"/>
                <w:color w:val="000000"/>
                <w:lang w:val="es-ES" w:eastAsia="es-ES"/>
              </w:rPr>
              <w:t>Asociaci</w:t>
            </w:r>
            <w:r>
              <w:rPr>
                <w:rFonts w:ascii="Arial Narrow" w:hAnsi="Arial Narrow"/>
                <w:color w:val="000000"/>
                <w:lang w:val="es-ES" w:eastAsia="es-ES"/>
              </w:rPr>
              <w:t>ón C</w:t>
            </w:r>
            <w:r w:rsidRPr="00D3579F">
              <w:rPr>
                <w:rFonts w:ascii="Arial Narrow" w:hAnsi="Arial Narrow"/>
                <w:color w:val="000000"/>
                <w:lang w:val="es-ES" w:eastAsia="es-ES"/>
              </w:rPr>
              <w:t xml:space="preserve">ultural </w:t>
            </w:r>
            <w:proofErr w:type="spellStart"/>
            <w:r>
              <w:rPr>
                <w:rFonts w:ascii="Arial Narrow" w:hAnsi="Arial Narrow"/>
                <w:color w:val="000000"/>
                <w:lang w:val="es-ES" w:eastAsia="es-ES"/>
              </w:rPr>
              <w:t>Doneztebeko</w:t>
            </w:r>
            <w:proofErr w:type="spellEnd"/>
            <w:r>
              <w:rPr>
                <w:rFonts w:ascii="Arial Narrow" w:hAnsi="Arial Narrow"/>
                <w:color w:val="000000"/>
                <w:lang w:val="es-ES" w:eastAsia="es-ES"/>
              </w:rPr>
              <w:t xml:space="preserve"> </w:t>
            </w:r>
            <w:proofErr w:type="spellStart"/>
            <w:r>
              <w:rPr>
                <w:rFonts w:ascii="Arial Narrow" w:hAnsi="Arial Narrow"/>
                <w:color w:val="000000"/>
                <w:lang w:val="es-ES" w:eastAsia="es-ES"/>
              </w:rPr>
              <w:t>E</w:t>
            </w:r>
            <w:r w:rsidRPr="00D3579F">
              <w:rPr>
                <w:rFonts w:ascii="Arial Narrow" w:hAnsi="Arial Narrow"/>
                <w:color w:val="000000"/>
                <w:lang w:val="es-ES" w:eastAsia="es-ES"/>
              </w:rPr>
              <w:t>uskaltegia</w:t>
            </w:r>
            <w:proofErr w:type="spellEnd"/>
          </w:p>
        </w:tc>
        <w:tc>
          <w:tcPr>
            <w:tcW w:w="1081" w:type="dxa"/>
            <w:tcBorders>
              <w:top w:val="single" w:sz="2" w:space="0" w:color="auto"/>
              <w:bottom w:val="single" w:sz="2" w:space="0" w:color="auto"/>
            </w:tcBorders>
            <w:shd w:val="clear" w:color="auto" w:fill="auto"/>
            <w:noWrap/>
            <w:vAlign w:val="center"/>
            <w:hideMark/>
          </w:tcPr>
          <w:p w:rsidR="000C076E" w:rsidRPr="00D3579F"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5.935</w:t>
            </w:r>
            <w:r w:rsidRPr="00D3579F">
              <w:rPr>
                <w:rFonts w:ascii="Arial Narrow" w:hAnsi="Arial Narrow"/>
                <w:color w:val="000000"/>
                <w:lang w:val="es-ES" w:eastAsia="es-ES"/>
              </w:rPr>
              <w:t xml:space="preserve">  </w:t>
            </w:r>
          </w:p>
        </w:tc>
        <w:tc>
          <w:tcPr>
            <w:tcW w:w="1361"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670</w:t>
            </w:r>
          </w:p>
        </w:tc>
        <w:tc>
          <w:tcPr>
            <w:tcW w:w="2575"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0</w:t>
            </w:r>
          </w:p>
        </w:tc>
      </w:tr>
      <w:tr w:rsidR="000C076E" w:rsidRPr="00D3579F" w:rsidTr="00CD52C0">
        <w:trPr>
          <w:cantSplit/>
          <w:trHeight w:val="198"/>
          <w:jc w:val="center"/>
        </w:trPr>
        <w:tc>
          <w:tcPr>
            <w:tcW w:w="3798" w:type="dxa"/>
            <w:tcBorders>
              <w:top w:val="single" w:sz="2" w:space="0" w:color="auto"/>
              <w:bottom w:val="single" w:sz="2" w:space="0" w:color="auto"/>
            </w:tcBorders>
            <w:shd w:val="clear" w:color="auto" w:fill="auto"/>
            <w:noWrap/>
            <w:vAlign w:val="center"/>
          </w:tcPr>
          <w:p w:rsidR="000C076E" w:rsidRPr="00D3579F" w:rsidRDefault="000C076E" w:rsidP="00B66E05">
            <w:pPr>
              <w:spacing w:after="0"/>
              <w:ind w:firstLine="0"/>
              <w:jc w:val="left"/>
              <w:rPr>
                <w:rFonts w:ascii="Arial Narrow" w:hAnsi="Arial Narrow"/>
                <w:color w:val="000000"/>
                <w:lang w:val="es-ES" w:eastAsia="es-ES"/>
              </w:rPr>
            </w:pPr>
            <w:proofErr w:type="spellStart"/>
            <w:r>
              <w:rPr>
                <w:rFonts w:ascii="Arial Narrow" w:hAnsi="Arial Narrow"/>
                <w:color w:val="000000"/>
                <w:lang w:val="es-ES" w:eastAsia="es-ES"/>
              </w:rPr>
              <w:t>Topagunea</w:t>
            </w:r>
            <w:proofErr w:type="spellEnd"/>
            <w:r>
              <w:rPr>
                <w:rFonts w:ascii="Arial Narrow" w:hAnsi="Arial Narrow"/>
                <w:color w:val="000000"/>
                <w:lang w:val="es-ES" w:eastAsia="es-ES"/>
              </w:rPr>
              <w:t xml:space="preserve"> E</w:t>
            </w:r>
            <w:r w:rsidRPr="00D3579F">
              <w:rPr>
                <w:rFonts w:ascii="Arial Narrow" w:hAnsi="Arial Narrow"/>
                <w:color w:val="000000"/>
                <w:lang w:val="es-ES" w:eastAsia="es-ES"/>
              </w:rPr>
              <w:t xml:space="preserve">uskara </w:t>
            </w:r>
            <w:proofErr w:type="spellStart"/>
            <w:r>
              <w:rPr>
                <w:rFonts w:ascii="Arial Narrow" w:hAnsi="Arial Narrow"/>
                <w:color w:val="000000"/>
                <w:lang w:val="es-ES" w:eastAsia="es-ES"/>
              </w:rPr>
              <w:t>E</w:t>
            </w:r>
            <w:r w:rsidRPr="00D3579F">
              <w:rPr>
                <w:rFonts w:ascii="Arial Narrow" w:hAnsi="Arial Narrow"/>
                <w:color w:val="000000"/>
                <w:lang w:val="es-ES" w:eastAsia="es-ES"/>
              </w:rPr>
              <w:t>lkarteen</w:t>
            </w:r>
            <w:proofErr w:type="spellEnd"/>
            <w:r w:rsidRPr="00D3579F">
              <w:rPr>
                <w:rFonts w:ascii="Arial Narrow" w:hAnsi="Arial Narrow"/>
                <w:color w:val="000000"/>
                <w:lang w:val="es-ES" w:eastAsia="es-ES"/>
              </w:rPr>
              <w:t xml:space="preserve"> </w:t>
            </w:r>
            <w:proofErr w:type="spellStart"/>
            <w:r>
              <w:rPr>
                <w:rFonts w:ascii="Arial Narrow" w:hAnsi="Arial Narrow"/>
                <w:color w:val="000000"/>
                <w:lang w:val="es-ES" w:eastAsia="es-ES"/>
              </w:rPr>
              <w:t>F</w:t>
            </w:r>
            <w:r w:rsidRPr="00D3579F">
              <w:rPr>
                <w:rFonts w:ascii="Arial Narrow" w:hAnsi="Arial Narrow"/>
                <w:color w:val="000000"/>
                <w:lang w:val="es-ES" w:eastAsia="es-ES"/>
              </w:rPr>
              <w:t>ederazioa</w:t>
            </w:r>
            <w:proofErr w:type="spellEnd"/>
          </w:p>
        </w:tc>
        <w:tc>
          <w:tcPr>
            <w:tcW w:w="1081" w:type="dxa"/>
            <w:tcBorders>
              <w:top w:val="single" w:sz="2" w:space="0" w:color="auto"/>
              <w:bottom w:val="single" w:sz="2" w:space="0" w:color="auto"/>
            </w:tcBorders>
            <w:shd w:val="clear" w:color="auto" w:fill="auto"/>
            <w:noWrap/>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0</w:t>
            </w:r>
          </w:p>
        </w:tc>
        <w:tc>
          <w:tcPr>
            <w:tcW w:w="1361"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0</w:t>
            </w:r>
          </w:p>
        </w:tc>
        <w:tc>
          <w:tcPr>
            <w:tcW w:w="2575"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63.697</w:t>
            </w:r>
          </w:p>
        </w:tc>
      </w:tr>
      <w:tr w:rsidR="000C076E" w:rsidRPr="00D3579F" w:rsidTr="00CD52C0">
        <w:trPr>
          <w:cantSplit/>
          <w:trHeight w:val="198"/>
          <w:jc w:val="center"/>
        </w:trPr>
        <w:tc>
          <w:tcPr>
            <w:tcW w:w="3798" w:type="dxa"/>
            <w:tcBorders>
              <w:top w:val="single" w:sz="2" w:space="0" w:color="auto"/>
              <w:bottom w:val="single" w:sz="2" w:space="0" w:color="auto"/>
            </w:tcBorders>
            <w:shd w:val="clear" w:color="auto" w:fill="auto"/>
            <w:noWrap/>
            <w:vAlign w:val="center"/>
          </w:tcPr>
          <w:p w:rsidR="000C076E" w:rsidRPr="00D3579F" w:rsidRDefault="000C076E" w:rsidP="00B66E05">
            <w:pPr>
              <w:spacing w:after="0"/>
              <w:ind w:firstLine="0"/>
              <w:jc w:val="left"/>
              <w:rPr>
                <w:rFonts w:ascii="Arial Narrow" w:hAnsi="Arial Narrow"/>
                <w:color w:val="000000"/>
                <w:lang w:val="es-ES" w:eastAsia="es-ES"/>
              </w:rPr>
            </w:pPr>
            <w:proofErr w:type="spellStart"/>
            <w:r>
              <w:rPr>
                <w:rFonts w:ascii="Arial Narrow" w:hAnsi="Arial Narrow"/>
                <w:color w:val="000000"/>
                <w:lang w:val="es-ES" w:eastAsia="es-ES"/>
              </w:rPr>
              <w:t>Hizkuntz</w:t>
            </w:r>
            <w:proofErr w:type="spellEnd"/>
            <w:r>
              <w:rPr>
                <w:rFonts w:ascii="Arial Narrow" w:hAnsi="Arial Narrow"/>
                <w:color w:val="000000"/>
                <w:lang w:val="es-ES" w:eastAsia="es-ES"/>
              </w:rPr>
              <w:t xml:space="preserve"> </w:t>
            </w:r>
            <w:proofErr w:type="spellStart"/>
            <w:r>
              <w:rPr>
                <w:rFonts w:ascii="Arial Narrow" w:hAnsi="Arial Narrow"/>
                <w:color w:val="000000"/>
                <w:lang w:val="es-ES" w:eastAsia="es-ES"/>
              </w:rPr>
              <w:t>E</w:t>
            </w:r>
            <w:r w:rsidRPr="00D3579F">
              <w:rPr>
                <w:rFonts w:ascii="Arial Narrow" w:hAnsi="Arial Narrow"/>
                <w:color w:val="000000"/>
                <w:lang w:val="es-ES" w:eastAsia="es-ES"/>
              </w:rPr>
              <w:t>skubideen</w:t>
            </w:r>
            <w:proofErr w:type="spellEnd"/>
            <w:r w:rsidRPr="00D3579F">
              <w:rPr>
                <w:rFonts w:ascii="Arial Narrow" w:hAnsi="Arial Narrow"/>
                <w:color w:val="000000"/>
                <w:lang w:val="es-ES" w:eastAsia="es-ES"/>
              </w:rPr>
              <w:t xml:space="preserve"> </w:t>
            </w:r>
            <w:proofErr w:type="spellStart"/>
            <w:r>
              <w:rPr>
                <w:rFonts w:ascii="Arial Narrow" w:hAnsi="Arial Narrow"/>
                <w:color w:val="000000"/>
                <w:lang w:val="es-ES" w:eastAsia="es-ES"/>
              </w:rPr>
              <w:t>B</w:t>
            </w:r>
            <w:r w:rsidRPr="00D3579F">
              <w:rPr>
                <w:rFonts w:ascii="Arial Narrow" w:hAnsi="Arial Narrow"/>
                <w:color w:val="000000"/>
                <w:lang w:val="es-ES" w:eastAsia="es-ES"/>
              </w:rPr>
              <w:t>ehatokia</w:t>
            </w:r>
            <w:proofErr w:type="spellEnd"/>
          </w:p>
        </w:tc>
        <w:tc>
          <w:tcPr>
            <w:tcW w:w="1081" w:type="dxa"/>
            <w:tcBorders>
              <w:top w:val="single" w:sz="2" w:space="0" w:color="auto"/>
              <w:bottom w:val="single" w:sz="2" w:space="0" w:color="auto"/>
            </w:tcBorders>
            <w:shd w:val="clear" w:color="auto" w:fill="auto"/>
            <w:noWrap/>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0</w:t>
            </w:r>
          </w:p>
        </w:tc>
        <w:tc>
          <w:tcPr>
            <w:tcW w:w="1361"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0</w:t>
            </w:r>
          </w:p>
        </w:tc>
        <w:tc>
          <w:tcPr>
            <w:tcW w:w="2575" w:type="dxa"/>
            <w:tcBorders>
              <w:top w:val="single" w:sz="2" w:space="0" w:color="auto"/>
              <w:bottom w:val="single" w:sz="2" w:space="0" w:color="auto"/>
            </w:tcBorders>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9.555</w:t>
            </w:r>
          </w:p>
        </w:tc>
      </w:tr>
      <w:tr w:rsidR="000C076E" w:rsidRPr="00D3579F" w:rsidTr="00CD52C0">
        <w:trPr>
          <w:cantSplit/>
          <w:trHeight w:val="198"/>
          <w:jc w:val="center"/>
        </w:trPr>
        <w:tc>
          <w:tcPr>
            <w:tcW w:w="3798" w:type="dxa"/>
            <w:tcBorders>
              <w:top w:val="single" w:sz="2" w:space="0" w:color="auto"/>
              <w:bottom w:val="single" w:sz="4" w:space="0" w:color="auto"/>
            </w:tcBorders>
            <w:shd w:val="clear" w:color="auto" w:fill="auto"/>
            <w:noWrap/>
            <w:vAlign w:val="center"/>
          </w:tcPr>
          <w:p w:rsidR="000C076E" w:rsidRDefault="000C076E" w:rsidP="00B66E05">
            <w:pPr>
              <w:spacing w:after="0"/>
              <w:ind w:firstLine="0"/>
              <w:jc w:val="left"/>
              <w:rPr>
                <w:rFonts w:ascii="Arial Narrow" w:hAnsi="Arial Narrow"/>
                <w:color w:val="000000"/>
                <w:lang w:val="es-ES" w:eastAsia="es-ES"/>
              </w:rPr>
            </w:pPr>
            <w:r>
              <w:rPr>
                <w:rFonts w:ascii="Arial Narrow" w:hAnsi="Arial Narrow"/>
                <w:color w:val="000000"/>
                <w:lang w:val="es-ES" w:eastAsia="es-ES"/>
              </w:rPr>
              <w:t>Federación Navarra de Ikastolas</w:t>
            </w:r>
          </w:p>
        </w:tc>
        <w:tc>
          <w:tcPr>
            <w:tcW w:w="1081" w:type="dxa"/>
            <w:tcBorders>
              <w:top w:val="single" w:sz="2" w:space="0" w:color="auto"/>
              <w:bottom w:val="single" w:sz="4" w:space="0" w:color="auto"/>
            </w:tcBorders>
            <w:shd w:val="clear" w:color="auto" w:fill="auto"/>
            <w:noWrap/>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0</w:t>
            </w:r>
          </w:p>
        </w:tc>
        <w:tc>
          <w:tcPr>
            <w:tcW w:w="1361" w:type="dxa"/>
            <w:tcBorders>
              <w:top w:val="single" w:sz="2" w:space="0" w:color="auto"/>
              <w:bottom w:val="single" w:sz="4" w:space="0" w:color="auto"/>
            </w:tcBorders>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0</w:t>
            </w:r>
          </w:p>
        </w:tc>
        <w:tc>
          <w:tcPr>
            <w:tcW w:w="2575" w:type="dxa"/>
            <w:tcBorders>
              <w:top w:val="single" w:sz="2" w:space="0" w:color="auto"/>
              <w:bottom w:val="single" w:sz="4" w:space="0" w:color="auto"/>
            </w:tcBorders>
            <w:vAlign w:val="center"/>
          </w:tcPr>
          <w:p w:rsidR="000C076E" w:rsidRDefault="000C076E" w:rsidP="00B66E05">
            <w:pPr>
              <w:spacing w:after="0"/>
              <w:ind w:firstLine="0"/>
              <w:jc w:val="right"/>
              <w:rPr>
                <w:rFonts w:ascii="Arial Narrow" w:hAnsi="Arial Narrow"/>
                <w:color w:val="000000"/>
                <w:lang w:val="es-ES" w:eastAsia="es-ES"/>
              </w:rPr>
            </w:pPr>
            <w:r>
              <w:rPr>
                <w:rFonts w:ascii="Arial Narrow" w:hAnsi="Arial Narrow"/>
                <w:color w:val="000000"/>
                <w:lang w:val="es-ES" w:eastAsia="es-ES"/>
              </w:rPr>
              <w:t>3.850</w:t>
            </w:r>
          </w:p>
        </w:tc>
      </w:tr>
      <w:tr w:rsidR="000C076E" w:rsidRPr="00D3579F" w:rsidTr="00AC7529">
        <w:trPr>
          <w:trHeight w:val="255"/>
          <w:jc w:val="center"/>
        </w:trPr>
        <w:tc>
          <w:tcPr>
            <w:tcW w:w="3798"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firstLine="0"/>
              <w:jc w:val="left"/>
              <w:rPr>
                <w:rFonts w:ascii="Arial" w:hAnsi="Arial" w:cs="Arial"/>
                <w:color w:val="000000"/>
                <w:sz w:val="18"/>
                <w:szCs w:val="18"/>
                <w:lang w:val="es-ES" w:eastAsia="es-ES"/>
              </w:rPr>
            </w:pPr>
            <w:r w:rsidRPr="00D3579F">
              <w:rPr>
                <w:rFonts w:ascii="Arial" w:hAnsi="Arial" w:cs="Arial"/>
                <w:color w:val="000000"/>
                <w:sz w:val="18"/>
                <w:szCs w:val="18"/>
                <w:lang w:val="es-ES" w:eastAsia="es-ES"/>
              </w:rPr>
              <w:t>Total</w:t>
            </w:r>
          </w:p>
        </w:tc>
        <w:tc>
          <w:tcPr>
            <w:tcW w:w="1081"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633.514</w:t>
            </w:r>
            <w:r w:rsidRPr="00D3579F">
              <w:rPr>
                <w:rFonts w:ascii="Arial" w:hAnsi="Arial" w:cs="Arial"/>
                <w:color w:val="000000"/>
                <w:sz w:val="18"/>
                <w:szCs w:val="18"/>
                <w:lang w:val="es-ES" w:eastAsia="es-ES"/>
              </w:rPr>
              <w:t xml:space="preserve">  </w:t>
            </w:r>
          </w:p>
        </w:tc>
        <w:tc>
          <w:tcPr>
            <w:tcW w:w="1361" w:type="dxa"/>
            <w:tcBorders>
              <w:top w:val="single" w:sz="4" w:space="0" w:color="auto"/>
              <w:bottom w:val="single" w:sz="4" w:space="0" w:color="auto"/>
            </w:tcBorders>
            <w:shd w:val="clear" w:color="auto" w:fill="8DB3E2" w:themeFill="text2" w:themeFillTint="66"/>
            <w:vAlign w:val="center"/>
          </w:tcPr>
          <w:p w:rsidR="000C076E" w:rsidRDefault="000C076E" w:rsidP="00B66E05">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60.000</w:t>
            </w:r>
          </w:p>
        </w:tc>
        <w:tc>
          <w:tcPr>
            <w:tcW w:w="2575" w:type="dxa"/>
            <w:tcBorders>
              <w:top w:val="single" w:sz="4" w:space="0" w:color="auto"/>
              <w:bottom w:val="single" w:sz="4" w:space="0" w:color="auto"/>
            </w:tcBorders>
            <w:shd w:val="clear" w:color="auto" w:fill="8DB3E2" w:themeFill="text2" w:themeFillTint="66"/>
            <w:vAlign w:val="center"/>
          </w:tcPr>
          <w:p w:rsidR="000C076E" w:rsidRDefault="000C076E" w:rsidP="00B66E05">
            <w:pPr>
              <w:spacing w:after="0"/>
              <w:ind w:firstLine="0"/>
              <w:jc w:val="right"/>
              <w:rPr>
                <w:rFonts w:ascii="Arial" w:hAnsi="Arial" w:cs="Arial"/>
                <w:color w:val="000000"/>
                <w:sz w:val="18"/>
                <w:szCs w:val="18"/>
                <w:lang w:val="es-ES" w:eastAsia="es-ES"/>
              </w:rPr>
            </w:pPr>
            <w:r>
              <w:rPr>
                <w:rFonts w:ascii="Arial" w:hAnsi="Arial" w:cs="Arial"/>
                <w:color w:val="000000"/>
                <w:sz w:val="18"/>
                <w:szCs w:val="18"/>
                <w:lang w:val="es-ES" w:eastAsia="es-ES"/>
              </w:rPr>
              <w:t>98.999</w:t>
            </w:r>
          </w:p>
        </w:tc>
      </w:tr>
    </w:tbl>
    <w:p w:rsidR="000C076E" w:rsidRDefault="000C076E" w:rsidP="000C076E">
      <w:pPr>
        <w:pStyle w:val="texto"/>
        <w:spacing w:before="240" w:after="120"/>
        <w:rPr>
          <w:rFonts w:cs="Arial"/>
        </w:rPr>
      </w:pPr>
      <w:r>
        <w:rPr>
          <w:rFonts w:cs="Arial"/>
        </w:rPr>
        <w:t>Hemos verificado que tanto el pago como la posterior justificación y control de las ayudas a entidades sin ánimo de lucro para fomento del euskera han sido razonables y adecuados.</w:t>
      </w:r>
    </w:p>
    <w:p w:rsidR="000C076E" w:rsidRDefault="000C076E" w:rsidP="000C076E">
      <w:pPr>
        <w:pStyle w:val="texto"/>
        <w:spacing w:before="120" w:after="240"/>
        <w:rPr>
          <w:rFonts w:cs="Arial"/>
        </w:rPr>
      </w:pPr>
      <w:r>
        <w:rPr>
          <w:rFonts w:cs="Arial"/>
        </w:rPr>
        <w:t xml:space="preserve">Respecto a las ayudas a la enseñanza de euskera a personas adultas, cuyo gasto supone prácticamente la totalidad de la subvención, el importe asignado a cada solicitante se determina en función de las horas y alumnos declarados por </w:t>
      </w:r>
      <w:r>
        <w:rPr>
          <w:rFonts w:cs="Arial"/>
        </w:rPr>
        <w:lastRenderedPageBreak/>
        <w:t>los mismos; al respecto, la ACFN verifica, con los justificantes de gastos e i</w:t>
      </w:r>
      <w:r>
        <w:rPr>
          <w:rFonts w:cs="Arial"/>
        </w:rPr>
        <w:t>n</w:t>
      </w:r>
      <w:r>
        <w:rPr>
          <w:rFonts w:cs="Arial"/>
        </w:rPr>
        <w:t>gresos presentados, que la ayuda no sea superior al déficit, si bien no se real</w:t>
      </w:r>
      <w:r>
        <w:rPr>
          <w:rFonts w:cs="Arial"/>
        </w:rPr>
        <w:t>i</w:t>
      </w:r>
      <w:r>
        <w:rPr>
          <w:rFonts w:cs="Arial"/>
        </w:rPr>
        <w:t>zan comprobaciones sobre la veracidad de los datos de horas ni de alumnos d</w:t>
      </w:r>
      <w:r>
        <w:rPr>
          <w:rFonts w:cs="Arial"/>
        </w:rPr>
        <w:t>e</w:t>
      </w:r>
      <w:r>
        <w:rPr>
          <w:rFonts w:cs="Arial"/>
        </w:rPr>
        <w:t xml:space="preserve">clarados por los solicitantes de las ayudas. </w:t>
      </w:r>
    </w:p>
    <w:p w:rsidR="000C076E" w:rsidRDefault="000C076E" w:rsidP="000C076E">
      <w:pPr>
        <w:spacing w:before="240" w:after="120"/>
        <w:ind w:firstLine="284"/>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t>Revisión muestra capítulo II bienes corrientes y servicios</w:t>
      </w:r>
    </w:p>
    <w:p w:rsidR="000C076E" w:rsidRDefault="000C076E" w:rsidP="000C076E">
      <w:pPr>
        <w:pStyle w:val="texto"/>
        <w:spacing w:before="120" w:after="240"/>
        <w:rPr>
          <w:rFonts w:cs="Arial"/>
        </w:rPr>
      </w:pPr>
      <w:r>
        <w:rPr>
          <w:rFonts w:cs="Arial"/>
        </w:rPr>
        <w:t>Hemos revisado el gasto correspondiente a los acreedores citados en la pet</w:t>
      </w:r>
      <w:r>
        <w:rPr>
          <w:rFonts w:cs="Arial"/>
        </w:rPr>
        <w:t>i</w:t>
      </w:r>
      <w:r>
        <w:rPr>
          <w:rFonts w:cs="Arial"/>
        </w:rPr>
        <w:t>ción de la siguiente partida presupuestaria:</w:t>
      </w:r>
    </w:p>
    <w:tbl>
      <w:tblPr>
        <w:tblW w:w="8765"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964"/>
        <w:gridCol w:w="1450"/>
        <w:gridCol w:w="1450"/>
        <w:gridCol w:w="1450"/>
        <w:gridCol w:w="1451"/>
      </w:tblGrid>
      <w:tr w:rsidR="000C076E" w:rsidRPr="00D3579F" w:rsidTr="00AC7529">
        <w:trPr>
          <w:trHeight w:val="255"/>
          <w:jc w:val="center"/>
        </w:trPr>
        <w:tc>
          <w:tcPr>
            <w:tcW w:w="2964" w:type="dxa"/>
            <w:shd w:val="clear" w:color="auto" w:fill="8DB3E2" w:themeFill="text2" w:themeFillTint="66"/>
            <w:noWrap/>
            <w:vAlign w:val="bottom"/>
            <w:hideMark/>
          </w:tcPr>
          <w:p w:rsidR="000C076E" w:rsidRPr="00D3579F" w:rsidRDefault="000C076E" w:rsidP="00B66E05">
            <w:pPr>
              <w:spacing w:after="0"/>
              <w:rPr>
                <w:rFonts w:ascii="Arial" w:hAnsi="Arial" w:cs="Arial"/>
                <w:color w:val="000000"/>
                <w:sz w:val="18"/>
                <w:szCs w:val="18"/>
                <w:lang w:eastAsia="es-ES"/>
              </w:rPr>
            </w:pPr>
          </w:p>
        </w:tc>
        <w:tc>
          <w:tcPr>
            <w:tcW w:w="1450" w:type="dxa"/>
            <w:shd w:val="clear" w:color="auto" w:fill="8DB3E2" w:themeFill="text2" w:themeFillTint="66"/>
            <w:noWrap/>
            <w:vAlign w:val="center"/>
            <w:hideMark/>
          </w:tcPr>
          <w:p w:rsidR="001C37BF" w:rsidRDefault="000C076E" w:rsidP="00CD52C0">
            <w:pPr>
              <w:spacing w:after="0"/>
              <w:ind w:firstLine="0"/>
              <w:jc w:val="right"/>
              <w:rPr>
                <w:rFonts w:ascii="Arial" w:hAnsi="Arial" w:cs="Arial"/>
                <w:bCs/>
                <w:color w:val="000000"/>
                <w:sz w:val="18"/>
                <w:szCs w:val="18"/>
                <w:lang w:eastAsia="es-ES"/>
              </w:rPr>
            </w:pPr>
            <w:r>
              <w:rPr>
                <w:rFonts w:ascii="Arial" w:hAnsi="Arial" w:cs="Arial"/>
                <w:bCs/>
                <w:color w:val="000000"/>
                <w:sz w:val="18"/>
                <w:szCs w:val="18"/>
                <w:lang w:eastAsia="es-ES"/>
              </w:rPr>
              <w:t xml:space="preserve">Gasto </w:t>
            </w:r>
          </w:p>
          <w:p w:rsidR="000C076E" w:rsidRPr="00D3579F" w:rsidRDefault="000C076E" w:rsidP="00CD52C0">
            <w:pPr>
              <w:spacing w:after="0"/>
              <w:ind w:firstLine="0"/>
              <w:jc w:val="right"/>
              <w:rPr>
                <w:rFonts w:ascii="Arial" w:hAnsi="Arial" w:cs="Arial"/>
                <w:bCs/>
                <w:color w:val="000000"/>
                <w:sz w:val="18"/>
                <w:szCs w:val="18"/>
                <w:lang w:eastAsia="es-ES"/>
              </w:rPr>
            </w:pPr>
            <w:r w:rsidRPr="00D3579F">
              <w:rPr>
                <w:rFonts w:ascii="Arial" w:hAnsi="Arial" w:cs="Arial"/>
                <w:bCs/>
                <w:color w:val="000000"/>
                <w:sz w:val="18"/>
                <w:szCs w:val="18"/>
                <w:lang w:eastAsia="es-ES"/>
              </w:rPr>
              <w:t>2017</w:t>
            </w:r>
          </w:p>
        </w:tc>
        <w:tc>
          <w:tcPr>
            <w:tcW w:w="1450" w:type="dxa"/>
            <w:shd w:val="clear" w:color="auto" w:fill="8DB3E2" w:themeFill="text2" w:themeFillTint="66"/>
            <w:vAlign w:val="center"/>
          </w:tcPr>
          <w:p w:rsidR="000C076E" w:rsidRPr="00D3579F" w:rsidRDefault="000C076E" w:rsidP="00CD52C0">
            <w:pPr>
              <w:spacing w:after="0"/>
              <w:jc w:val="right"/>
              <w:rPr>
                <w:rFonts w:ascii="Arial" w:hAnsi="Arial" w:cs="Arial"/>
                <w:bCs/>
                <w:color w:val="000000"/>
                <w:sz w:val="18"/>
                <w:szCs w:val="18"/>
                <w:lang w:eastAsia="es-ES"/>
              </w:rPr>
            </w:pPr>
            <w:r>
              <w:rPr>
                <w:rFonts w:ascii="Arial" w:hAnsi="Arial" w:cs="Arial"/>
                <w:bCs/>
                <w:color w:val="000000"/>
                <w:sz w:val="18"/>
                <w:szCs w:val="18"/>
                <w:lang w:eastAsia="es-ES"/>
              </w:rPr>
              <w:t>Nº acreedores</w:t>
            </w:r>
          </w:p>
        </w:tc>
        <w:tc>
          <w:tcPr>
            <w:tcW w:w="1450" w:type="dxa"/>
            <w:shd w:val="clear" w:color="auto" w:fill="8DB3E2" w:themeFill="text2" w:themeFillTint="66"/>
            <w:vAlign w:val="center"/>
          </w:tcPr>
          <w:p w:rsidR="000C076E" w:rsidRDefault="000C076E" w:rsidP="00CD52C0">
            <w:pPr>
              <w:spacing w:after="0"/>
              <w:jc w:val="right"/>
              <w:rPr>
                <w:rFonts w:ascii="Arial" w:hAnsi="Arial" w:cs="Arial"/>
                <w:bCs/>
                <w:color w:val="000000"/>
                <w:sz w:val="18"/>
                <w:szCs w:val="18"/>
                <w:lang w:eastAsia="es-ES"/>
              </w:rPr>
            </w:pPr>
            <w:r>
              <w:rPr>
                <w:rFonts w:ascii="Arial" w:hAnsi="Arial" w:cs="Arial"/>
                <w:bCs/>
                <w:color w:val="000000"/>
                <w:sz w:val="18"/>
                <w:szCs w:val="18"/>
                <w:lang w:eastAsia="es-ES"/>
              </w:rPr>
              <w:t xml:space="preserve">Nº acreedores </w:t>
            </w:r>
          </w:p>
          <w:p w:rsidR="000C076E" w:rsidRDefault="000C076E" w:rsidP="00CD52C0">
            <w:pPr>
              <w:spacing w:after="0"/>
              <w:jc w:val="right"/>
              <w:rPr>
                <w:rFonts w:ascii="Arial" w:hAnsi="Arial" w:cs="Arial"/>
                <w:bCs/>
                <w:color w:val="000000"/>
                <w:sz w:val="18"/>
                <w:szCs w:val="18"/>
                <w:lang w:eastAsia="es-ES"/>
              </w:rPr>
            </w:pPr>
            <w:r>
              <w:rPr>
                <w:rFonts w:ascii="Arial" w:hAnsi="Arial" w:cs="Arial"/>
                <w:bCs/>
                <w:color w:val="000000"/>
                <w:sz w:val="18"/>
                <w:szCs w:val="18"/>
                <w:lang w:eastAsia="es-ES"/>
              </w:rPr>
              <w:t>petición</w:t>
            </w:r>
          </w:p>
        </w:tc>
        <w:tc>
          <w:tcPr>
            <w:tcW w:w="1451" w:type="dxa"/>
            <w:shd w:val="clear" w:color="auto" w:fill="8DB3E2" w:themeFill="text2" w:themeFillTint="66"/>
            <w:vAlign w:val="center"/>
          </w:tcPr>
          <w:p w:rsidR="000C076E" w:rsidRDefault="000C076E" w:rsidP="00CD52C0">
            <w:pPr>
              <w:spacing w:after="0"/>
              <w:jc w:val="right"/>
              <w:rPr>
                <w:rFonts w:ascii="Arial" w:hAnsi="Arial" w:cs="Arial"/>
                <w:bCs/>
                <w:color w:val="000000"/>
                <w:sz w:val="18"/>
                <w:szCs w:val="18"/>
                <w:lang w:eastAsia="es-ES"/>
              </w:rPr>
            </w:pPr>
            <w:r>
              <w:rPr>
                <w:rFonts w:ascii="Arial" w:hAnsi="Arial" w:cs="Arial"/>
                <w:bCs/>
                <w:color w:val="000000"/>
                <w:sz w:val="18"/>
                <w:szCs w:val="18"/>
                <w:lang w:eastAsia="es-ES"/>
              </w:rPr>
              <w:t xml:space="preserve">Gasto  acreedores </w:t>
            </w:r>
          </w:p>
          <w:p w:rsidR="000C076E" w:rsidRDefault="000C076E" w:rsidP="00CD52C0">
            <w:pPr>
              <w:spacing w:after="0"/>
              <w:jc w:val="right"/>
              <w:rPr>
                <w:rFonts w:ascii="Arial" w:hAnsi="Arial" w:cs="Arial"/>
                <w:bCs/>
                <w:color w:val="000000"/>
                <w:sz w:val="18"/>
                <w:szCs w:val="18"/>
                <w:lang w:eastAsia="es-ES"/>
              </w:rPr>
            </w:pPr>
            <w:r>
              <w:rPr>
                <w:rFonts w:ascii="Arial" w:hAnsi="Arial" w:cs="Arial"/>
                <w:bCs/>
                <w:color w:val="000000"/>
                <w:sz w:val="18"/>
                <w:szCs w:val="18"/>
                <w:lang w:eastAsia="es-ES"/>
              </w:rPr>
              <w:t>petición</w:t>
            </w:r>
          </w:p>
        </w:tc>
      </w:tr>
      <w:tr w:rsidR="000C076E" w:rsidRPr="00D3579F" w:rsidTr="00AC7529">
        <w:trPr>
          <w:trHeight w:val="198"/>
          <w:jc w:val="center"/>
        </w:trPr>
        <w:tc>
          <w:tcPr>
            <w:tcW w:w="2964" w:type="dxa"/>
            <w:shd w:val="clear" w:color="auto" w:fill="auto"/>
            <w:noWrap/>
            <w:vAlign w:val="center"/>
            <w:hideMark/>
          </w:tcPr>
          <w:p w:rsidR="000C076E" w:rsidRPr="00D3579F" w:rsidRDefault="000C076E" w:rsidP="00B66E05">
            <w:pPr>
              <w:spacing w:after="0"/>
              <w:ind w:firstLine="0"/>
              <w:jc w:val="left"/>
              <w:rPr>
                <w:rFonts w:ascii="Arial Narrow" w:hAnsi="Arial Narrow"/>
                <w:bCs/>
                <w:color w:val="000000"/>
                <w:lang w:eastAsia="es-ES"/>
              </w:rPr>
            </w:pPr>
            <w:r>
              <w:rPr>
                <w:rFonts w:ascii="Arial Narrow" w:hAnsi="Arial Narrow"/>
                <w:bCs/>
                <w:color w:val="000000"/>
                <w:lang w:eastAsia="es-ES"/>
              </w:rPr>
              <w:t>Sensibilización y fomento del euskera</w:t>
            </w:r>
          </w:p>
        </w:tc>
        <w:tc>
          <w:tcPr>
            <w:tcW w:w="1450" w:type="dxa"/>
            <w:shd w:val="clear" w:color="auto" w:fill="auto"/>
            <w:noWrap/>
            <w:vAlign w:val="center"/>
          </w:tcPr>
          <w:p w:rsidR="000C076E" w:rsidRPr="00D3579F" w:rsidRDefault="000C076E" w:rsidP="00CD52C0">
            <w:pPr>
              <w:spacing w:after="0"/>
              <w:ind w:firstLine="0"/>
              <w:jc w:val="right"/>
              <w:rPr>
                <w:rFonts w:ascii="Arial Narrow" w:hAnsi="Arial Narrow"/>
                <w:color w:val="000000"/>
                <w:lang w:eastAsia="es-ES"/>
              </w:rPr>
            </w:pPr>
            <w:r>
              <w:rPr>
                <w:rFonts w:ascii="Arial Narrow" w:hAnsi="Arial Narrow"/>
                <w:color w:val="000000"/>
                <w:lang w:eastAsia="es-ES"/>
              </w:rPr>
              <w:t>297.543</w:t>
            </w:r>
          </w:p>
        </w:tc>
        <w:tc>
          <w:tcPr>
            <w:tcW w:w="1450" w:type="dxa"/>
            <w:vAlign w:val="center"/>
          </w:tcPr>
          <w:p w:rsidR="000C076E" w:rsidRDefault="000C076E" w:rsidP="00CD52C0">
            <w:pPr>
              <w:spacing w:after="0"/>
              <w:ind w:firstLine="0"/>
              <w:jc w:val="right"/>
              <w:rPr>
                <w:rFonts w:ascii="Arial Narrow" w:hAnsi="Arial Narrow"/>
                <w:color w:val="000000"/>
                <w:lang w:eastAsia="es-ES"/>
              </w:rPr>
            </w:pPr>
            <w:r>
              <w:rPr>
                <w:rFonts w:ascii="Arial Narrow" w:hAnsi="Arial Narrow"/>
                <w:color w:val="000000"/>
                <w:lang w:eastAsia="es-ES"/>
              </w:rPr>
              <w:t>48</w:t>
            </w:r>
          </w:p>
        </w:tc>
        <w:tc>
          <w:tcPr>
            <w:tcW w:w="1450" w:type="dxa"/>
            <w:vAlign w:val="center"/>
          </w:tcPr>
          <w:p w:rsidR="000C076E" w:rsidRDefault="000C076E" w:rsidP="00CD52C0">
            <w:pPr>
              <w:spacing w:after="0"/>
              <w:ind w:firstLine="0"/>
              <w:jc w:val="right"/>
              <w:rPr>
                <w:rFonts w:ascii="Arial Narrow" w:hAnsi="Arial Narrow"/>
                <w:color w:val="000000"/>
                <w:lang w:eastAsia="es-ES"/>
              </w:rPr>
            </w:pPr>
            <w:r>
              <w:rPr>
                <w:rFonts w:ascii="Arial Narrow" w:hAnsi="Arial Narrow"/>
                <w:color w:val="000000"/>
                <w:lang w:eastAsia="es-ES"/>
              </w:rPr>
              <w:t>3</w:t>
            </w:r>
          </w:p>
        </w:tc>
        <w:tc>
          <w:tcPr>
            <w:tcW w:w="1451" w:type="dxa"/>
            <w:vAlign w:val="center"/>
          </w:tcPr>
          <w:p w:rsidR="000C076E" w:rsidRDefault="000C076E" w:rsidP="00CD52C0">
            <w:pPr>
              <w:spacing w:after="0"/>
              <w:ind w:firstLine="0"/>
              <w:jc w:val="right"/>
              <w:rPr>
                <w:rFonts w:ascii="Arial Narrow" w:hAnsi="Arial Narrow"/>
                <w:color w:val="000000"/>
                <w:lang w:eastAsia="es-ES"/>
              </w:rPr>
            </w:pPr>
            <w:r>
              <w:rPr>
                <w:rFonts w:ascii="Arial Narrow" w:hAnsi="Arial Narrow"/>
                <w:color w:val="000000"/>
                <w:lang w:eastAsia="es-ES"/>
              </w:rPr>
              <w:t>54.578</w:t>
            </w:r>
          </w:p>
        </w:tc>
      </w:tr>
    </w:tbl>
    <w:p w:rsidR="000C076E" w:rsidRDefault="000C076E" w:rsidP="000C076E">
      <w:pPr>
        <w:pStyle w:val="texto"/>
        <w:spacing w:before="240" w:after="240"/>
        <w:rPr>
          <w:rFonts w:cs="Arial"/>
        </w:rPr>
      </w:pPr>
      <w:r>
        <w:rPr>
          <w:rFonts w:cs="Arial"/>
        </w:rPr>
        <w:t>El detalle del gasto revisado por acreedor incluido en la petición es el s</w:t>
      </w:r>
      <w:r>
        <w:rPr>
          <w:rFonts w:cs="Arial"/>
        </w:rPr>
        <w:t>i</w:t>
      </w:r>
      <w:r>
        <w:rPr>
          <w:rFonts w:cs="Arial"/>
        </w:rPr>
        <w:t>guiente:</w:t>
      </w:r>
    </w:p>
    <w:tbl>
      <w:tblPr>
        <w:tblW w:w="8718" w:type="dxa"/>
        <w:jc w:val="center"/>
        <w:tblCellMar>
          <w:left w:w="70" w:type="dxa"/>
          <w:right w:w="70" w:type="dxa"/>
        </w:tblCellMar>
        <w:tblLook w:val="04A0" w:firstRow="1" w:lastRow="0" w:firstColumn="1" w:lastColumn="0" w:noHBand="0" w:noVBand="1"/>
      </w:tblPr>
      <w:tblGrid>
        <w:gridCol w:w="6833"/>
        <w:gridCol w:w="1885"/>
      </w:tblGrid>
      <w:tr w:rsidR="000C076E" w:rsidRPr="00D3579F" w:rsidTr="00AC7529">
        <w:trPr>
          <w:trHeight w:val="255"/>
          <w:jc w:val="center"/>
        </w:trPr>
        <w:tc>
          <w:tcPr>
            <w:tcW w:w="6833"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firstLine="0"/>
              <w:jc w:val="left"/>
              <w:rPr>
                <w:rFonts w:ascii="Arial" w:hAnsi="Arial" w:cs="Arial"/>
                <w:color w:val="000000"/>
                <w:sz w:val="18"/>
                <w:szCs w:val="18"/>
                <w:lang w:eastAsia="es-ES"/>
              </w:rPr>
            </w:pPr>
            <w:r>
              <w:rPr>
                <w:rFonts w:ascii="Arial" w:hAnsi="Arial" w:cs="Arial"/>
                <w:color w:val="000000"/>
                <w:sz w:val="18"/>
                <w:szCs w:val="18"/>
                <w:lang w:eastAsia="es-ES"/>
              </w:rPr>
              <w:t>Acreedor petición</w:t>
            </w:r>
          </w:p>
        </w:tc>
        <w:tc>
          <w:tcPr>
            <w:tcW w:w="1885"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firstLine="0"/>
              <w:jc w:val="right"/>
              <w:rPr>
                <w:rFonts w:ascii="Arial" w:hAnsi="Arial" w:cs="Arial"/>
                <w:bCs/>
                <w:color w:val="000000"/>
                <w:sz w:val="18"/>
                <w:szCs w:val="18"/>
                <w:lang w:eastAsia="es-ES"/>
              </w:rPr>
            </w:pPr>
            <w:r>
              <w:rPr>
                <w:rFonts w:ascii="Arial" w:hAnsi="Arial" w:cs="Arial"/>
                <w:bCs/>
                <w:color w:val="000000"/>
                <w:sz w:val="18"/>
                <w:szCs w:val="18"/>
                <w:lang w:eastAsia="es-ES"/>
              </w:rPr>
              <w:t xml:space="preserve">Gasto </w:t>
            </w:r>
            <w:r w:rsidRPr="00D3579F">
              <w:rPr>
                <w:rFonts w:ascii="Arial" w:hAnsi="Arial" w:cs="Arial"/>
                <w:bCs/>
                <w:color w:val="000000"/>
                <w:sz w:val="18"/>
                <w:szCs w:val="18"/>
                <w:lang w:eastAsia="es-ES"/>
              </w:rPr>
              <w:t>2017</w:t>
            </w:r>
          </w:p>
        </w:tc>
      </w:tr>
      <w:tr w:rsidR="000C076E" w:rsidRPr="00D3579F" w:rsidTr="00AC7529">
        <w:trPr>
          <w:trHeight w:val="198"/>
          <w:jc w:val="center"/>
        </w:trPr>
        <w:tc>
          <w:tcPr>
            <w:tcW w:w="6833" w:type="dxa"/>
            <w:tcBorders>
              <w:top w:val="single" w:sz="4" w:space="0" w:color="auto"/>
              <w:bottom w:val="single" w:sz="2" w:space="0" w:color="auto"/>
            </w:tcBorders>
            <w:shd w:val="clear" w:color="auto" w:fill="auto"/>
            <w:noWrap/>
            <w:vAlign w:val="center"/>
            <w:hideMark/>
          </w:tcPr>
          <w:p w:rsidR="000C076E" w:rsidRPr="00D3579F" w:rsidRDefault="000C076E" w:rsidP="00B66E05">
            <w:pPr>
              <w:spacing w:after="0"/>
              <w:ind w:firstLine="0"/>
              <w:jc w:val="left"/>
              <w:rPr>
                <w:rFonts w:ascii="Arial Narrow" w:hAnsi="Arial Narrow"/>
                <w:bCs/>
                <w:color w:val="000000"/>
                <w:lang w:eastAsia="es-ES"/>
              </w:rPr>
            </w:pPr>
            <w:proofErr w:type="spellStart"/>
            <w:r>
              <w:rPr>
                <w:rFonts w:ascii="Arial Narrow" w:hAnsi="Arial Narrow"/>
                <w:bCs/>
                <w:color w:val="000000"/>
                <w:lang w:eastAsia="es-ES"/>
              </w:rPr>
              <w:t>Labrit</w:t>
            </w:r>
            <w:proofErr w:type="spellEnd"/>
            <w:r>
              <w:rPr>
                <w:rFonts w:ascii="Arial Narrow" w:hAnsi="Arial Narrow"/>
                <w:bCs/>
                <w:color w:val="000000"/>
                <w:lang w:eastAsia="es-ES"/>
              </w:rPr>
              <w:t xml:space="preserve"> Patrimonio</w:t>
            </w:r>
          </w:p>
        </w:tc>
        <w:tc>
          <w:tcPr>
            <w:tcW w:w="1885" w:type="dxa"/>
            <w:tcBorders>
              <w:top w:val="single" w:sz="4" w:space="0" w:color="auto"/>
              <w:bottom w:val="single" w:sz="2" w:space="0" w:color="auto"/>
            </w:tcBorders>
            <w:shd w:val="clear" w:color="auto" w:fill="auto"/>
            <w:noWrap/>
            <w:vAlign w:val="center"/>
          </w:tcPr>
          <w:p w:rsidR="000C076E" w:rsidRPr="00D3579F" w:rsidRDefault="000C076E" w:rsidP="00B66E05">
            <w:pPr>
              <w:spacing w:after="0"/>
              <w:ind w:firstLine="0"/>
              <w:jc w:val="right"/>
              <w:rPr>
                <w:rFonts w:ascii="Arial Narrow" w:hAnsi="Arial Narrow"/>
                <w:color w:val="000000"/>
                <w:lang w:eastAsia="es-ES"/>
              </w:rPr>
            </w:pPr>
            <w:r>
              <w:rPr>
                <w:rFonts w:ascii="Arial Narrow" w:hAnsi="Arial Narrow"/>
                <w:color w:val="000000"/>
                <w:lang w:eastAsia="es-ES"/>
              </w:rPr>
              <w:t>44.478</w:t>
            </w:r>
          </w:p>
        </w:tc>
      </w:tr>
      <w:tr w:rsidR="000C076E" w:rsidRPr="00D3579F" w:rsidTr="00AC7529">
        <w:trPr>
          <w:trHeight w:val="198"/>
          <w:jc w:val="center"/>
        </w:trPr>
        <w:tc>
          <w:tcPr>
            <w:tcW w:w="6833" w:type="dxa"/>
            <w:tcBorders>
              <w:top w:val="single" w:sz="2" w:space="0" w:color="auto"/>
              <w:bottom w:val="single" w:sz="2" w:space="0" w:color="auto"/>
            </w:tcBorders>
            <w:shd w:val="clear" w:color="auto" w:fill="auto"/>
            <w:noWrap/>
            <w:vAlign w:val="center"/>
          </w:tcPr>
          <w:p w:rsidR="000C076E" w:rsidRDefault="000C076E" w:rsidP="00B66E05">
            <w:pPr>
              <w:spacing w:after="0"/>
              <w:ind w:firstLine="0"/>
              <w:jc w:val="left"/>
              <w:rPr>
                <w:rFonts w:ascii="Arial Narrow" w:hAnsi="Arial Narrow"/>
                <w:bCs/>
                <w:color w:val="000000"/>
                <w:lang w:eastAsia="es-ES"/>
              </w:rPr>
            </w:pPr>
            <w:r>
              <w:rPr>
                <w:rFonts w:ascii="Arial Narrow" w:hAnsi="Arial Narrow"/>
                <w:bCs/>
                <w:color w:val="000000"/>
                <w:lang w:eastAsia="es-ES"/>
              </w:rPr>
              <w:t>AEK</w:t>
            </w:r>
          </w:p>
        </w:tc>
        <w:tc>
          <w:tcPr>
            <w:tcW w:w="1885" w:type="dxa"/>
            <w:tcBorders>
              <w:top w:val="single" w:sz="2" w:space="0" w:color="auto"/>
              <w:bottom w:val="single" w:sz="2" w:space="0" w:color="auto"/>
            </w:tcBorders>
            <w:shd w:val="clear" w:color="auto" w:fill="auto"/>
            <w:noWrap/>
            <w:vAlign w:val="center"/>
          </w:tcPr>
          <w:p w:rsidR="000C076E" w:rsidRDefault="000C076E" w:rsidP="00B66E05">
            <w:pPr>
              <w:spacing w:after="0"/>
              <w:ind w:firstLine="0"/>
              <w:jc w:val="right"/>
              <w:rPr>
                <w:rFonts w:ascii="Arial Narrow" w:hAnsi="Arial Narrow"/>
                <w:color w:val="000000"/>
                <w:lang w:eastAsia="es-ES"/>
              </w:rPr>
            </w:pPr>
            <w:r>
              <w:rPr>
                <w:rFonts w:ascii="Arial Narrow" w:hAnsi="Arial Narrow"/>
                <w:color w:val="000000"/>
                <w:lang w:eastAsia="es-ES"/>
              </w:rPr>
              <w:t>10.000</w:t>
            </w:r>
          </w:p>
        </w:tc>
      </w:tr>
      <w:tr w:rsidR="000C076E" w:rsidRPr="00D3579F" w:rsidTr="00AC7529">
        <w:trPr>
          <w:trHeight w:val="198"/>
          <w:jc w:val="center"/>
        </w:trPr>
        <w:tc>
          <w:tcPr>
            <w:tcW w:w="6833" w:type="dxa"/>
            <w:tcBorders>
              <w:top w:val="single" w:sz="2" w:space="0" w:color="auto"/>
              <w:bottom w:val="single" w:sz="4" w:space="0" w:color="auto"/>
            </w:tcBorders>
            <w:shd w:val="clear" w:color="auto" w:fill="auto"/>
            <w:noWrap/>
            <w:vAlign w:val="center"/>
            <w:hideMark/>
          </w:tcPr>
          <w:p w:rsidR="000C076E" w:rsidRPr="00D3579F" w:rsidRDefault="000C076E" w:rsidP="00B66E05">
            <w:pPr>
              <w:spacing w:after="0"/>
              <w:ind w:firstLine="0"/>
              <w:jc w:val="left"/>
              <w:rPr>
                <w:rFonts w:ascii="Arial Narrow" w:hAnsi="Arial Narrow"/>
                <w:bCs/>
                <w:color w:val="000000"/>
                <w:lang w:eastAsia="es-ES"/>
              </w:rPr>
            </w:pPr>
            <w:r>
              <w:rPr>
                <w:rFonts w:ascii="Arial Narrow" w:hAnsi="Arial Narrow"/>
                <w:bCs/>
                <w:color w:val="000000"/>
                <w:lang w:eastAsia="es-ES"/>
              </w:rPr>
              <w:t xml:space="preserve">Cooperativa </w:t>
            </w:r>
            <w:proofErr w:type="spellStart"/>
            <w:r>
              <w:rPr>
                <w:rFonts w:ascii="Arial Narrow" w:hAnsi="Arial Narrow"/>
                <w:bCs/>
                <w:color w:val="000000"/>
                <w:lang w:eastAsia="es-ES"/>
              </w:rPr>
              <w:t>Katakrak</w:t>
            </w:r>
            <w:proofErr w:type="spellEnd"/>
          </w:p>
        </w:tc>
        <w:tc>
          <w:tcPr>
            <w:tcW w:w="1885" w:type="dxa"/>
            <w:tcBorders>
              <w:top w:val="single" w:sz="2" w:space="0" w:color="auto"/>
              <w:bottom w:val="single" w:sz="4" w:space="0" w:color="auto"/>
            </w:tcBorders>
            <w:shd w:val="clear" w:color="auto" w:fill="auto"/>
            <w:noWrap/>
            <w:vAlign w:val="center"/>
          </w:tcPr>
          <w:p w:rsidR="000C076E" w:rsidRPr="00D3579F" w:rsidRDefault="000C076E" w:rsidP="00B66E05">
            <w:pPr>
              <w:spacing w:after="0"/>
              <w:ind w:firstLine="0"/>
              <w:jc w:val="right"/>
              <w:rPr>
                <w:rFonts w:ascii="Arial Narrow" w:hAnsi="Arial Narrow"/>
                <w:color w:val="000000"/>
                <w:lang w:eastAsia="es-ES"/>
              </w:rPr>
            </w:pPr>
            <w:r>
              <w:rPr>
                <w:rFonts w:ascii="Arial Narrow" w:hAnsi="Arial Narrow"/>
                <w:color w:val="000000"/>
                <w:lang w:eastAsia="es-ES"/>
              </w:rPr>
              <w:t>100</w:t>
            </w:r>
          </w:p>
        </w:tc>
      </w:tr>
      <w:tr w:rsidR="000C076E" w:rsidRPr="00D3579F" w:rsidTr="00AC7529">
        <w:trPr>
          <w:trHeight w:val="255"/>
          <w:jc w:val="center"/>
        </w:trPr>
        <w:tc>
          <w:tcPr>
            <w:tcW w:w="6833"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firstLine="0"/>
              <w:jc w:val="left"/>
              <w:rPr>
                <w:rFonts w:ascii="Arial" w:hAnsi="Arial" w:cs="Arial"/>
                <w:bCs/>
                <w:color w:val="000000"/>
                <w:sz w:val="18"/>
                <w:szCs w:val="18"/>
                <w:lang w:eastAsia="es-ES"/>
              </w:rPr>
            </w:pPr>
            <w:r w:rsidRPr="00D3579F">
              <w:rPr>
                <w:rFonts w:ascii="Arial" w:hAnsi="Arial" w:cs="Arial"/>
                <w:bCs/>
                <w:color w:val="000000"/>
                <w:sz w:val="18"/>
                <w:szCs w:val="18"/>
                <w:lang w:eastAsia="es-ES"/>
              </w:rPr>
              <w:t xml:space="preserve">Total </w:t>
            </w:r>
          </w:p>
        </w:tc>
        <w:tc>
          <w:tcPr>
            <w:tcW w:w="1885"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firstLine="0"/>
              <w:jc w:val="right"/>
              <w:rPr>
                <w:rFonts w:ascii="Arial" w:hAnsi="Arial" w:cs="Arial"/>
                <w:color w:val="000000"/>
                <w:sz w:val="18"/>
                <w:szCs w:val="18"/>
                <w:lang w:eastAsia="es-ES"/>
              </w:rPr>
            </w:pPr>
            <w:r>
              <w:rPr>
                <w:rFonts w:ascii="Arial" w:hAnsi="Arial" w:cs="Arial"/>
                <w:color w:val="000000"/>
                <w:sz w:val="18"/>
                <w:szCs w:val="18"/>
                <w:lang w:eastAsia="es-ES"/>
              </w:rPr>
              <w:t>54.578</w:t>
            </w:r>
          </w:p>
        </w:tc>
      </w:tr>
    </w:tbl>
    <w:p w:rsidR="000C076E" w:rsidRDefault="000C076E" w:rsidP="005908F8">
      <w:pPr>
        <w:pStyle w:val="texto"/>
        <w:spacing w:before="240" w:after="120"/>
        <w:rPr>
          <w:rFonts w:cs="Arial"/>
        </w:rPr>
      </w:pPr>
      <w:r>
        <w:rPr>
          <w:rFonts w:cs="Arial"/>
        </w:rPr>
        <w:t xml:space="preserve">El gasto de </w:t>
      </w:r>
      <w:proofErr w:type="spellStart"/>
      <w:r>
        <w:rPr>
          <w:rFonts w:cs="Arial"/>
        </w:rPr>
        <w:t>Labrit</w:t>
      </w:r>
      <w:proofErr w:type="spellEnd"/>
      <w:r>
        <w:rPr>
          <w:rFonts w:cs="Arial"/>
        </w:rPr>
        <w:t xml:space="preserve"> Patrimonio se corresponde con tres expedientes: la contr</w:t>
      </w:r>
      <w:r>
        <w:rPr>
          <w:rFonts w:cs="Arial"/>
        </w:rPr>
        <w:t>a</w:t>
      </w:r>
      <w:r>
        <w:rPr>
          <w:rFonts w:cs="Arial"/>
        </w:rPr>
        <w:t>tación de la asistencia técnica para la producción y representación de un espe</w:t>
      </w:r>
      <w:r>
        <w:rPr>
          <w:rFonts w:cs="Arial"/>
        </w:rPr>
        <w:t>c</w:t>
      </w:r>
      <w:r>
        <w:rPr>
          <w:rFonts w:cs="Arial"/>
        </w:rPr>
        <w:t>táculo de difusión del patrimonio cultural inmaterial en euskera de Navarra (30.000 euros), la participación en la Campaña de la Comparsa de Pamplona (7.236 euros), y en la del día internacional del euskera (7.242 euros).</w:t>
      </w:r>
    </w:p>
    <w:p w:rsidR="000C076E" w:rsidRDefault="000C076E" w:rsidP="000C076E">
      <w:pPr>
        <w:pStyle w:val="texto"/>
        <w:spacing w:before="120" w:after="120"/>
        <w:rPr>
          <w:rFonts w:cs="Arial"/>
        </w:rPr>
      </w:pPr>
      <w:r>
        <w:rPr>
          <w:rFonts w:cs="Arial"/>
        </w:rPr>
        <w:t xml:space="preserve">En el caso de AEK, su gasto es el derivado del contrato de patrocinio de la ACFN con esta organización para el evento de la </w:t>
      </w:r>
      <w:proofErr w:type="spellStart"/>
      <w:r>
        <w:rPr>
          <w:rFonts w:cs="Arial"/>
        </w:rPr>
        <w:t>korrika</w:t>
      </w:r>
      <w:proofErr w:type="spellEnd"/>
      <w:r>
        <w:rPr>
          <w:rFonts w:cs="Arial"/>
        </w:rPr>
        <w:t xml:space="preserve"> de 2017.</w:t>
      </w:r>
    </w:p>
    <w:p w:rsidR="000C076E" w:rsidRDefault="000C076E" w:rsidP="000C076E">
      <w:pPr>
        <w:pStyle w:val="texto"/>
        <w:spacing w:before="120" w:after="120"/>
        <w:rPr>
          <w:rFonts w:cs="Arial"/>
        </w:rPr>
      </w:pPr>
      <w:r>
        <w:rPr>
          <w:rFonts w:cs="Arial"/>
        </w:rPr>
        <w:t xml:space="preserve">El gasto con la Cooperativa </w:t>
      </w:r>
      <w:proofErr w:type="spellStart"/>
      <w:r>
        <w:rPr>
          <w:rFonts w:cs="Arial"/>
        </w:rPr>
        <w:t>Katakrak</w:t>
      </w:r>
      <w:proofErr w:type="spellEnd"/>
      <w:r>
        <w:rPr>
          <w:rFonts w:cs="Arial"/>
        </w:rPr>
        <w:t xml:space="preserve"> se corresponde con su participación en el día internacional del euskera.</w:t>
      </w:r>
    </w:p>
    <w:p w:rsidR="000C076E" w:rsidRDefault="000C076E" w:rsidP="008540B2">
      <w:pPr>
        <w:pStyle w:val="texto"/>
        <w:spacing w:before="120" w:after="120"/>
        <w:rPr>
          <w:rFonts w:ascii="Arial" w:hAnsi="Arial"/>
          <w:i/>
          <w:iCs/>
          <w:color w:val="000000"/>
          <w:spacing w:val="10"/>
          <w:kern w:val="28"/>
          <w:sz w:val="25"/>
          <w:szCs w:val="26"/>
          <w:lang w:val="es-ES"/>
        </w:rPr>
      </w:pPr>
      <w:r>
        <w:rPr>
          <w:rFonts w:cs="Arial"/>
        </w:rPr>
        <w:t>De la revisión realizada concluimos que los expedientes se tramitaron según la normativa aplicable y los gastos están adecuadamente soportados, justific</w:t>
      </w:r>
      <w:r>
        <w:rPr>
          <w:rFonts w:cs="Arial"/>
        </w:rPr>
        <w:t>a</w:t>
      </w:r>
      <w:r>
        <w:rPr>
          <w:rFonts w:cs="Arial"/>
        </w:rPr>
        <w:t xml:space="preserve">dos y contabilizados. </w:t>
      </w:r>
    </w:p>
    <w:p w:rsidR="000C076E" w:rsidRDefault="000C076E" w:rsidP="000C076E">
      <w:pPr>
        <w:spacing w:before="240" w:after="120"/>
        <w:ind w:firstLine="284"/>
        <w:rPr>
          <w:rFonts w:ascii="Arial" w:hAnsi="Arial"/>
          <w:i/>
          <w:iCs/>
          <w:color w:val="000000"/>
          <w:spacing w:val="10"/>
          <w:kern w:val="28"/>
          <w:sz w:val="25"/>
          <w:szCs w:val="26"/>
          <w:lang w:val="es-ES"/>
        </w:rPr>
      </w:pPr>
      <w:r>
        <w:rPr>
          <w:rFonts w:ascii="Arial" w:hAnsi="Arial"/>
          <w:i/>
          <w:iCs/>
          <w:color w:val="000000"/>
          <w:spacing w:val="10"/>
          <w:kern w:val="28"/>
          <w:sz w:val="25"/>
          <w:szCs w:val="26"/>
          <w:lang w:val="es-ES"/>
        </w:rPr>
        <w:t>Revisión muestra capítulo VI inversiones</w:t>
      </w:r>
    </w:p>
    <w:p w:rsidR="000C076E" w:rsidRDefault="000C076E" w:rsidP="000C076E">
      <w:pPr>
        <w:pStyle w:val="texto"/>
        <w:spacing w:after="240"/>
      </w:pPr>
      <w:r>
        <w:t>Hemos analizado el expediente de contratación y ejecución del siguiente ga</w:t>
      </w:r>
      <w:r>
        <w:t>s</w:t>
      </w:r>
      <w:r>
        <w:t>to de 2017:</w:t>
      </w:r>
    </w:p>
    <w:tbl>
      <w:tblPr>
        <w:tblW w:w="8812" w:type="dxa"/>
        <w:jc w:val="center"/>
        <w:tblCellMar>
          <w:left w:w="70" w:type="dxa"/>
          <w:right w:w="70" w:type="dxa"/>
        </w:tblCellMar>
        <w:tblLook w:val="04A0" w:firstRow="1" w:lastRow="0" w:firstColumn="1" w:lastColumn="0" w:noHBand="0" w:noVBand="1"/>
      </w:tblPr>
      <w:tblGrid>
        <w:gridCol w:w="1692"/>
        <w:gridCol w:w="3374"/>
        <w:gridCol w:w="2001"/>
        <w:gridCol w:w="1008"/>
        <w:gridCol w:w="737"/>
      </w:tblGrid>
      <w:tr w:rsidR="000C076E" w:rsidRPr="00D3579F" w:rsidTr="001C37BF">
        <w:trPr>
          <w:trHeight w:val="255"/>
          <w:jc w:val="center"/>
        </w:trPr>
        <w:tc>
          <w:tcPr>
            <w:tcW w:w="1692" w:type="dxa"/>
            <w:tcBorders>
              <w:top w:val="single" w:sz="4" w:space="0" w:color="auto"/>
              <w:bottom w:val="single" w:sz="4" w:space="0" w:color="auto"/>
            </w:tcBorders>
            <w:shd w:val="clear" w:color="auto" w:fill="8DB3E2" w:themeFill="text2" w:themeFillTint="66"/>
            <w:noWrap/>
            <w:vAlign w:val="center"/>
            <w:hideMark/>
          </w:tcPr>
          <w:p w:rsidR="000C076E" w:rsidRPr="00D3579F" w:rsidRDefault="000C076E" w:rsidP="00B66E05">
            <w:pPr>
              <w:spacing w:after="0"/>
              <w:ind w:firstLine="0"/>
              <w:jc w:val="left"/>
              <w:rPr>
                <w:rFonts w:ascii="Arial" w:hAnsi="Arial" w:cs="Arial"/>
                <w:color w:val="000000"/>
                <w:sz w:val="18"/>
                <w:szCs w:val="18"/>
                <w:lang w:eastAsia="es-ES"/>
              </w:rPr>
            </w:pPr>
            <w:r>
              <w:rPr>
                <w:rFonts w:ascii="Arial" w:hAnsi="Arial" w:cs="Arial"/>
                <w:color w:val="000000"/>
                <w:sz w:val="18"/>
                <w:szCs w:val="18"/>
                <w:lang w:eastAsia="es-ES"/>
              </w:rPr>
              <w:t>Acreedor petición</w:t>
            </w:r>
          </w:p>
        </w:tc>
        <w:tc>
          <w:tcPr>
            <w:tcW w:w="3374" w:type="dxa"/>
            <w:tcBorders>
              <w:top w:val="single" w:sz="4" w:space="0" w:color="auto"/>
              <w:bottom w:val="single" w:sz="4" w:space="0" w:color="auto"/>
            </w:tcBorders>
            <w:shd w:val="clear" w:color="auto" w:fill="8DB3E2" w:themeFill="text2" w:themeFillTint="66"/>
            <w:vAlign w:val="center"/>
          </w:tcPr>
          <w:p w:rsidR="000C076E" w:rsidRDefault="000C076E" w:rsidP="00B66E05">
            <w:pPr>
              <w:spacing w:after="0"/>
              <w:ind w:firstLine="0"/>
              <w:jc w:val="right"/>
              <w:rPr>
                <w:rFonts w:ascii="Arial" w:hAnsi="Arial" w:cs="Arial"/>
                <w:bCs/>
                <w:color w:val="000000"/>
                <w:sz w:val="18"/>
                <w:szCs w:val="18"/>
                <w:lang w:eastAsia="es-ES"/>
              </w:rPr>
            </w:pPr>
            <w:r>
              <w:rPr>
                <w:rFonts w:ascii="Arial" w:hAnsi="Arial" w:cs="Arial"/>
                <w:bCs/>
                <w:color w:val="000000"/>
                <w:sz w:val="18"/>
                <w:szCs w:val="18"/>
                <w:lang w:eastAsia="es-ES"/>
              </w:rPr>
              <w:t>Concepto</w:t>
            </w:r>
          </w:p>
        </w:tc>
        <w:tc>
          <w:tcPr>
            <w:tcW w:w="2001" w:type="dxa"/>
            <w:tcBorders>
              <w:top w:val="single" w:sz="4" w:space="0" w:color="auto"/>
              <w:bottom w:val="single" w:sz="4" w:space="0" w:color="auto"/>
            </w:tcBorders>
            <w:shd w:val="clear" w:color="auto" w:fill="8DB3E2" w:themeFill="text2" w:themeFillTint="66"/>
            <w:vAlign w:val="center"/>
          </w:tcPr>
          <w:p w:rsidR="000C076E" w:rsidRDefault="000C076E" w:rsidP="00B66E05">
            <w:pPr>
              <w:spacing w:after="0"/>
              <w:ind w:firstLine="0"/>
              <w:jc w:val="right"/>
              <w:rPr>
                <w:rFonts w:ascii="Arial" w:hAnsi="Arial" w:cs="Arial"/>
                <w:bCs/>
                <w:color w:val="000000"/>
                <w:sz w:val="18"/>
                <w:szCs w:val="18"/>
                <w:lang w:eastAsia="es-ES"/>
              </w:rPr>
            </w:pPr>
            <w:r>
              <w:rPr>
                <w:rFonts w:ascii="Arial" w:hAnsi="Arial" w:cs="Arial"/>
                <w:bCs/>
                <w:color w:val="000000"/>
                <w:sz w:val="18"/>
                <w:szCs w:val="18"/>
                <w:lang w:eastAsia="es-ES"/>
              </w:rPr>
              <w:t xml:space="preserve">Procedimiento </w:t>
            </w:r>
          </w:p>
          <w:p w:rsidR="000C076E" w:rsidRDefault="000C076E" w:rsidP="00B66E05">
            <w:pPr>
              <w:spacing w:after="0"/>
              <w:ind w:firstLine="0"/>
              <w:jc w:val="right"/>
              <w:rPr>
                <w:rFonts w:ascii="Arial" w:hAnsi="Arial" w:cs="Arial"/>
                <w:bCs/>
                <w:color w:val="000000"/>
                <w:sz w:val="18"/>
                <w:szCs w:val="18"/>
                <w:lang w:eastAsia="es-ES"/>
              </w:rPr>
            </w:pPr>
            <w:r>
              <w:rPr>
                <w:rFonts w:ascii="Arial" w:hAnsi="Arial" w:cs="Arial"/>
                <w:bCs/>
                <w:color w:val="000000"/>
                <w:sz w:val="18"/>
                <w:szCs w:val="18"/>
                <w:lang w:eastAsia="es-ES"/>
              </w:rPr>
              <w:t>contratación</w:t>
            </w:r>
          </w:p>
        </w:tc>
        <w:tc>
          <w:tcPr>
            <w:tcW w:w="1008" w:type="dxa"/>
            <w:tcBorders>
              <w:top w:val="single" w:sz="4" w:space="0" w:color="auto"/>
              <w:bottom w:val="single" w:sz="4" w:space="0" w:color="auto"/>
            </w:tcBorders>
            <w:shd w:val="clear" w:color="auto" w:fill="8DB3E2" w:themeFill="text2" w:themeFillTint="66"/>
            <w:vAlign w:val="center"/>
          </w:tcPr>
          <w:p w:rsidR="005908F8" w:rsidRDefault="000C076E" w:rsidP="00B66E05">
            <w:pPr>
              <w:spacing w:after="0"/>
              <w:ind w:firstLine="0"/>
              <w:jc w:val="right"/>
              <w:rPr>
                <w:rFonts w:ascii="Arial" w:hAnsi="Arial" w:cs="Arial"/>
                <w:bCs/>
                <w:color w:val="000000"/>
                <w:sz w:val="18"/>
                <w:szCs w:val="18"/>
                <w:lang w:eastAsia="es-ES"/>
              </w:rPr>
            </w:pPr>
            <w:r>
              <w:rPr>
                <w:rFonts w:ascii="Arial" w:hAnsi="Arial" w:cs="Arial"/>
                <w:bCs/>
                <w:color w:val="000000"/>
                <w:sz w:val="18"/>
                <w:szCs w:val="18"/>
                <w:lang w:eastAsia="es-ES"/>
              </w:rPr>
              <w:t xml:space="preserve">Nº </w:t>
            </w:r>
          </w:p>
          <w:p w:rsidR="000C076E" w:rsidRDefault="000C076E" w:rsidP="00B66E05">
            <w:pPr>
              <w:spacing w:after="0"/>
              <w:ind w:firstLine="0"/>
              <w:jc w:val="right"/>
              <w:rPr>
                <w:rFonts w:ascii="Arial" w:hAnsi="Arial" w:cs="Arial"/>
                <w:bCs/>
                <w:color w:val="000000"/>
                <w:sz w:val="18"/>
                <w:szCs w:val="18"/>
                <w:lang w:eastAsia="es-ES"/>
              </w:rPr>
            </w:pPr>
            <w:r>
              <w:rPr>
                <w:rFonts w:ascii="Arial" w:hAnsi="Arial" w:cs="Arial"/>
                <w:bCs/>
                <w:color w:val="000000"/>
                <w:sz w:val="18"/>
                <w:szCs w:val="18"/>
                <w:lang w:eastAsia="es-ES"/>
              </w:rPr>
              <w:t>licitadores</w:t>
            </w:r>
          </w:p>
        </w:tc>
        <w:tc>
          <w:tcPr>
            <w:tcW w:w="737" w:type="dxa"/>
            <w:tcBorders>
              <w:top w:val="single" w:sz="4" w:space="0" w:color="auto"/>
              <w:bottom w:val="single" w:sz="4" w:space="0" w:color="auto"/>
            </w:tcBorders>
            <w:shd w:val="clear" w:color="auto" w:fill="8DB3E2" w:themeFill="text2" w:themeFillTint="66"/>
            <w:noWrap/>
            <w:vAlign w:val="center"/>
            <w:hideMark/>
          </w:tcPr>
          <w:p w:rsidR="005908F8" w:rsidRDefault="000C076E" w:rsidP="00B66E05">
            <w:pPr>
              <w:spacing w:after="0"/>
              <w:ind w:firstLine="0"/>
              <w:jc w:val="right"/>
              <w:rPr>
                <w:rFonts w:ascii="Arial" w:hAnsi="Arial" w:cs="Arial"/>
                <w:bCs/>
                <w:color w:val="000000"/>
                <w:sz w:val="18"/>
                <w:szCs w:val="18"/>
                <w:lang w:eastAsia="es-ES"/>
              </w:rPr>
            </w:pPr>
            <w:r>
              <w:rPr>
                <w:rFonts w:ascii="Arial" w:hAnsi="Arial" w:cs="Arial"/>
                <w:bCs/>
                <w:color w:val="000000"/>
                <w:sz w:val="18"/>
                <w:szCs w:val="18"/>
                <w:lang w:eastAsia="es-ES"/>
              </w:rPr>
              <w:t xml:space="preserve">Gasto </w:t>
            </w:r>
          </w:p>
          <w:p w:rsidR="000C076E" w:rsidRPr="00D3579F" w:rsidRDefault="000C076E" w:rsidP="00B66E05">
            <w:pPr>
              <w:spacing w:after="0"/>
              <w:ind w:firstLine="0"/>
              <w:jc w:val="right"/>
              <w:rPr>
                <w:rFonts w:ascii="Arial" w:hAnsi="Arial" w:cs="Arial"/>
                <w:bCs/>
                <w:color w:val="000000"/>
                <w:sz w:val="18"/>
                <w:szCs w:val="18"/>
                <w:lang w:eastAsia="es-ES"/>
              </w:rPr>
            </w:pPr>
            <w:r w:rsidRPr="00D3579F">
              <w:rPr>
                <w:rFonts w:ascii="Arial" w:hAnsi="Arial" w:cs="Arial"/>
                <w:bCs/>
                <w:color w:val="000000"/>
                <w:sz w:val="18"/>
                <w:szCs w:val="18"/>
                <w:lang w:eastAsia="es-ES"/>
              </w:rPr>
              <w:t>2017</w:t>
            </w:r>
          </w:p>
        </w:tc>
      </w:tr>
      <w:tr w:rsidR="000C076E" w:rsidRPr="00D3579F" w:rsidTr="001C37BF">
        <w:trPr>
          <w:trHeight w:val="255"/>
          <w:jc w:val="center"/>
        </w:trPr>
        <w:tc>
          <w:tcPr>
            <w:tcW w:w="1692" w:type="dxa"/>
            <w:tcBorders>
              <w:top w:val="single" w:sz="4" w:space="0" w:color="auto"/>
              <w:bottom w:val="single" w:sz="4" w:space="0" w:color="auto"/>
            </w:tcBorders>
            <w:shd w:val="clear" w:color="auto" w:fill="auto"/>
            <w:noWrap/>
            <w:vAlign w:val="center"/>
            <w:hideMark/>
          </w:tcPr>
          <w:p w:rsidR="000C076E" w:rsidRPr="00D3579F" w:rsidRDefault="000C076E" w:rsidP="00B66E05">
            <w:pPr>
              <w:spacing w:after="0"/>
              <w:ind w:firstLine="0"/>
              <w:jc w:val="left"/>
              <w:rPr>
                <w:rFonts w:ascii="Arial Narrow" w:hAnsi="Arial Narrow"/>
                <w:bCs/>
                <w:color w:val="000000"/>
                <w:lang w:eastAsia="es-ES"/>
              </w:rPr>
            </w:pPr>
            <w:proofErr w:type="spellStart"/>
            <w:r>
              <w:rPr>
                <w:rFonts w:ascii="Arial Narrow" w:hAnsi="Arial Narrow"/>
                <w:bCs/>
                <w:color w:val="000000"/>
                <w:lang w:eastAsia="es-ES"/>
              </w:rPr>
              <w:t>Labrit</w:t>
            </w:r>
            <w:proofErr w:type="spellEnd"/>
            <w:r>
              <w:rPr>
                <w:rFonts w:ascii="Arial Narrow" w:hAnsi="Arial Narrow"/>
                <w:bCs/>
                <w:color w:val="000000"/>
                <w:lang w:eastAsia="es-ES"/>
              </w:rPr>
              <w:t xml:space="preserve"> Patrimonio</w:t>
            </w:r>
          </w:p>
        </w:tc>
        <w:tc>
          <w:tcPr>
            <w:tcW w:w="3374" w:type="dxa"/>
            <w:tcBorders>
              <w:top w:val="single" w:sz="4" w:space="0" w:color="auto"/>
              <w:bottom w:val="single" w:sz="4" w:space="0" w:color="auto"/>
            </w:tcBorders>
            <w:vAlign w:val="center"/>
          </w:tcPr>
          <w:p w:rsidR="005908F8" w:rsidRDefault="000C076E" w:rsidP="00B66E05">
            <w:pPr>
              <w:spacing w:after="0"/>
              <w:ind w:firstLine="0"/>
              <w:jc w:val="right"/>
              <w:rPr>
                <w:rFonts w:ascii="Arial Narrow" w:hAnsi="Arial Narrow"/>
                <w:color w:val="000000"/>
                <w:lang w:eastAsia="es-ES"/>
              </w:rPr>
            </w:pPr>
            <w:r>
              <w:rPr>
                <w:rFonts w:ascii="Arial Narrow" w:hAnsi="Arial Narrow"/>
                <w:color w:val="000000"/>
                <w:lang w:eastAsia="es-ES"/>
              </w:rPr>
              <w:t xml:space="preserve">Apoyo al proceso de información y consulta para la validación del </w:t>
            </w:r>
            <w:proofErr w:type="spellStart"/>
            <w:r>
              <w:rPr>
                <w:rFonts w:ascii="Arial Narrow" w:hAnsi="Arial Narrow"/>
                <w:color w:val="000000"/>
                <w:lang w:eastAsia="es-ES"/>
              </w:rPr>
              <w:t>preinventario</w:t>
            </w:r>
            <w:proofErr w:type="spellEnd"/>
            <w:r>
              <w:rPr>
                <w:rFonts w:ascii="Arial Narrow" w:hAnsi="Arial Narrow"/>
                <w:color w:val="000000"/>
                <w:lang w:eastAsia="es-ES"/>
              </w:rPr>
              <w:t xml:space="preserve"> del </w:t>
            </w:r>
          </w:p>
          <w:p w:rsidR="000C076E" w:rsidRDefault="000C076E" w:rsidP="00B66E05">
            <w:pPr>
              <w:spacing w:after="0"/>
              <w:ind w:firstLine="0"/>
              <w:jc w:val="right"/>
              <w:rPr>
                <w:rFonts w:ascii="Arial Narrow" w:hAnsi="Arial Narrow"/>
                <w:color w:val="000000"/>
                <w:lang w:eastAsia="es-ES"/>
              </w:rPr>
            </w:pPr>
            <w:r>
              <w:rPr>
                <w:rFonts w:ascii="Arial Narrow" w:hAnsi="Arial Narrow"/>
                <w:color w:val="000000"/>
                <w:lang w:eastAsia="es-ES"/>
              </w:rPr>
              <w:t>patrimonio cultural inmaterial de Navarra</w:t>
            </w:r>
          </w:p>
        </w:tc>
        <w:tc>
          <w:tcPr>
            <w:tcW w:w="2001" w:type="dxa"/>
            <w:tcBorders>
              <w:top w:val="single" w:sz="4" w:space="0" w:color="auto"/>
              <w:bottom w:val="single" w:sz="4" w:space="0" w:color="auto"/>
            </w:tcBorders>
            <w:vAlign w:val="center"/>
          </w:tcPr>
          <w:p w:rsidR="000C076E" w:rsidRDefault="000C076E" w:rsidP="00B66E05">
            <w:pPr>
              <w:spacing w:after="0"/>
              <w:ind w:firstLine="0"/>
              <w:jc w:val="right"/>
              <w:rPr>
                <w:rFonts w:ascii="Arial Narrow" w:hAnsi="Arial Narrow"/>
                <w:color w:val="000000"/>
                <w:lang w:eastAsia="es-ES"/>
              </w:rPr>
            </w:pPr>
            <w:r>
              <w:rPr>
                <w:rFonts w:ascii="Arial Narrow" w:hAnsi="Arial Narrow"/>
                <w:color w:val="000000"/>
                <w:lang w:eastAsia="es-ES"/>
              </w:rPr>
              <w:t>Negociado sin publicidad comunitaria</w:t>
            </w:r>
          </w:p>
        </w:tc>
        <w:tc>
          <w:tcPr>
            <w:tcW w:w="1008" w:type="dxa"/>
            <w:tcBorders>
              <w:top w:val="single" w:sz="4" w:space="0" w:color="auto"/>
              <w:bottom w:val="single" w:sz="4" w:space="0" w:color="auto"/>
            </w:tcBorders>
            <w:vAlign w:val="center"/>
          </w:tcPr>
          <w:p w:rsidR="000C076E" w:rsidRDefault="000C076E" w:rsidP="00B66E05">
            <w:pPr>
              <w:spacing w:after="0"/>
              <w:ind w:firstLine="0"/>
              <w:jc w:val="right"/>
              <w:rPr>
                <w:rFonts w:ascii="Arial Narrow" w:hAnsi="Arial Narrow"/>
                <w:color w:val="000000"/>
                <w:lang w:eastAsia="es-ES"/>
              </w:rPr>
            </w:pPr>
            <w:r>
              <w:rPr>
                <w:rFonts w:ascii="Arial Narrow" w:hAnsi="Arial Narrow"/>
                <w:color w:val="000000"/>
                <w:lang w:eastAsia="es-ES"/>
              </w:rPr>
              <w:t>2</w:t>
            </w:r>
          </w:p>
        </w:tc>
        <w:tc>
          <w:tcPr>
            <w:tcW w:w="737" w:type="dxa"/>
            <w:tcBorders>
              <w:top w:val="single" w:sz="4" w:space="0" w:color="auto"/>
              <w:bottom w:val="single" w:sz="4" w:space="0" w:color="auto"/>
            </w:tcBorders>
            <w:shd w:val="clear" w:color="auto" w:fill="auto"/>
            <w:noWrap/>
            <w:vAlign w:val="center"/>
          </w:tcPr>
          <w:p w:rsidR="000C076E" w:rsidRPr="00D3579F" w:rsidRDefault="000C076E" w:rsidP="00B66E05">
            <w:pPr>
              <w:spacing w:after="0"/>
              <w:ind w:firstLine="0"/>
              <w:jc w:val="right"/>
              <w:rPr>
                <w:rFonts w:ascii="Arial Narrow" w:hAnsi="Arial Narrow"/>
                <w:color w:val="000000"/>
                <w:lang w:eastAsia="es-ES"/>
              </w:rPr>
            </w:pPr>
            <w:r>
              <w:rPr>
                <w:rFonts w:ascii="Arial Narrow" w:hAnsi="Arial Narrow"/>
                <w:color w:val="000000"/>
                <w:lang w:eastAsia="es-ES"/>
              </w:rPr>
              <w:t>20.159</w:t>
            </w:r>
          </w:p>
        </w:tc>
      </w:tr>
    </w:tbl>
    <w:p w:rsidR="000C076E" w:rsidRDefault="000C076E" w:rsidP="000C076E">
      <w:pPr>
        <w:pStyle w:val="texto"/>
        <w:spacing w:before="240"/>
        <w:rPr>
          <w:rFonts w:cs="Arial"/>
        </w:rPr>
      </w:pPr>
      <w:r>
        <w:rPr>
          <w:rFonts w:cs="Arial"/>
        </w:rPr>
        <w:lastRenderedPageBreak/>
        <w:t>Del análisis realizado podemos concluir que la tramitación del expediente se realizó según la normativa aplicable, y el gasto está soportado, justificado y adecuadamente contabilizado.</w:t>
      </w:r>
    </w:p>
    <w:p w:rsidR="000C076E" w:rsidRDefault="000C076E" w:rsidP="000C076E">
      <w:pPr>
        <w:pStyle w:val="texto"/>
        <w:rPr>
          <w:rFonts w:cs="Arial"/>
          <w:i/>
        </w:rPr>
      </w:pPr>
      <w:r w:rsidRPr="00F05784">
        <w:rPr>
          <w:rFonts w:cs="Arial"/>
          <w:i/>
        </w:rPr>
        <w:t>Recomendamos v</w:t>
      </w:r>
      <w:r>
        <w:rPr>
          <w:rFonts w:cs="Arial"/>
          <w:i/>
        </w:rPr>
        <w:t>erificar, al menos en una muestra, que los datos de horas y alumnos declarados por los solicitantes de las ayudas a enseñanza de euskera a personas adultas se corresponden con la realidad de la actividad desarroll</w:t>
      </w:r>
      <w:r>
        <w:rPr>
          <w:rFonts w:cs="Arial"/>
          <w:i/>
        </w:rPr>
        <w:t>a</w:t>
      </w:r>
      <w:r>
        <w:rPr>
          <w:rFonts w:cs="Arial"/>
          <w:i/>
        </w:rPr>
        <w:t>da</w:t>
      </w:r>
      <w:r w:rsidRPr="0065108F">
        <w:rPr>
          <w:rFonts w:cs="Arial"/>
          <w:i/>
        </w:rPr>
        <w:t>.</w:t>
      </w:r>
    </w:p>
    <w:p w:rsidR="009E1946" w:rsidRPr="009E1946" w:rsidRDefault="009E1946" w:rsidP="009E1946">
      <w:pPr>
        <w:pStyle w:val="texto"/>
        <w:spacing w:before="240"/>
        <w:jc w:val="center"/>
      </w:pPr>
      <w:r w:rsidRPr="009E1946">
        <w:t xml:space="preserve">Pamplona, </w:t>
      </w:r>
      <w:r w:rsidR="006A42CC">
        <w:t>15</w:t>
      </w:r>
      <w:r w:rsidR="00B27691">
        <w:t xml:space="preserve"> de noviembre</w:t>
      </w:r>
      <w:r w:rsidRPr="009E1946">
        <w:t xml:space="preserve"> de 2018</w:t>
      </w:r>
    </w:p>
    <w:p w:rsidR="009E1946" w:rsidRDefault="009E1946" w:rsidP="009E1946">
      <w:pPr>
        <w:pStyle w:val="texto"/>
        <w:jc w:val="center"/>
      </w:pPr>
      <w:r w:rsidRPr="009E1946">
        <w:t>La presidenta, Asunción Olaechea Estanga</w:t>
      </w:r>
    </w:p>
    <w:p w:rsidR="009E1946" w:rsidRDefault="009E1946" w:rsidP="009E1946">
      <w:pPr>
        <w:pStyle w:val="texto"/>
        <w:jc w:val="center"/>
      </w:pPr>
    </w:p>
    <w:p w:rsidR="000C076E" w:rsidRDefault="000C076E" w:rsidP="000C076E">
      <w:pPr>
        <w:pStyle w:val="texto"/>
        <w:jc w:val="center"/>
      </w:pPr>
    </w:p>
    <w:p w:rsidR="000C076E" w:rsidRPr="0065108F" w:rsidRDefault="000C076E" w:rsidP="000C076E">
      <w:pPr>
        <w:pStyle w:val="texto"/>
        <w:rPr>
          <w:rFonts w:cs="Arial"/>
          <w:i/>
        </w:rPr>
      </w:pPr>
    </w:p>
    <w:p w:rsidR="000C076E" w:rsidRDefault="000C076E" w:rsidP="00E848E7">
      <w:pPr>
        <w:pStyle w:val="texto"/>
        <w:sectPr w:rsidR="000C076E" w:rsidSect="000C076E">
          <w:type w:val="oddPage"/>
          <w:pgSz w:w="11907" w:h="16840" w:code="9"/>
          <w:pgMar w:top="2109" w:right="1559" w:bottom="1644" w:left="1559" w:header="369" w:footer="136" w:gutter="0"/>
          <w:cols w:space="720"/>
          <w:docGrid w:linePitch="360"/>
        </w:sectPr>
      </w:pPr>
    </w:p>
    <w:p w:rsidR="00B66E05" w:rsidRPr="00F377C9" w:rsidRDefault="00B66E05" w:rsidP="007941A1">
      <w:pPr>
        <w:pStyle w:val="atitulo1"/>
        <w:spacing w:after="120"/>
      </w:pPr>
      <w:bookmarkStart w:id="118" w:name="_Toc525907454"/>
      <w:bookmarkStart w:id="119" w:name="_Toc530034682"/>
      <w:r>
        <w:lastRenderedPageBreak/>
        <w:t xml:space="preserve">Apéndice 2. Centro de Recuperación de Fauna Salvaje de </w:t>
      </w:r>
      <w:proofErr w:type="spellStart"/>
      <w:r>
        <w:t>I</w:t>
      </w:r>
      <w:r w:rsidR="006F236F">
        <w:t>lu</w:t>
      </w:r>
      <w:r>
        <w:t>nd</w:t>
      </w:r>
      <w:r w:rsidR="006F236F">
        <w:t>á</w:t>
      </w:r>
      <w:r>
        <w:t>in</w:t>
      </w:r>
      <w:bookmarkEnd w:id="118"/>
      <w:bookmarkEnd w:id="119"/>
      <w:proofErr w:type="spellEnd"/>
      <w:r>
        <w:t xml:space="preserve"> </w:t>
      </w:r>
    </w:p>
    <w:p w:rsidR="00B66E05" w:rsidRDefault="00B66E05" w:rsidP="00B66E05">
      <w:pPr>
        <w:pStyle w:val="texto"/>
        <w:spacing w:after="120"/>
        <w:rPr>
          <w:lang w:val="es-ES"/>
        </w:rPr>
      </w:pPr>
      <w:r>
        <w:rPr>
          <w:lang w:val="es-ES"/>
        </w:rPr>
        <w:t xml:space="preserve">En agosto de 2018 la Cámara recibió una solicitud de fiscalización sobre las subvenciones y costes del Centro de Recuperación de Fauna Salvaje de </w:t>
      </w:r>
      <w:proofErr w:type="spellStart"/>
      <w:r>
        <w:rPr>
          <w:lang w:val="es-ES"/>
        </w:rPr>
        <w:t>Il</w:t>
      </w:r>
      <w:r w:rsidR="006F236F">
        <w:rPr>
          <w:lang w:val="es-ES"/>
        </w:rPr>
        <w:t>u</w:t>
      </w:r>
      <w:r>
        <w:rPr>
          <w:lang w:val="es-ES"/>
        </w:rPr>
        <w:t>n</w:t>
      </w:r>
      <w:r>
        <w:rPr>
          <w:lang w:val="es-ES"/>
        </w:rPr>
        <w:t>d</w:t>
      </w:r>
      <w:r w:rsidR="006F236F">
        <w:rPr>
          <w:lang w:val="es-ES"/>
        </w:rPr>
        <w:t>á</w:t>
      </w:r>
      <w:r>
        <w:rPr>
          <w:lang w:val="es-ES"/>
        </w:rPr>
        <w:t>in</w:t>
      </w:r>
      <w:proofErr w:type="spellEnd"/>
      <w:r>
        <w:rPr>
          <w:lang w:val="es-ES"/>
        </w:rPr>
        <w:t xml:space="preserve">. </w:t>
      </w:r>
    </w:p>
    <w:p w:rsidR="008540B2" w:rsidRDefault="00B66E05" w:rsidP="00B66E05">
      <w:pPr>
        <w:pStyle w:val="texto"/>
        <w:spacing w:after="120"/>
        <w:rPr>
          <w:lang w:val="es-ES"/>
        </w:rPr>
      </w:pPr>
      <w:r>
        <w:rPr>
          <w:lang w:val="es-ES"/>
        </w:rPr>
        <w:t>Los gastos para la ACFN de este centro en el periodo 2013-2017 están rel</w:t>
      </w:r>
      <w:r>
        <w:rPr>
          <w:lang w:val="es-ES"/>
        </w:rPr>
        <w:t>a</w:t>
      </w:r>
      <w:r>
        <w:rPr>
          <w:lang w:val="es-ES"/>
        </w:rPr>
        <w:t xml:space="preserve">cionados fundamentalmente con: </w:t>
      </w:r>
    </w:p>
    <w:p w:rsidR="008540B2" w:rsidRPr="00201AEC" w:rsidRDefault="008540B2" w:rsidP="00201AEC">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201AEC">
        <w:rPr>
          <w:rFonts w:cs="Arial"/>
          <w:spacing w:val="6"/>
          <w:sz w:val="26"/>
          <w:szCs w:val="24"/>
        </w:rPr>
        <w:t>U</w:t>
      </w:r>
      <w:r w:rsidR="00B66E05" w:rsidRPr="00201AEC">
        <w:rPr>
          <w:rFonts w:cs="Arial"/>
          <w:spacing w:val="6"/>
          <w:sz w:val="26"/>
          <w:szCs w:val="24"/>
        </w:rPr>
        <w:t>n encargo realizado por la ACFN a la sociedad pública GAN para mant</w:t>
      </w:r>
      <w:r w:rsidR="00B66E05" w:rsidRPr="00201AEC">
        <w:rPr>
          <w:rFonts w:cs="Arial"/>
          <w:spacing w:val="6"/>
          <w:sz w:val="26"/>
          <w:szCs w:val="24"/>
        </w:rPr>
        <w:t>e</w:t>
      </w:r>
      <w:r w:rsidR="00B66E05" w:rsidRPr="00201AEC">
        <w:rPr>
          <w:rFonts w:cs="Arial"/>
          <w:spacing w:val="6"/>
          <w:sz w:val="26"/>
          <w:szCs w:val="24"/>
        </w:rPr>
        <w:t xml:space="preserve">nerlo y gestionar la red de </w:t>
      </w:r>
      <w:r w:rsidRPr="00201AEC">
        <w:rPr>
          <w:rFonts w:cs="Arial"/>
          <w:spacing w:val="6"/>
          <w:sz w:val="26"/>
          <w:szCs w:val="24"/>
        </w:rPr>
        <w:t>atención y recogida de animales</w:t>
      </w:r>
      <w:r w:rsidR="00E133EF">
        <w:rPr>
          <w:rFonts w:cs="Arial"/>
          <w:spacing w:val="6"/>
          <w:sz w:val="26"/>
          <w:szCs w:val="24"/>
        </w:rPr>
        <w:t>.</w:t>
      </w:r>
    </w:p>
    <w:p w:rsidR="008540B2" w:rsidRPr="00201AEC" w:rsidRDefault="008540B2" w:rsidP="00201AEC">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201AEC">
        <w:rPr>
          <w:rFonts w:cs="Arial"/>
          <w:spacing w:val="6"/>
          <w:sz w:val="26"/>
          <w:szCs w:val="24"/>
        </w:rPr>
        <w:t>O</w:t>
      </w:r>
      <w:r w:rsidR="00B66E05" w:rsidRPr="00201AEC">
        <w:rPr>
          <w:rFonts w:cs="Arial"/>
          <w:spacing w:val="6"/>
          <w:sz w:val="26"/>
          <w:szCs w:val="24"/>
        </w:rPr>
        <w:t>tros gastos correspondientes a la compra de materiales y suministros para su funcionamiento (alim</w:t>
      </w:r>
      <w:r w:rsidRPr="00201AEC">
        <w:rPr>
          <w:rFonts w:cs="Arial"/>
          <w:spacing w:val="6"/>
          <w:sz w:val="26"/>
          <w:szCs w:val="24"/>
        </w:rPr>
        <w:t>entos, telefonía, etc.).</w:t>
      </w:r>
    </w:p>
    <w:p w:rsidR="00B66E05" w:rsidRPr="00201AEC" w:rsidRDefault="008540B2" w:rsidP="00201AEC">
      <w:pPr>
        <w:numPr>
          <w:ilvl w:val="0"/>
          <w:numId w:val="2"/>
        </w:numPr>
        <w:tabs>
          <w:tab w:val="clear" w:pos="1948"/>
          <w:tab w:val="num" w:pos="300"/>
          <w:tab w:val="num" w:pos="360"/>
          <w:tab w:val="left" w:pos="480"/>
          <w:tab w:val="num" w:pos="600"/>
          <w:tab w:val="num" w:pos="720"/>
          <w:tab w:val="num" w:pos="1320"/>
        </w:tabs>
        <w:ind w:left="0" w:firstLine="289"/>
        <w:rPr>
          <w:rFonts w:cs="Arial"/>
          <w:spacing w:val="6"/>
          <w:sz w:val="26"/>
          <w:szCs w:val="24"/>
        </w:rPr>
      </w:pPr>
      <w:r w:rsidRPr="00201AEC">
        <w:rPr>
          <w:rFonts w:cs="Arial"/>
          <w:spacing w:val="6"/>
          <w:sz w:val="26"/>
          <w:szCs w:val="24"/>
        </w:rPr>
        <w:t>E</w:t>
      </w:r>
      <w:r w:rsidR="00B66E05" w:rsidRPr="00201AEC">
        <w:rPr>
          <w:rFonts w:cs="Arial"/>
          <w:spacing w:val="6"/>
          <w:sz w:val="26"/>
          <w:szCs w:val="24"/>
        </w:rPr>
        <w:t>n el periodo 2013-2015, existe un convenio suscrito con la empresa citada para la atención de emergencias. Las funciones de este convenio se incorporan en 2016 y 2017 a este encargo.</w:t>
      </w:r>
    </w:p>
    <w:p w:rsidR="00B66E05" w:rsidRDefault="00B66E05" w:rsidP="00B66E05">
      <w:pPr>
        <w:pStyle w:val="texto"/>
        <w:spacing w:after="120"/>
        <w:rPr>
          <w:lang w:val="es-ES"/>
        </w:rPr>
      </w:pPr>
      <w:r>
        <w:rPr>
          <w:lang w:val="es-ES"/>
        </w:rPr>
        <w:t>En el encargo citado también se incluyen otras actividades relacionadas con la caza y pesca en 2016 y con la caza en 2017; de hecho, los importes corre</w:t>
      </w:r>
      <w:r>
        <w:rPr>
          <w:lang w:val="es-ES"/>
        </w:rPr>
        <w:t>s</w:t>
      </w:r>
      <w:r>
        <w:rPr>
          <w:lang w:val="es-ES"/>
        </w:rPr>
        <w:t xml:space="preserve">pondientes al concepto de “otros gastos” se contabilizan en la misma partida presupuestaria que los vinculados </w:t>
      </w:r>
      <w:r w:rsidR="008540B2">
        <w:rPr>
          <w:lang w:val="es-ES"/>
        </w:rPr>
        <w:t>a la caza (actividad incluida en</w:t>
      </w:r>
      <w:r>
        <w:rPr>
          <w:lang w:val="es-ES"/>
        </w:rPr>
        <w:t xml:space="preserve"> este encargo</w:t>
      </w:r>
      <w:r w:rsidR="008540B2">
        <w:rPr>
          <w:lang w:val="es-ES"/>
        </w:rPr>
        <w:t>)</w:t>
      </w:r>
      <w:r>
        <w:rPr>
          <w:lang w:val="es-ES"/>
        </w:rPr>
        <w:t>.</w:t>
      </w:r>
    </w:p>
    <w:p w:rsidR="00B66E05" w:rsidRDefault="00B66E05" w:rsidP="00B66E05">
      <w:pPr>
        <w:pStyle w:val="texto"/>
        <w:spacing w:after="240"/>
        <w:rPr>
          <w:lang w:val="es-ES"/>
        </w:rPr>
      </w:pPr>
      <w:r>
        <w:rPr>
          <w:lang w:val="es-ES"/>
        </w:rPr>
        <w:t>La cuantificación de estos gastos y el número de animales atendidos en el periodo 2013-2017 son:</w:t>
      </w:r>
    </w:p>
    <w:tbl>
      <w:tblPr>
        <w:tblW w:w="8827" w:type="dxa"/>
        <w:tblInd w:w="70" w:type="dxa"/>
        <w:tblLayout w:type="fixed"/>
        <w:tblCellMar>
          <w:left w:w="70" w:type="dxa"/>
          <w:right w:w="70" w:type="dxa"/>
        </w:tblCellMar>
        <w:tblLook w:val="04A0" w:firstRow="1" w:lastRow="0" w:firstColumn="1" w:lastColumn="0" w:noHBand="0" w:noVBand="1"/>
      </w:tblPr>
      <w:tblGrid>
        <w:gridCol w:w="2283"/>
        <w:gridCol w:w="853"/>
        <w:gridCol w:w="854"/>
        <w:gridCol w:w="853"/>
        <w:gridCol w:w="854"/>
        <w:gridCol w:w="854"/>
        <w:gridCol w:w="1138"/>
        <w:gridCol w:w="1138"/>
      </w:tblGrid>
      <w:tr w:rsidR="00B66E05" w:rsidRPr="00784E54" w:rsidTr="006F236F">
        <w:trPr>
          <w:trHeight w:val="255"/>
        </w:trPr>
        <w:tc>
          <w:tcPr>
            <w:tcW w:w="2283" w:type="dxa"/>
            <w:tcBorders>
              <w:top w:val="single" w:sz="4" w:space="0" w:color="auto"/>
              <w:left w:val="nil"/>
              <w:bottom w:val="single" w:sz="4" w:space="0" w:color="auto"/>
              <w:right w:val="nil"/>
            </w:tcBorders>
            <w:shd w:val="clear" w:color="auto" w:fill="8DB3E2" w:themeFill="text2" w:themeFillTint="66"/>
            <w:vAlign w:val="center"/>
          </w:tcPr>
          <w:p w:rsidR="00B66E05" w:rsidRPr="00784E54" w:rsidRDefault="00B66E05" w:rsidP="00B66E05">
            <w:pPr>
              <w:keepLines/>
              <w:tabs>
                <w:tab w:val="right" w:pos="2835"/>
                <w:tab w:val="right" w:pos="3969"/>
                <w:tab w:val="right" w:pos="5103"/>
                <w:tab w:val="right" w:pos="6237"/>
                <w:tab w:val="right" w:pos="7371"/>
              </w:tabs>
              <w:spacing w:after="0"/>
              <w:ind w:firstLine="0"/>
              <w:jc w:val="left"/>
              <w:rPr>
                <w:rFonts w:ascii="Arial" w:hAnsi="Arial"/>
                <w:spacing w:val="6"/>
                <w:sz w:val="18"/>
                <w:szCs w:val="24"/>
              </w:rPr>
            </w:pPr>
            <w:r w:rsidRPr="00784E54">
              <w:rPr>
                <w:rFonts w:ascii="Arial" w:hAnsi="Arial"/>
                <w:spacing w:val="6"/>
                <w:sz w:val="18"/>
                <w:szCs w:val="24"/>
              </w:rPr>
              <w:t>Descripción gasto</w:t>
            </w:r>
          </w:p>
        </w:tc>
        <w:tc>
          <w:tcPr>
            <w:tcW w:w="853" w:type="dxa"/>
            <w:tcBorders>
              <w:top w:val="single" w:sz="4" w:space="0" w:color="auto"/>
              <w:left w:val="nil"/>
              <w:bottom w:val="single" w:sz="4" w:space="0" w:color="auto"/>
              <w:right w:val="nil"/>
            </w:tcBorders>
            <w:shd w:val="clear" w:color="auto" w:fill="8DB3E2" w:themeFill="text2" w:themeFillTint="66"/>
            <w:vAlign w:val="center"/>
          </w:tcPr>
          <w:p w:rsidR="00B66E05" w:rsidRPr="007A489E" w:rsidRDefault="00B66E05" w:rsidP="00B66E0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pacing w:val="6"/>
                <w:sz w:val="18"/>
                <w:szCs w:val="24"/>
              </w:rPr>
              <w:t>2013</w:t>
            </w:r>
          </w:p>
        </w:tc>
        <w:tc>
          <w:tcPr>
            <w:tcW w:w="854" w:type="dxa"/>
            <w:tcBorders>
              <w:top w:val="single" w:sz="4" w:space="0" w:color="auto"/>
              <w:left w:val="nil"/>
              <w:bottom w:val="single" w:sz="4" w:space="0" w:color="auto"/>
              <w:right w:val="nil"/>
            </w:tcBorders>
            <w:shd w:val="clear" w:color="auto" w:fill="8DB3E2" w:themeFill="text2" w:themeFillTint="66"/>
            <w:vAlign w:val="center"/>
          </w:tcPr>
          <w:p w:rsidR="00B66E05" w:rsidRPr="007A489E" w:rsidRDefault="00B66E05" w:rsidP="00B66E0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pacing w:val="6"/>
                <w:sz w:val="18"/>
                <w:szCs w:val="24"/>
              </w:rPr>
              <w:t>2014</w:t>
            </w:r>
          </w:p>
        </w:tc>
        <w:tc>
          <w:tcPr>
            <w:tcW w:w="853" w:type="dxa"/>
            <w:tcBorders>
              <w:top w:val="single" w:sz="4" w:space="0" w:color="auto"/>
              <w:left w:val="nil"/>
              <w:bottom w:val="single" w:sz="4" w:space="0" w:color="auto"/>
              <w:right w:val="nil"/>
            </w:tcBorders>
            <w:shd w:val="clear" w:color="auto" w:fill="8DB3E2" w:themeFill="text2" w:themeFillTint="66"/>
            <w:vAlign w:val="center"/>
          </w:tcPr>
          <w:p w:rsidR="00B66E05" w:rsidRPr="007A489E" w:rsidRDefault="00B66E05" w:rsidP="00B66E0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Pr>
                <w:rFonts w:ascii="Arial" w:hAnsi="Arial"/>
                <w:spacing w:val="6"/>
                <w:sz w:val="18"/>
                <w:szCs w:val="24"/>
              </w:rPr>
              <w:t>2015</w:t>
            </w:r>
          </w:p>
        </w:tc>
        <w:tc>
          <w:tcPr>
            <w:tcW w:w="854" w:type="dxa"/>
            <w:tcBorders>
              <w:top w:val="single" w:sz="4" w:space="0" w:color="auto"/>
              <w:left w:val="nil"/>
              <w:bottom w:val="single" w:sz="4" w:space="0" w:color="auto"/>
              <w:right w:val="nil"/>
            </w:tcBorders>
            <w:shd w:val="clear" w:color="auto" w:fill="8DB3E2" w:themeFill="text2" w:themeFillTint="66"/>
            <w:vAlign w:val="center"/>
          </w:tcPr>
          <w:p w:rsidR="00B66E05" w:rsidRPr="007A489E" w:rsidRDefault="00B66E05" w:rsidP="00B66E0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7A489E">
              <w:rPr>
                <w:rFonts w:ascii="Arial" w:hAnsi="Arial"/>
                <w:spacing w:val="6"/>
                <w:sz w:val="18"/>
                <w:szCs w:val="24"/>
              </w:rPr>
              <w:t xml:space="preserve"> 201</w:t>
            </w:r>
            <w:r>
              <w:rPr>
                <w:rFonts w:ascii="Arial" w:hAnsi="Arial"/>
                <w:spacing w:val="6"/>
                <w:sz w:val="18"/>
                <w:szCs w:val="24"/>
              </w:rPr>
              <w:t>6</w:t>
            </w:r>
          </w:p>
        </w:tc>
        <w:tc>
          <w:tcPr>
            <w:tcW w:w="854" w:type="dxa"/>
            <w:tcBorders>
              <w:top w:val="single" w:sz="4" w:space="0" w:color="auto"/>
              <w:left w:val="nil"/>
              <w:bottom w:val="single" w:sz="4" w:space="0" w:color="auto"/>
              <w:right w:val="nil"/>
            </w:tcBorders>
            <w:shd w:val="clear" w:color="auto" w:fill="8DB3E2" w:themeFill="text2" w:themeFillTint="66"/>
            <w:noWrap/>
            <w:vAlign w:val="center"/>
            <w:hideMark/>
          </w:tcPr>
          <w:p w:rsidR="00B66E05" w:rsidRPr="007A489E" w:rsidRDefault="00B66E05" w:rsidP="00B66E05">
            <w:pPr>
              <w:keepLines/>
              <w:tabs>
                <w:tab w:val="right" w:pos="2835"/>
                <w:tab w:val="right" w:pos="3969"/>
                <w:tab w:val="right" w:pos="5103"/>
                <w:tab w:val="right" w:pos="6237"/>
                <w:tab w:val="right" w:pos="7371"/>
              </w:tabs>
              <w:spacing w:after="0"/>
              <w:ind w:firstLine="0"/>
              <w:jc w:val="right"/>
              <w:rPr>
                <w:rFonts w:ascii="Arial" w:hAnsi="Arial"/>
                <w:spacing w:val="6"/>
                <w:sz w:val="18"/>
                <w:szCs w:val="24"/>
              </w:rPr>
            </w:pPr>
            <w:r w:rsidRPr="007A489E">
              <w:rPr>
                <w:rFonts w:ascii="Arial" w:hAnsi="Arial"/>
                <w:spacing w:val="6"/>
                <w:sz w:val="18"/>
                <w:szCs w:val="24"/>
              </w:rPr>
              <w:t>201</w:t>
            </w:r>
            <w:r>
              <w:rPr>
                <w:rFonts w:ascii="Arial" w:hAnsi="Arial"/>
                <w:spacing w:val="6"/>
                <w:sz w:val="18"/>
                <w:szCs w:val="24"/>
              </w:rPr>
              <w:t>7</w:t>
            </w:r>
          </w:p>
        </w:tc>
        <w:tc>
          <w:tcPr>
            <w:tcW w:w="1138" w:type="dxa"/>
            <w:tcBorders>
              <w:top w:val="single" w:sz="4" w:space="0" w:color="auto"/>
              <w:left w:val="nil"/>
              <w:bottom w:val="single" w:sz="4" w:space="0" w:color="auto"/>
              <w:right w:val="nil"/>
            </w:tcBorders>
            <w:shd w:val="clear" w:color="auto" w:fill="8DB3E2" w:themeFill="text2" w:themeFillTint="66"/>
            <w:vAlign w:val="center"/>
          </w:tcPr>
          <w:p w:rsidR="00B66E05" w:rsidRDefault="00B66E05" w:rsidP="006F236F">
            <w:pPr>
              <w:keepLines/>
              <w:tabs>
                <w:tab w:val="right" w:pos="2835"/>
                <w:tab w:val="right" w:pos="3969"/>
                <w:tab w:val="right" w:pos="5103"/>
                <w:tab w:val="right" w:pos="6237"/>
                <w:tab w:val="right" w:pos="7371"/>
              </w:tabs>
              <w:spacing w:after="0"/>
              <w:ind w:left="-48" w:firstLine="0"/>
              <w:jc w:val="right"/>
              <w:rPr>
                <w:rFonts w:ascii="Arial" w:hAnsi="Arial"/>
                <w:spacing w:val="6"/>
                <w:sz w:val="18"/>
                <w:szCs w:val="24"/>
              </w:rPr>
            </w:pPr>
            <w:r>
              <w:rPr>
                <w:rFonts w:ascii="Arial" w:hAnsi="Arial"/>
                <w:spacing w:val="6"/>
                <w:sz w:val="18"/>
                <w:szCs w:val="24"/>
              </w:rPr>
              <w:t>% v</w:t>
            </w:r>
            <w:r w:rsidRPr="00784E54">
              <w:rPr>
                <w:rFonts w:ascii="Arial" w:hAnsi="Arial"/>
                <w:spacing w:val="6"/>
                <w:sz w:val="18"/>
                <w:szCs w:val="24"/>
              </w:rPr>
              <w:t xml:space="preserve">ariación </w:t>
            </w:r>
          </w:p>
          <w:p w:rsidR="00B66E05" w:rsidRPr="00784E54" w:rsidRDefault="00B66E05" w:rsidP="006F236F">
            <w:pPr>
              <w:keepLines/>
              <w:tabs>
                <w:tab w:val="right" w:pos="2835"/>
                <w:tab w:val="right" w:pos="3969"/>
                <w:tab w:val="right" w:pos="5103"/>
                <w:tab w:val="right" w:pos="6237"/>
                <w:tab w:val="right" w:pos="7371"/>
              </w:tabs>
              <w:spacing w:after="0"/>
              <w:ind w:left="-48" w:firstLine="0"/>
              <w:jc w:val="right"/>
              <w:rPr>
                <w:rFonts w:ascii="Arial" w:hAnsi="Arial"/>
                <w:spacing w:val="6"/>
                <w:sz w:val="18"/>
                <w:szCs w:val="24"/>
              </w:rPr>
            </w:pPr>
            <w:r w:rsidRPr="00784E54">
              <w:rPr>
                <w:rFonts w:ascii="Arial" w:hAnsi="Arial"/>
                <w:spacing w:val="6"/>
                <w:sz w:val="18"/>
                <w:szCs w:val="24"/>
              </w:rPr>
              <w:t>201</w:t>
            </w:r>
            <w:r>
              <w:rPr>
                <w:rFonts w:ascii="Arial" w:hAnsi="Arial"/>
                <w:spacing w:val="6"/>
                <w:sz w:val="18"/>
                <w:szCs w:val="24"/>
              </w:rPr>
              <w:t>7</w:t>
            </w:r>
            <w:r w:rsidRPr="00784E54">
              <w:rPr>
                <w:rFonts w:ascii="Arial" w:hAnsi="Arial"/>
                <w:spacing w:val="6"/>
                <w:sz w:val="18"/>
                <w:szCs w:val="24"/>
              </w:rPr>
              <w:t>/201</w:t>
            </w:r>
            <w:r>
              <w:rPr>
                <w:rFonts w:ascii="Arial" w:hAnsi="Arial"/>
                <w:spacing w:val="6"/>
                <w:sz w:val="18"/>
                <w:szCs w:val="24"/>
              </w:rPr>
              <w:t>3</w:t>
            </w:r>
          </w:p>
        </w:tc>
        <w:tc>
          <w:tcPr>
            <w:tcW w:w="1138" w:type="dxa"/>
            <w:tcBorders>
              <w:top w:val="single" w:sz="4" w:space="0" w:color="auto"/>
              <w:left w:val="nil"/>
              <w:bottom w:val="single" w:sz="4" w:space="0" w:color="auto"/>
              <w:right w:val="nil"/>
            </w:tcBorders>
            <w:shd w:val="clear" w:color="auto" w:fill="8DB3E2" w:themeFill="text2" w:themeFillTint="66"/>
            <w:vAlign w:val="center"/>
          </w:tcPr>
          <w:p w:rsidR="00B66E05" w:rsidRDefault="00B66E05" w:rsidP="006F236F">
            <w:pPr>
              <w:keepLines/>
              <w:tabs>
                <w:tab w:val="right" w:pos="2835"/>
                <w:tab w:val="right" w:pos="3969"/>
                <w:tab w:val="right" w:pos="5103"/>
                <w:tab w:val="right" w:pos="6237"/>
                <w:tab w:val="right" w:pos="7371"/>
              </w:tabs>
              <w:spacing w:after="0"/>
              <w:ind w:left="-48" w:firstLine="0"/>
              <w:jc w:val="right"/>
              <w:rPr>
                <w:rFonts w:ascii="Arial" w:hAnsi="Arial"/>
                <w:spacing w:val="6"/>
                <w:sz w:val="18"/>
                <w:szCs w:val="24"/>
              </w:rPr>
            </w:pPr>
            <w:r>
              <w:rPr>
                <w:rFonts w:ascii="Arial" w:hAnsi="Arial"/>
                <w:spacing w:val="6"/>
                <w:sz w:val="18"/>
                <w:szCs w:val="24"/>
              </w:rPr>
              <w:t>% v</w:t>
            </w:r>
            <w:r w:rsidRPr="00784E54">
              <w:rPr>
                <w:rFonts w:ascii="Arial" w:hAnsi="Arial"/>
                <w:spacing w:val="6"/>
                <w:sz w:val="18"/>
                <w:szCs w:val="24"/>
              </w:rPr>
              <w:t xml:space="preserve">ariación </w:t>
            </w:r>
          </w:p>
          <w:p w:rsidR="00B66E05" w:rsidRPr="00784E54" w:rsidRDefault="00B66E05" w:rsidP="006F236F">
            <w:pPr>
              <w:keepLines/>
              <w:tabs>
                <w:tab w:val="right" w:pos="2835"/>
                <w:tab w:val="right" w:pos="3969"/>
                <w:tab w:val="right" w:pos="5103"/>
                <w:tab w:val="right" w:pos="6237"/>
                <w:tab w:val="right" w:pos="7371"/>
              </w:tabs>
              <w:spacing w:after="0"/>
              <w:ind w:left="-48" w:firstLine="0"/>
              <w:jc w:val="right"/>
              <w:rPr>
                <w:rFonts w:ascii="Arial" w:hAnsi="Arial"/>
                <w:spacing w:val="6"/>
                <w:sz w:val="18"/>
                <w:szCs w:val="24"/>
              </w:rPr>
            </w:pPr>
            <w:r w:rsidRPr="00784E54">
              <w:rPr>
                <w:rFonts w:ascii="Arial" w:hAnsi="Arial"/>
                <w:spacing w:val="6"/>
                <w:sz w:val="18"/>
                <w:szCs w:val="24"/>
              </w:rPr>
              <w:t>201</w:t>
            </w:r>
            <w:r>
              <w:rPr>
                <w:rFonts w:ascii="Arial" w:hAnsi="Arial"/>
                <w:spacing w:val="6"/>
                <w:sz w:val="18"/>
                <w:szCs w:val="24"/>
              </w:rPr>
              <w:t>7</w:t>
            </w:r>
            <w:r w:rsidRPr="00784E54">
              <w:rPr>
                <w:rFonts w:ascii="Arial" w:hAnsi="Arial"/>
                <w:spacing w:val="6"/>
                <w:sz w:val="18"/>
                <w:szCs w:val="24"/>
              </w:rPr>
              <w:t>/201</w:t>
            </w:r>
            <w:r>
              <w:rPr>
                <w:rFonts w:ascii="Arial" w:hAnsi="Arial"/>
                <w:spacing w:val="6"/>
                <w:sz w:val="18"/>
                <w:szCs w:val="24"/>
              </w:rPr>
              <w:t>6</w:t>
            </w:r>
          </w:p>
        </w:tc>
      </w:tr>
      <w:tr w:rsidR="00B66E05" w:rsidRPr="002D34C1" w:rsidTr="006F236F">
        <w:trPr>
          <w:trHeight w:val="198"/>
        </w:trPr>
        <w:tc>
          <w:tcPr>
            <w:tcW w:w="2283" w:type="dxa"/>
            <w:tcBorders>
              <w:top w:val="single" w:sz="4" w:space="0" w:color="auto"/>
              <w:left w:val="nil"/>
              <w:bottom w:val="single" w:sz="2" w:space="0" w:color="auto"/>
              <w:right w:val="nil"/>
            </w:tcBorders>
            <w:vAlign w:val="center"/>
            <w:hideMark/>
          </w:tcPr>
          <w:p w:rsidR="00B66E05" w:rsidRPr="002D34C1" w:rsidRDefault="00B66E05" w:rsidP="00B66E0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Encargo GAN (gastos pe</w:t>
            </w:r>
            <w:r>
              <w:rPr>
                <w:rFonts w:ascii="Arial Narrow" w:hAnsi="Arial Narrow"/>
                <w:spacing w:val="6"/>
              </w:rPr>
              <w:t>r</w:t>
            </w:r>
            <w:r>
              <w:rPr>
                <w:rFonts w:ascii="Arial Narrow" w:hAnsi="Arial Narrow"/>
                <w:spacing w:val="6"/>
              </w:rPr>
              <w:t>sonal y desplazamientos)</w:t>
            </w:r>
          </w:p>
        </w:tc>
        <w:tc>
          <w:tcPr>
            <w:tcW w:w="853" w:type="dxa"/>
            <w:tcBorders>
              <w:top w:val="single" w:sz="4"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99.979</w:t>
            </w:r>
          </w:p>
        </w:tc>
        <w:tc>
          <w:tcPr>
            <w:tcW w:w="854" w:type="dxa"/>
            <w:tcBorders>
              <w:top w:val="single" w:sz="4"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82.395</w:t>
            </w:r>
          </w:p>
        </w:tc>
        <w:tc>
          <w:tcPr>
            <w:tcW w:w="853" w:type="dxa"/>
            <w:tcBorders>
              <w:top w:val="single" w:sz="4"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97.365</w:t>
            </w:r>
          </w:p>
        </w:tc>
        <w:tc>
          <w:tcPr>
            <w:tcW w:w="854" w:type="dxa"/>
            <w:tcBorders>
              <w:top w:val="single" w:sz="4"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171.530</w:t>
            </w:r>
          </w:p>
        </w:tc>
        <w:tc>
          <w:tcPr>
            <w:tcW w:w="854" w:type="dxa"/>
            <w:tcBorders>
              <w:top w:val="single" w:sz="4" w:space="0" w:color="auto"/>
              <w:left w:val="nil"/>
              <w:bottom w:val="single" w:sz="2" w:space="0" w:color="auto"/>
              <w:right w:val="nil"/>
            </w:tcBorders>
            <w:noWrap/>
            <w:vAlign w:val="center"/>
            <w:hideMark/>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176.000*</w:t>
            </w:r>
          </w:p>
        </w:tc>
        <w:tc>
          <w:tcPr>
            <w:tcW w:w="1138" w:type="dxa"/>
            <w:tcBorders>
              <w:top w:val="single" w:sz="4" w:space="0" w:color="auto"/>
              <w:left w:val="nil"/>
              <w:bottom w:val="single" w:sz="2" w:space="0" w:color="auto"/>
              <w:right w:val="nil"/>
            </w:tcBorders>
            <w:vAlign w:val="center"/>
          </w:tcPr>
          <w:p w:rsidR="00B66E05" w:rsidRPr="002D34C1" w:rsidRDefault="00B66E05" w:rsidP="006F236F">
            <w:pPr>
              <w:keepLines/>
              <w:tabs>
                <w:tab w:val="right" w:pos="2835"/>
                <w:tab w:val="right" w:pos="3969"/>
                <w:tab w:val="right" w:pos="5103"/>
                <w:tab w:val="right" w:pos="6237"/>
                <w:tab w:val="right" w:pos="7371"/>
              </w:tabs>
              <w:spacing w:after="0"/>
              <w:ind w:left="-48" w:firstLine="0"/>
              <w:jc w:val="right"/>
              <w:rPr>
                <w:rFonts w:ascii="Arial Narrow" w:hAnsi="Arial Narrow"/>
                <w:spacing w:val="6"/>
              </w:rPr>
            </w:pPr>
            <w:r>
              <w:rPr>
                <w:rFonts w:ascii="Arial Narrow" w:hAnsi="Arial Narrow"/>
                <w:spacing w:val="6"/>
              </w:rPr>
              <w:t>76</w:t>
            </w:r>
          </w:p>
        </w:tc>
        <w:tc>
          <w:tcPr>
            <w:tcW w:w="1138" w:type="dxa"/>
            <w:tcBorders>
              <w:top w:val="single" w:sz="4" w:space="0" w:color="auto"/>
              <w:left w:val="nil"/>
              <w:bottom w:val="single" w:sz="2" w:space="0" w:color="auto"/>
              <w:right w:val="nil"/>
            </w:tcBorders>
            <w:vAlign w:val="center"/>
          </w:tcPr>
          <w:p w:rsidR="00B66E05" w:rsidRPr="002D34C1" w:rsidRDefault="00B66E05" w:rsidP="006F236F">
            <w:pPr>
              <w:keepLines/>
              <w:tabs>
                <w:tab w:val="right" w:pos="2835"/>
                <w:tab w:val="right" w:pos="3969"/>
                <w:tab w:val="right" w:pos="5103"/>
                <w:tab w:val="right" w:pos="6237"/>
                <w:tab w:val="right" w:pos="7371"/>
              </w:tabs>
              <w:spacing w:after="0"/>
              <w:ind w:left="-48" w:firstLine="0"/>
              <w:jc w:val="right"/>
              <w:rPr>
                <w:rFonts w:ascii="Arial Narrow" w:hAnsi="Arial Narrow"/>
                <w:spacing w:val="6"/>
              </w:rPr>
            </w:pPr>
            <w:r>
              <w:rPr>
                <w:rFonts w:ascii="Arial Narrow" w:hAnsi="Arial Narrow"/>
                <w:spacing w:val="6"/>
              </w:rPr>
              <w:t>3</w:t>
            </w:r>
          </w:p>
        </w:tc>
      </w:tr>
      <w:tr w:rsidR="00B66E05" w:rsidRPr="002D34C1" w:rsidTr="006F236F">
        <w:trPr>
          <w:trHeight w:val="198"/>
        </w:trPr>
        <w:tc>
          <w:tcPr>
            <w:tcW w:w="2283" w:type="dxa"/>
            <w:tcBorders>
              <w:top w:val="single" w:sz="2" w:space="0" w:color="auto"/>
              <w:left w:val="nil"/>
              <w:bottom w:val="single" w:sz="2" w:space="0" w:color="auto"/>
              <w:right w:val="nil"/>
            </w:tcBorders>
            <w:vAlign w:val="center"/>
            <w:hideMark/>
          </w:tcPr>
          <w:p w:rsidR="00B66E05" w:rsidRPr="002D34C1" w:rsidRDefault="00B66E05" w:rsidP="00B66E0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Otros gastos</w:t>
            </w:r>
            <w:r>
              <w:rPr>
                <w:rStyle w:val="Refdenotaalpie"/>
                <w:rFonts w:ascii="Arial Narrow" w:hAnsi="Arial Narrow"/>
                <w:spacing w:val="6"/>
              </w:rPr>
              <w:footnoteReference w:id="7"/>
            </w:r>
          </w:p>
        </w:tc>
        <w:tc>
          <w:tcPr>
            <w:tcW w:w="853" w:type="dxa"/>
            <w:tcBorders>
              <w:top w:val="single" w:sz="2"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3.915</w:t>
            </w:r>
          </w:p>
        </w:tc>
        <w:tc>
          <w:tcPr>
            <w:tcW w:w="854" w:type="dxa"/>
            <w:tcBorders>
              <w:top w:val="single" w:sz="2"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11.303</w:t>
            </w:r>
          </w:p>
        </w:tc>
        <w:tc>
          <w:tcPr>
            <w:tcW w:w="853" w:type="dxa"/>
            <w:tcBorders>
              <w:top w:val="single" w:sz="2"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2.896</w:t>
            </w:r>
          </w:p>
        </w:tc>
        <w:tc>
          <w:tcPr>
            <w:tcW w:w="854" w:type="dxa"/>
            <w:tcBorders>
              <w:top w:val="single" w:sz="2"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10.179</w:t>
            </w:r>
          </w:p>
        </w:tc>
        <w:tc>
          <w:tcPr>
            <w:tcW w:w="854" w:type="dxa"/>
            <w:tcBorders>
              <w:top w:val="single" w:sz="2" w:space="0" w:color="auto"/>
              <w:left w:val="nil"/>
              <w:bottom w:val="single" w:sz="2" w:space="0" w:color="auto"/>
              <w:right w:val="nil"/>
            </w:tcBorders>
            <w:noWrap/>
            <w:vAlign w:val="center"/>
            <w:hideMark/>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30.841</w:t>
            </w:r>
          </w:p>
        </w:tc>
        <w:tc>
          <w:tcPr>
            <w:tcW w:w="1138" w:type="dxa"/>
            <w:tcBorders>
              <w:top w:val="single" w:sz="2" w:space="0" w:color="auto"/>
              <w:left w:val="nil"/>
              <w:bottom w:val="single" w:sz="2" w:space="0" w:color="auto"/>
              <w:right w:val="nil"/>
            </w:tcBorders>
            <w:vAlign w:val="center"/>
          </w:tcPr>
          <w:p w:rsidR="00B66E05" w:rsidRDefault="00B66E05" w:rsidP="006F236F">
            <w:pPr>
              <w:keepLines/>
              <w:tabs>
                <w:tab w:val="right" w:pos="2835"/>
                <w:tab w:val="right" w:pos="3969"/>
                <w:tab w:val="right" w:pos="5103"/>
                <w:tab w:val="right" w:pos="6237"/>
                <w:tab w:val="right" w:pos="7371"/>
              </w:tabs>
              <w:spacing w:after="0"/>
              <w:ind w:left="-48" w:firstLine="0"/>
              <w:jc w:val="right"/>
              <w:rPr>
                <w:rFonts w:ascii="Arial Narrow" w:hAnsi="Arial Narrow"/>
                <w:spacing w:val="6"/>
              </w:rPr>
            </w:pPr>
            <w:r>
              <w:rPr>
                <w:rFonts w:ascii="Arial Narrow" w:hAnsi="Arial Narrow"/>
                <w:spacing w:val="6"/>
              </w:rPr>
              <w:t>688</w:t>
            </w:r>
          </w:p>
        </w:tc>
        <w:tc>
          <w:tcPr>
            <w:tcW w:w="1138" w:type="dxa"/>
            <w:tcBorders>
              <w:top w:val="single" w:sz="2" w:space="0" w:color="auto"/>
              <w:left w:val="nil"/>
              <w:bottom w:val="single" w:sz="2" w:space="0" w:color="auto"/>
              <w:right w:val="nil"/>
            </w:tcBorders>
            <w:vAlign w:val="center"/>
          </w:tcPr>
          <w:p w:rsidR="00B66E05" w:rsidRPr="002D34C1" w:rsidRDefault="00B66E05" w:rsidP="006F236F">
            <w:pPr>
              <w:keepLines/>
              <w:tabs>
                <w:tab w:val="right" w:pos="2835"/>
                <w:tab w:val="right" w:pos="3969"/>
                <w:tab w:val="right" w:pos="5103"/>
                <w:tab w:val="right" w:pos="6237"/>
                <w:tab w:val="right" w:pos="7371"/>
              </w:tabs>
              <w:spacing w:after="0"/>
              <w:ind w:left="-48" w:firstLine="0"/>
              <w:jc w:val="right"/>
              <w:rPr>
                <w:rFonts w:ascii="Arial Narrow" w:hAnsi="Arial Narrow"/>
                <w:spacing w:val="6"/>
              </w:rPr>
            </w:pPr>
            <w:r>
              <w:rPr>
                <w:rFonts w:ascii="Arial Narrow" w:hAnsi="Arial Narrow"/>
                <w:spacing w:val="6"/>
              </w:rPr>
              <w:t>203</w:t>
            </w:r>
          </w:p>
        </w:tc>
      </w:tr>
      <w:tr w:rsidR="00B66E05" w:rsidRPr="002D34C1" w:rsidTr="006F236F">
        <w:trPr>
          <w:trHeight w:val="198"/>
        </w:trPr>
        <w:tc>
          <w:tcPr>
            <w:tcW w:w="2283" w:type="dxa"/>
            <w:tcBorders>
              <w:top w:val="single" w:sz="2"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Convenio emergencias</w:t>
            </w:r>
          </w:p>
        </w:tc>
        <w:tc>
          <w:tcPr>
            <w:tcW w:w="853" w:type="dxa"/>
            <w:tcBorders>
              <w:top w:val="single" w:sz="2"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26.000</w:t>
            </w:r>
          </w:p>
        </w:tc>
        <w:tc>
          <w:tcPr>
            <w:tcW w:w="854" w:type="dxa"/>
            <w:tcBorders>
              <w:top w:val="single" w:sz="2"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25.999</w:t>
            </w:r>
          </w:p>
        </w:tc>
        <w:tc>
          <w:tcPr>
            <w:tcW w:w="853" w:type="dxa"/>
            <w:tcBorders>
              <w:top w:val="single" w:sz="2"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26.000</w:t>
            </w:r>
          </w:p>
        </w:tc>
        <w:tc>
          <w:tcPr>
            <w:tcW w:w="854" w:type="dxa"/>
            <w:tcBorders>
              <w:top w:val="single" w:sz="2" w:space="0" w:color="auto"/>
              <w:left w:val="nil"/>
              <w:bottom w:val="single" w:sz="2"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0</w:t>
            </w:r>
          </w:p>
        </w:tc>
        <w:tc>
          <w:tcPr>
            <w:tcW w:w="854" w:type="dxa"/>
            <w:tcBorders>
              <w:top w:val="single" w:sz="2" w:space="0" w:color="auto"/>
              <w:left w:val="nil"/>
              <w:bottom w:val="single" w:sz="2" w:space="0" w:color="auto"/>
              <w:right w:val="nil"/>
            </w:tcBorders>
            <w:noWrap/>
            <w:vAlign w:val="center"/>
          </w:tcPr>
          <w:p w:rsidR="00B66E05"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0</w:t>
            </w:r>
          </w:p>
        </w:tc>
        <w:tc>
          <w:tcPr>
            <w:tcW w:w="1138" w:type="dxa"/>
            <w:tcBorders>
              <w:top w:val="single" w:sz="2" w:space="0" w:color="auto"/>
              <w:left w:val="nil"/>
              <w:bottom w:val="single" w:sz="2" w:space="0" w:color="auto"/>
              <w:right w:val="nil"/>
            </w:tcBorders>
            <w:vAlign w:val="center"/>
          </w:tcPr>
          <w:p w:rsidR="00B66E05" w:rsidRDefault="00B66E05" w:rsidP="006F236F">
            <w:pPr>
              <w:keepLines/>
              <w:tabs>
                <w:tab w:val="right" w:pos="2835"/>
                <w:tab w:val="right" w:pos="3969"/>
                <w:tab w:val="right" w:pos="5103"/>
                <w:tab w:val="right" w:pos="6237"/>
                <w:tab w:val="right" w:pos="7371"/>
              </w:tabs>
              <w:spacing w:after="0"/>
              <w:ind w:left="-48" w:firstLine="0"/>
              <w:jc w:val="right"/>
              <w:rPr>
                <w:rFonts w:ascii="Arial Narrow" w:hAnsi="Arial Narrow"/>
                <w:spacing w:val="6"/>
              </w:rPr>
            </w:pPr>
            <w:r>
              <w:rPr>
                <w:rFonts w:ascii="Arial Narrow" w:hAnsi="Arial Narrow"/>
                <w:spacing w:val="6"/>
              </w:rPr>
              <w:t>-</w:t>
            </w:r>
          </w:p>
        </w:tc>
        <w:tc>
          <w:tcPr>
            <w:tcW w:w="1138" w:type="dxa"/>
            <w:tcBorders>
              <w:top w:val="single" w:sz="2" w:space="0" w:color="auto"/>
              <w:left w:val="nil"/>
              <w:bottom w:val="single" w:sz="2" w:space="0" w:color="auto"/>
              <w:right w:val="nil"/>
            </w:tcBorders>
            <w:vAlign w:val="center"/>
          </w:tcPr>
          <w:p w:rsidR="00B66E05" w:rsidRDefault="00B66E05" w:rsidP="006F236F">
            <w:pPr>
              <w:keepLines/>
              <w:tabs>
                <w:tab w:val="right" w:pos="2835"/>
                <w:tab w:val="right" w:pos="3969"/>
                <w:tab w:val="right" w:pos="5103"/>
                <w:tab w:val="right" w:pos="6237"/>
                <w:tab w:val="right" w:pos="7371"/>
              </w:tabs>
              <w:spacing w:after="0"/>
              <w:ind w:left="-48" w:firstLine="0"/>
              <w:jc w:val="right"/>
              <w:rPr>
                <w:rFonts w:ascii="Arial Narrow" w:hAnsi="Arial Narrow"/>
                <w:spacing w:val="6"/>
              </w:rPr>
            </w:pPr>
            <w:r>
              <w:rPr>
                <w:rFonts w:ascii="Arial Narrow" w:hAnsi="Arial Narrow"/>
                <w:spacing w:val="6"/>
              </w:rPr>
              <w:t>-</w:t>
            </w:r>
          </w:p>
        </w:tc>
      </w:tr>
      <w:tr w:rsidR="00B66E05" w:rsidRPr="002E48D6" w:rsidTr="006F236F">
        <w:trPr>
          <w:trHeight w:val="255"/>
        </w:trPr>
        <w:tc>
          <w:tcPr>
            <w:tcW w:w="2283" w:type="dxa"/>
            <w:tcBorders>
              <w:top w:val="single" w:sz="2" w:space="0" w:color="auto"/>
              <w:left w:val="nil"/>
              <w:bottom w:val="single" w:sz="4" w:space="0" w:color="auto"/>
              <w:right w:val="nil"/>
            </w:tcBorders>
            <w:shd w:val="clear" w:color="auto" w:fill="8DB3E2" w:themeFill="text2" w:themeFillTint="66"/>
            <w:vAlign w:val="center"/>
          </w:tcPr>
          <w:p w:rsidR="00B66E05" w:rsidRPr="002E48D6" w:rsidRDefault="00B66E05" w:rsidP="00B66E05">
            <w:pPr>
              <w:keepLines/>
              <w:tabs>
                <w:tab w:val="right" w:pos="2835"/>
                <w:tab w:val="right" w:pos="3969"/>
                <w:tab w:val="right" w:pos="5103"/>
                <w:tab w:val="right" w:pos="6237"/>
                <w:tab w:val="right" w:pos="7371"/>
              </w:tabs>
              <w:spacing w:after="0"/>
              <w:ind w:firstLine="0"/>
              <w:jc w:val="left"/>
              <w:rPr>
                <w:rFonts w:ascii="Arial" w:hAnsi="Arial" w:cs="Arial"/>
                <w:spacing w:val="6"/>
                <w:sz w:val="18"/>
                <w:szCs w:val="18"/>
              </w:rPr>
            </w:pPr>
            <w:r w:rsidRPr="002E48D6">
              <w:rPr>
                <w:rFonts w:ascii="Arial" w:hAnsi="Arial" w:cs="Arial"/>
                <w:spacing w:val="6"/>
                <w:sz w:val="18"/>
                <w:szCs w:val="18"/>
              </w:rPr>
              <w:t>Total</w:t>
            </w:r>
            <w:r>
              <w:rPr>
                <w:rFonts w:ascii="Arial" w:hAnsi="Arial" w:cs="Arial"/>
                <w:spacing w:val="6"/>
                <w:sz w:val="18"/>
                <w:szCs w:val="18"/>
              </w:rPr>
              <w:t xml:space="preserve"> gasto</w:t>
            </w:r>
          </w:p>
        </w:tc>
        <w:tc>
          <w:tcPr>
            <w:tcW w:w="853" w:type="dxa"/>
            <w:tcBorders>
              <w:top w:val="single" w:sz="2" w:space="0" w:color="auto"/>
              <w:left w:val="nil"/>
              <w:bottom w:val="single" w:sz="4" w:space="0" w:color="auto"/>
              <w:right w:val="nil"/>
            </w:tcBorders>
            <w:shd w:val="clear" w:color="auto" w:fill="8DB3E2" w:themeFill="text2" w:themeFillTint="66"/>
            <w:vAlign w:val="center"/>
          </w:tcPr>
          <w:p w:rsidR="00B66E05" w:rsidRPr="002E48D6" w:rsidRDefault="00B66E05" w:rsidP="00B66E0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129.894</w:t>
            </w:r>
          </w:p>
        </w:tc>
        <w:tc>
          <w:tcPr>
            <w:tcW w:w="854" w:type="dxa"/>
            <w:tcBorders>
              <w:top w:val="single" w:sz="2" w:space="0" w:color="auto"/>
              <w:left w:val="nil"/>
              <w:bottom w:val="single" w:sz="4" w:space="0" w:color="auto"/>
              <w:right w:val="nil"/>
            </w:tcBorders>
            <w:shd w:val="clear" w:color="auto" w:fill="8DB3E2" w:themeFill="text2" w:themeFillTint="66"/>
            <w:vAlign w:val="center"/>
          </w:tcPr>
          <w:p w:rsidR="00B66E05" w:rsidRPr="002E48D6" w:rsidRDefault="00B66E05" w:rsidP="00B66E0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119.697</w:t>
            </w:r>
          </w:p>
        </w:tc>
        <w:tc>
          <w:tcPr>
            <w:tcW w:w="853" w:type="dxa"/>
            <w:tcBorders>
              <w:top w:val="single" w:sz="2" w:space="0" w:color="auto"/>
              <w:left w:val="nil"/>
              <w:bottom w:val="single" w:sz="4" w:space="0" w:color="auto"/>
              <w:right w:val="nil"/>
            </w:tcBorders>
            <w:shd w:val="clear" w:color="auto" w:fill="8DB3E2" w:themeFill="text2" w:themeFillTint="66"/>
            <w:vAlign w:val="center"/>
          </w:tcPr>
          <w:p w:rsidR="00B66E05" w:rsidRPr="002E48D6" w:rsidRDefault="00B66E05" w:rsidP="00B66E0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126.261</w:t>
            </w:r>
          </w:p>
        </w:tc>
        <w:tc>
          <w:tcPr>
            <w:tcW w:w="854" w:type="dxa"/>
            <w:tcBorders>
              <w:top w:val="single" w:sz="2" w:space="0" w:color="auto"/>
              <w:left w:val="nil"/>
              <w:bottom w:val="single" w:sz="4" w:space="0" w:color="auto"/>
              <w:right w:val="nil"/>
            </w:tcBorders>
            <w:shd w:val="clear" w:color="auto" w:fill="8DB3E2" w:themeFill="text2" w:themeFillTint="66"/>
            <w:vAlign w:val="center"/>
          </w:tcPr>
          <w:p w:rsidR="00B66E05" w:rsidRPr="002E48D6" w:rsidRDefault="00B66E05" w:rsidP="00B66E0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181.709</w:t>
            </w:r>
          </w:p>
        </w:tc>
        <w:tc>
          <w:tcPr>
            <w:tcW w:w="854" w:type="dxa"/>
            <w:tcBorders>
              <w:top w:val="single" w:sz="2" w:space="0" w:color="auto"/>
              <w:left w:val="nil"/>
              <w:bottom w:val="single" w:sz="4" w:space="0" w:color="auto"/>
              <w:right w:val="nil"/>
            </w:tcBorders>
            <w:shd w:val="clear" w:color="auto" w:fill="8DB3E2" w:themeFill="text2" w:themeFillTint="66"/>
            <w:noWrap/>
            <w:vAlign w:val="center"/>
          </w:tcPr>
          <w:p w:rsidR="00B66E05" w:rsidRPr="002E48D6" w:rsidRDefault="00B66E05" w:rsidP="00B66E05">
            <w:pPr>
              <w:keepLines/>
              <w:tabs>
                <w:tab w:val="right" w:pos="2835"/>
                <w:tab w:val="right" w:pos="3969"/>
                <w:tab w:val="right" w:pos="5103"/>
                <w:tab w:val="right" w:pos="6237"/>
                <w:tab w:val="right" w:pos="7371"/>
              </w:tabs>
              <w:spacing w:after="0"/>
              <w:ind w:firstLine="0"/>
              <w:jc w:val="right"/>
              <w:rPr>
                <w:rFonts w:ascii="Arial" w:hAnsi="Arial" w:cs="Arial"/>
                <w:spacing w:val="6"/>
                <w:sz w:val="18"/>
                <w:szCs w:val="18"/>
              </w:rPr>
            </w:pPr>
            <w:r>
              <w:rPr>
                <w:rFonts w:ascii="Arial" w:hAnsi="Arial" w:cs="Arial"/>
                <w:spacing w:val="6"/>
                <w:sz w:val="18"/>
                <w:szCs w:val="18"/>
              </w:rPr>
              <w:t>206.841</w:t>
            </w:r>
          </w:p>
        </w:tc>
        <w:tc>
          <w:tcPr>
            <w:tcW w:w="1138" w:type="dxa"/>
            <w:tcBorders>
              <w:top w:val="single" w:sz="2" w:space="0" w:color="auto"/>
              <w:left w:val="nil"/>
              <w:bottom w:val="single" w:sz="4" w:space="0" w:color="auto"/>
              <w:right w:val="nil"/>
            </w:tcBorders>
            <w:shd w:val="clear" w:color="auto" w:fill="8DB3E2" w:themeFill="text2" w:themeFillTint="66"/>
            <w:vAlign w:val="center"/>
          </w:tcPr>
          <w:p w:rsidR="00B66E05" w:rsidRPr="002E48D6" w:rsidRDefault="00B66E05" w:rsidP="006F236F">
            <w:pPr>
              <w:keepLines/>
              <w:tabs>
                <w:tab w:val="right" w:pos="2835"/>
                <w:tab w:val="right" w:pos="3969"/>
                <w:tab w:val="right" w:pos="5103"/>
                <w:tab w:val="right" w:pos="6237"/>
                <w:tab w:val="right" w:pos="7371"/>
              </w:tabs>
              <w:spacing w:after="0"/>
              <w:ind w:left="-48" w:firstLine="0"/>
              <w:jc w:val="right"/>
              <w:rPr>
                <w:rFonts w:ascii="Arial" w:hAnsi="Arial" w:cs="Arial"/>
                <w:spacing w:val="6"/>
                <w:sz w:val="18"/>
                <w:szCs w:val="18"/>
              </w:rPr>
            </w:pPr>
            <w:r>
              <w:rPr>
                <w:rFonts w:ascii="Arial" w:hAnsi="Arial" w:cs="Arial"/>
                <w:spacing w:val="6"/>
                <w:sz w:val="18"/>
                <w:szCs w:val="18"/>
              </w:rPr>
              <w:t>59</w:t>
            </w:r>
          </w:p>
        </w:tc>
        <w:tc>
          <w:tcPr>
            <w:tcW w:w="1138" w:type="dxa"/>
            <w:tcBorders>
              <w:top w:val="single" w:sz="2" w:space="0" w:color="auto"/>
              <w:left w:val="nil"/>
              <w:bottom w:val="single" w:sz="4" w:space="0" w:color="auto"/>
              <w:right w:val="nil"/>
            </w:tcBorders>
            <w:shd w:val="clear" w:color="auto" w:fill="8DB3E2" w:themeFill="text2" w:themeFillTint="66"/>
            <w:vAlign w:val="center"/>
          </w:tcPr>
          <w:p w:rsidR="00B66E05" w:rsidRPr="002E48D6" w:rsidRDefault="00B66E05" w:rsidP="006F236F">
            <w:pPr>
              <w:keepLines/>
              <w:tabs>
                <w:tab w:val="right" w:pos="2835"/>
                <w:tab w:val="right" w:pos="3969"/>
                <w:tab w:val="right" w:pos="5103"/>
                <w:tab w:val="right" w:pos="6237"/>
                <w:tab w:val="right" w:pos="7371"/>
              </w:tabs>
              <w:spacing w:after="0"/>
              <w:ind w:left="-48" w:firstLine="0"/>
              <w:jc w:val="right"/>
              <w:rPr>
                <w:rFonts w:ascii="Arial" w:hAnsi="Arial" w:cs="Arial"/>
                <w:spacing w:val="6"/>
                <w:sz w:val="18"/>
                <w:szCs w:val="18"/>
              </w:rPr>
            </w:pPr>
            <w:r>
              <w:rPr>
                <w:rFonts w:ascii="Arial" w:hAnsi="Arial" w:cs="Arial"/>
                <w:spacing w:val="6"/>
                <w:sz w:val="18"/>
                <w:szCs w:val="18"/>
              </w:rPr>
              <w:t>14</w:t>
            </w:r>
          </w:p>
        </w:tc>
      </w:tr>
      <w:tr w:rsidR="00B66E05" w:rsidRPr="002D34C1" w:rsidTr="006F236F">
        <w:trPr>
          <w:trHeight w:val="198"/>
        </w:trPr>
        <w:tc>
          <w:tcPr>
            <w:tcW w:w="2283" w:type="dxa"/>
            <w:tcBorders>
              <w:top w:val="single" w:sz="4" w:space="0" w:color="auto"/>
              <w:left w:val="nil"/>
              <w:bottom w:val="single" w:sz="4" w:space="0" w:color="auto"/>
              <w:right w:val="nil"/>
            </w:tcBorders>
            <w:vAlign w:val="center"/>
            <w:hideMark/>
          </w:tcPr>
          <w:p w:rsidR="00B66E05" w:rsidRPr="002D34C1" w:rsidRDefault="00B66E05" w:rsidP="00B66E05">
            <w:pPr>
              <w:keepLines/>
              <w:tabs>
                <w:tab w:val="right" w:pos="2835"/>
                <w:tab w:val="right" w:pos="3969"/>
                <w:tab w:val="right" w:pos="5103"/>
                <w:tab w:val="right" w:pos="6237"/>
                <w:tab w:val="right" w:pos="7371"/>
              </w:tabs>
              <w:spacing w:after="0"/>
              <w:ind w:firstLine="0"/>
              <w:jc w:val="left"/>
              <w:rPr>
                <w:rFonts w:ascii="Arial Narrow" w:hAnsi="Arial Narrow"/>
                <w:spacing w:val="6"/>
              </w:rPr>
            </w:pPr>
            <w:r>
              <w:rPr>
                <w:rFonts w:ascii="Arial Narrow" w:hAnsi="Arial Narrow"/>
                <w:spacing w:val="6"/>
              </w:rPr>
              <w:t>Animales atendidos</w:t>
            </w:r>
          </w:p>
        </w:tc>
        <w:tc>
          <w:tcPr>
            <w:tcW w:w="853" w:type="dxa"/>
            <w:tcBorders>
              <w:top w:val="single" w:sz="4" w:space="0" w:color="auto"/>
              <w:left w:val="nil"/>
              <w:bottom w:val="single" w:sz="4"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437</w:t>
            </w:r>
          </w:p>
        </w:tc>
        <w:tc>
          <w:tcPr>
            <w:tcW w:w="854" w:type="dxa"/>
            <w:tcBorders>
              <w:top w:val="single" w:sz="4" w:space="0" w:color="auto"/>
              <w:left w:val="nil"/>
              <w:bottom w:val="single" w:sz="4" w:space="0" w:color="auto"/>
              <w:right w:val="nil"/>
            </w:tcBorders>
            <w:vAlign w:val="center"/>
          </w:tcPr>
          <w:p w:rsidR="00B66E05" w:rsidRPr="002D34C1"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Pr>
                <w:rFonts w:ascii="Arial Narrow" w:hAnsi="Arial Narrow"/>
                <w:spacing w:val="6"/>
              </w:rPr>
              <w:t>459</w:t>
            </w:r>
          </w:p>
        </w:tc>
        <w:tc>
          <w:tcPr>
            <w:tcW w:w="853" w:type="dxa"/>
            <w:tcBorders>
              <w:top w:val="single" w:sz="4" w:space="0" w:color="auto"/>
              <w:left w:val="nil"/>
              <w:bottom w:val="single" w:sz="4" w:space="0" w:color="auto"/>
              <w:right w:val="nil"/>
            </w:tcBorders>
            <w:vAlign w:val="center"/>
          </w:tcPr>
          <w:p w:rsidR="00B66E05" w:rsidRPr="002E48D6"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2E48D6">
              <w:rPr>
                <w:rFonts w:ascii="Arial Narrow" w:hAnsi="Arial Narrow"/>
                <w:spacing w:val="6"/>
              </w:rPr>
              <w:t>556</w:t>
            </w:r>
          </w:p>
        </w:tc>
        <w:tc>
          <w:tcPr>
            <w:tcW w:w="854" w:type="dxa"/>
            <w:tcBorders>
              <w:top w:val="single" w:sz="4" w:space="0" w:color="auto"/>
              <w:left w:val="nil"/>
              <w:bottom w:val="single" w:sz="4" w:space="0" w:color="auto"/>
              <w:right w:val="nil"/>
            </w:tcBorders>
            <w:vAlign w:val="center"/>
          </w:tcPr>
          <w:p w:rsidR="00B66E05" w:rsidRPr="002E48D6"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2E48D6">
              <w:rPr>
                <w:rFonts w:ascii="Arial Narrow" w:hAnsi="Arial Narrow"/>
                <w:spacing w:val="6"/>
              </w:rPr>
              <w:t>586</w:t>
            </w:r>
          </w:p>
        </w:tc>
        <w:tc>
          <w:tcPr>
            <w:tcW w:w="854" w:type="dxa"/>
            <w:tcBorders>
              <w:top w:val="single" w:sz="4" w:space="0" w:color="auto"/>
              <w:left w:val="nil"/>
              <w:bottom w:val="single" w:sz="4" w:space="0" w:color="auto"/>
              <w:right w:val="nil"/>
            </w:tcBorders>
            <w:noWrap/>
            <w:vAlign w:val="center"/>
            <w:hideMark/>
          </w:tcPr>
          <w:p w:rsidR="00B66E05" w:rsidRPr="002E48D6" w:rsidRDefault="00B66E05" w:rsidP="00B66E05">
            <w:pPr>
              <w:keepLines/>
              <w:tabs>
                <w:tab w:val="right" w:pos="2835"/>
                <w:tab w:val="right" w:pos="3969"/>
                <w:tab w:val="right" w:pos="5103"/>
                <w:tab w:val="right" w:pos="6237"/>
                <w:tab w:val="right" w:pos="7371"/>
              </w:tabs>
              <w:spacing w:after="0"/>
              <w:ind w:firstLine="0"/>
              <w:jc w:val="right"/>
              <w:rPr>
                <w:rFonts w:ascii="Arial Narrow" w:hAnsi="Arial Narrow"/>
                <w:spacing w:val="6"/>
              </w:rPr>
            </w:pPr>
            <w:r w:rsidRPr="002E48D6">
              <w:rPr>
                <w:rFonts w:ascii="Arial Narrow" w:hAnsi="Arial Narrow"/>
                <w:spacing w:val="6"/>
              </w:rPr>
              <w:t>554</w:t>
            </w:r>
          </w:p>
        </w:tc>
        <w:tc>
          <w:tcPr>
            <w:tcW w:w="1138" w:type="dxa"/>
            <w:tcBorders>
              <w:top w:val="single" w:sz="4" w:space="0" w:color="auto"/>
              <w:left w:val="nil"/>
              <w:bottom w:val="single" w:sz="4" w:space="0" w:color="auto"/>
              <w:right w:val="nil"/>
            </w:tcBorders>
            <w:vAlign w:val="center"/>
          </w:tcPr>
          <w:p w:rsidR="00B66E05" w:rsidRPr="002D34C1" w:rsidRDefault="00B66E05" w:rsidP="006F236F">
            <w:pPr>
              <w:keepLines/>
              <w:tabs>
                <w:tab w:val="right" w:pos="2835"/>
                <w:tab w:val="right" w:pos="3969"/>
                <w:tab w:val="right" w:pos="5103"/>
                <w:tab w:val="right" w:pos="6237"/>
                <w:tab w:val="right" w:pos="7371"/>
              </w:tabs>
              <w:spacing w:after="0"/>
              <w:ind w:left="-48" w:firstLine="0"/>
              <w:jc w:val="right"/>
              <w:rPr>
                <w:rFonts w:ascii="Arial Narrow" w:hAnsi="Arial Narrow"/>
                <w:spacing w:val="6"/>
              </w:rPr>
            </w:pPr>
            <w:r>
              <w:rPr>
                <w:rFonts w:ascii="Arial Narrow" w:hAnsi="Arial Narrow"/>
                <w:spacing w:val="6"/>
              </w:rPr>
              <w:t>27</w:t>
            </w:r>
          </w:p>
        </w:tc>
        <w:tc>
          <w:tcPr>
            <w:tcW w:w="1138" w:type="dxa"/>
            <w:tcBorders>
              <w:top w:val="single" w:sz="4" w:space="0" w:color="auto"/>
              <w:left w:val="nil"/>
              <w:bottom w:val="single" w:sz="4" w:space="0" w:color="auto"/>
              <w:right w:val="nil"/>
            </w:tcBorders>
            <w:vAlign w:val="center"/>
          </w:tcPr>
          <w:p w:rsidR="00B66E05" w:rsidRPr="002D34C1" w:rsidRDefault="00B66E05" w:rsidP="006F236F">
            <w:pPr>
              <w:keepLines/>
              <w:tabs>
                <w:tab w:val="right" w:pos="2835"/>
                <w:tab w:val="right" w:pos="3969"/>
                <w:tab w:val="right" w:pos="5103"/>
                <w:tab w:val="right" w:pos="6237"/>
                <w:tab w:val="right" w:pos="7371"/>
              </w:tabs>
              <w:spacing w:after="0"/>
              <w:ind w:left="-48" w:firstLine="0"/>
              <w:jc w:val="right"/>
              <w:rPr>
                <w:rFonts w:ascii="Arial Narrow" w:hAnsi="Arial Narrow"/>
                <w:spacing w:val="6"/>
              </w:rPr>
            </w:pPr>
            <w:r>
              <w:rPr>
                <w:rFonts w:ascii="Arial Narrow" w:hAnsi="Arial Narrow"/>
                <w:spacing w:val="6"/>
              </w:rPr>
              <w:t>-5</w:t>
            </w:r>
          </w:p>
        </w:tc>
      </w:tr>
    </w:tbl>
    <w:p w:rsidR="006F236F" w:rsidRPr="009B4FBB" w:rsidRDefault="006F236F" w:rsidP="006F236F">
      <w:pPr>
        <w:keepLines/>
        <w:spacing w:before="60" w:after="0"/>
        <w:ind w:left="68" w:firstLine="0"/>
        <w:jc w:val="left"/>
        <w:rPr>
          <w:rFonts w:ascii="Arial Narrow" w:hAnsi="Arial Narrow"/>
          <w:spacing w:val="6"/>
          <w:sz w:val="16"/>
          <w:szCs w:val="16"/>
        </w:rPr>
      </w:pPr>
      <w:r w:rsidRPr="009B4FBB">
        <w:rPr>
          <w:rFonts w:ascii="Arial Narrow" w:hAnsi="Arial Narrow"/>
          <w:spacing w:val="6"/>
          <w:sz w:val="16"/>
          <w:szCs w:val="16"/>
        </w:rPr>
        <w:t>*</w:t>
      </w:r>
      <w:r w:rsidR="00AB033F">
        <w:rPr>
          <w:rFonts w:ascii="Arial Narrow" w:hAnsi="Arial Narrow"/>
          <w:spacing w:val="6"/>
          <w:sz w:val="16"/>
          <w:szCs w:val="16"/>
        </w:rPr>
        <w:t xml:space="preserve"> </w:t>
      </w:r>
      <w:r w:rsidRPr="009B4FBB">
        <w:rPr>
          <w:rFonts w:ascii="Arial Narrow" w:hAnsi="Arial Narrow"/>
          <w:spacing w:val="6"/>
          <w:sz w:val="16"/>
          <w:szCs w:val="16"/>
        </w:rPr>
        <w:t>Este importe incluye un gasto de 14.867 euros de diciembre de 2017 imputados al presupuesto de 2018</w:t>
      </w:r>
      <w:r>
        <w:rPr>
          <w:rFonts w:ascii="Arial Narrow" w:hAnsi="Arial Narrow"/>
          <w:spacing w:val="6"/>
          <w:sz w:val="16"/>
          <w:szCs w:val="16"/>
        </w:rPr>
        <w:t>.</w:t>
      </w:r>
    </w:p>
    <w:p w:rsidR="00B66E05" w:rsidRDefault="00B66E05" w:rsidP="00B66E05">
      <w:pPr>
        <w:pStyle w:val="texto"/>
        <w:spacing w:before="240" w:after="120"/>
        <w:rPr>
          <w:lang w:val="es-ES"/>
        </w:rPr>
      </w:pPr>
      <w:r>
        <w:rPr>
          <w:lang w:val="es-ES"/>
        </w:rPr>
        <w:t xml:space="preserve">En 2017, respecto a 2013, existe un incremento del gasto del 59 por ciento frente a un aumento de la actividad del 27 por ciento. </w:t>
      </w:r>
      <w:r w:rsidR="00D01225">
        <w:rPr>
          <w:lang w:val="es-ES"/>
        </w:rPr>
        <w:t>En 2014 y 2015 el gasto es similar al de 2013, pero en 2016 experimenta una subida significativa que se mantiene en 2017. La razón de este ascenso es la incorporación de un especi</w:t>
      </w:r>
      <w:r w:rsidR="00D01225">
        <w:rPr>
          <w:lang w:val="es-ES"/>
        </w:rPr>
        <w:t>a</w:t>
      </w:r>
      <w:r w:rsidR="00D01225">
        <w:rPr>
          <w:lang w:val="es-ES"/>
        </w:rPr>
        <w:t xml:space="preserve">lista medioambiental al personal existente previamente; en los años anteriores ya se había identificado esta necesidad, pero no se había contratado ninguna persona ante la situación de crisis económica. </w:t>
      </w:r>
    </w:p>
    <w:p w:rsidR="00B66E05" w:rsidRDefault="00B66E05" w:rsidP="00B66E05">
      <w:pPr>
        <w:pStyle w:val="texto"/>
        <w:spacing w:before="120" w:after="120"/>
        <w:rPr>
          <w:lang w:val="es-ES"/>
        </w:rPr>
      </w:pPr>
      <w:r>
        <w:rPr>
          <w:lang w:val="es-ES"/>
        </w:rPr>
        <w:lastRenderedPageBreak/>
        <w:t>Si comparamos los datos con los del ejercicio 2016, se observa un aumento del gasto del 14 por ciento debido fundamentalmente al incremento en los de</w:t>
      </w:r>
      <w:r>
        <w:rPr>
          <w:lang w:val="es-ES"/>
        </w:rPr>
        <w:t>s</w:t>
      </w:r>
      <w:r>
        <w:rPr>
          <w:lang w:val="es-ES"/>
        </w:rPr>
        <w:t>plazamientos; además, los otros gastos crecen significativamente debido a la realización de tres inversiones puntuales. En este caso, el número de animales atendidos disminuyó un cinco por ciento.</w:t>
      </w:r>
    </w:p>
    <w:p w:rsidR="00B66E05" w:rsidRDefault="00B66E05" w:rsidP="00B66E05">
      <w:pPr>
        <w:pStyle w:val="texto"/>
        <w:spacing w:before="120" w:after="240"/>
        <w:rPr>
          <w:lang w:val="es-ES"/>
        </w:rPr>
      </w:pPr>
      <w:r>
        <w:rPr>
          <w:lang w:val="es-ES"/>
        </w:rPr>
        <w:t>Hemos verificado que los gastos están soportados y justificados, se corre</w:t>
      </w:r>
      <w:r>
        <w:rPr>
          <w:lang w:val="es-ES"/>
        </w:rPr>
        <w:t>s</w:t>
      </w:r>
      <w:r>
        <w:rPr>
          <w:lang w:val="es-ES"/>
        </w:rPr>
        <w:t>ponden con lo establecido en el encargo, están adecuadamente contabilizados y que se realizan procedimientos de control razonables sobre los mismos.</w:t>
      </w:r>
    </w:p>
    <w:p w:rsidR="009E1946" w:rsidRPr="009E1946" w:rsidRDefault="009E1946" w:rsidP="009E1946">
      <w:pPr>
        <w:pStyle w:val="texto"/>
        <w:spacing w:before="240"/>
        <w:jc w:val="center"/>
      </w:pPr>
      <w:r w:rsidRPr="009E1946">
        <w:t xml:space="preserve">Pamplona, </w:t>
      </w:r>
      <w:r w:rsidR="006A42CC">
        <w:t>15</w:t>
      </w:r>
      <w:r w:rsidR="00B27691">
        <w:t xml:space="preserve"> de noviembre</w:t>
      </w:r>
      <w:r w:rsidRPr="009E1946">
        <w:t xml:space="preserve"> de 2018</w:t>
      </w:r>
    </w:p>
    <w:p w:rsidR="009E1946" w:rsidRDefault="009E1946" w:rsidP="009E1946">
      <w:pPr>
        <w:pStyle w:val="texto"/>
        <w:jc w:val="center"/>
      </w:pPr>
      <w:r w:rsidRPr="009E1946">
        <w:t>La presidenta, Asunción Olaechea Estanga</w:t>
      </w:r>
    </w:p>
    <w:p w:rsidR="00B66E05" w:rsidRDefault="00B66E05" w:rsidP="00B66E05">
      <w:pPr>
        <w:pStyle w:val="texto"/>
        <w:spacing w:before="120" w:after="240"/>
        <w:rPr>
          <w:lang w:val="es-ES"/>
        </w:rPr>
      </w:pPr>
    </w:p>
    <w:p w:rsidR="00B66E05" w:rsidRDefault="00B66E05" w:rsidP="00E848E7">
      <w:pPr>
        <w:pStyle w:val="texto"/>
        <w:rPr>
          <w:lang w:val="es-ES"/>
        </w:rPr>
        <w:sectPr w:rsidR="00B66E05" w:rsidSect="006F236F">
          <w:type w:val="oddPage"/>
          <w:pgSz w:w="11907" w:h="16840" w:code="9"/>
          <w:pgMar w:top="2109" w:right="1559" w:bottom="1644" w:left="1559" w:header="369" w:footer="136" w:gutter="0"/>
          <w:cols w:space="720"/>
          <w:docGrid w:linePitch="360"/>
        </w:sectPr>
      </w:pPr>
      <w:bookmarkStart w:id="120" w:name="_GoBack"/>
      <w:bookmarkEnd w:id="120"/>
    </w:p>
    <w:p w:rsidR="006F236F" w:rsidRDefault="006F236F" w:rsidP="006F236F">
      <w:pPr>
        <w:pStyle w:val="atitulo1"/>
      </w:pPr>
    </w:p>
    <w:p w:rsidR="009F74EB" w:rsidRPr="006A42CC" w:rsidRDefault="009F74EB" w:rsidP="006A42CC">
      <w:pPr>
        <w:pStyle w:val="atitulo1"/>
      </w:pPr>
    </w:p>
    <w:p w:rsidR="009F74EB" w:rsidRDefault="009F74EB" w:rsidP="009F74EB">
      <w:pPr>
        <w:pStyle w:val="atitulo1"/>
        <w:rPr>
          <w:bCs/>
          <w:sz w:val="32"/>
        </w:rPr>
      </w:pPr>
      <w:bookmarkStart w:id="121" w:name="_Toc296595498"/>
      <w:bookmarkStart w:id="122" w:name="_Toc315086300"/>
      <w:bookmarkStart w:id="123" w:name="_Toc317584124"/>
      <w:bookmarkStart w:id="124" w:name="_Toc434579203"/>
      <w:bookmarkStart w:id="125" w:name="_Toc466449028"/>
      <w:bookmarkStart w:id="126" w:name="_Toc475449750"/>
      <w:bookmarkStart w:id="127" w:name="_Toc479322236"/>
      <w:bookmarkStart w:id="128" w:name="_Toc509215585"/>
      <w:bookmarkStart w:id="129" w:name="_Toc511633081"/>
    </w:p>
    <w:p w:rsidR="009F74EB" w:rsidRDefault="009F74EB" w:rsidP="009F74EB">
      <w:pPr>
        <w:pStyle w:val="atitulo1"/>
        <w:rPr>
          <w:bCs/>
          <w:sz w:val="32"/>
        </w:rPr>
      </w:pPr>
      <w:bookmarkStart w:id="130" w:name="_Toc515351656"/>
      <w:bookmarkStart w:id="131" w:name="_Toc530034683"/>
      <w:r w:rsidRPr="00267EA2">
        <w:rPr>
          <w:bCs/>
          <w:sz w:val="32"/>
        </w:rPr>
        <w:t>Alegaciones formuladas al informe provisional</w:t>
      </w:r>
      <w:bookmarkEnd w:id="121"/>
      <w:bookmarkEnd w:id="122"/>
      <w:bookmarkEnd w:id="123"/>
      <w:bookmarkEnd w:id="124"/>
      <w:bookmarkEnd w:id="125"/>
      <w:bookmarkEnd w:id="126"/>
      <w:bookmarkEnd w:id="127"/>
      <w:bookmarkEnd w:id="128"/>
      <w:bookmarkEnd w:id="129"/>
      <w:bookmarkEnd w:id="130"/>
      <w:bookmarkEnd w:id="131"/>
    </w:p>
    <w:p w:rsidR="009F74EB" w:rsidRDefault="009F74EB" w:rsidP="009F74EB">
      <w:pPr>
        <w:pStyle w:val="atitulo1"/>
        <w:rPr>
          <w:bCs/>
          <w:sz w:val="32"/>
        </w:rPr>
      </w:pPr>
    </w:p>
    <w:p w:rsidR="005A1A37" w:rsidRDefault="005A1A37" w:rsidP="005A1A37">
      <w:pPr>
        <w:rPr>
          <w:rFonts w:ascii="Arial" w:hAnsi="Arial" w:cs="Arial"/>
        </w:rPr>
      </w:pPr>
      <w:r>
        <w:rPr>
          <w:rFonts w:ascii="Arial" w:hAnsi="Arial" w:cs="Arial"/>
        </w:rPr>
        <w:t>ALEGACIONES</w:t>
      </w:r>
      <w:r w:rsidRPr="008B2B13">
        <w:rPr>
          <w:rFonts w:ascii="Arial" w:hAnsi="Arial" w:cs="Arial"/>
          <w:sz w:val="22"/>
          <w:szCs w:val="22"/>
        </w:rPr>
        <w:t xml:space="preserve"> AL INFORME PROVISIONAL DE FISCALIZACIÓN DE LA CÁMARA DE COMPTOS SOBRE LAS CUENTAS GENERALES DE NAVARRA 2017</w:t>
      </w:r>
    </w:p>
    <w:p w:rsidR="005A1A37" w:rsidRDefault="005A1A37" w:rsidP="005A1A37">
      <w:pPr>
        <w:rPr>
          <w:rFonts w:ascii="Arial" w:hAnsi="Arial" w:cs="Arial"/>
        </w:rPr>
      </w:pPr>
      <w:r w:rsidRPr="008B2B13">
        <w:rPr>
          <w:rFonts w:ascii="Arial" w:hAnsi="Arial" w:cs="Arial"/>
          <w:sz w:val="22"/>
          <w:szCs w:val="22"/>
        </w:rPr>
        <w:t>Examinado el informe provisional de fiscalización sobre las Cuentas Generales de Navarra para 2017, por parte del Departamento de Hacienda y Política Financiera proc</w:t>
      </w:r>
      <w:r w:rsidRPr="008B2B13">
        <w:rPr>
          <w:rFonts w:ascii="Arial" w:hAnsi="Arial" w:cs="Arial"/>
          <w:sz w:val="22"/>
          <w:szCs w:val="22"/>
        </w:rPr>
        <w:t>e</w:t>
      </w:r>
      <w:r w:rsidRPr="008B2B13">
        <w:rPr>
          <w:rFonts w:ascii="Arial" w:hAnsi="Arial" w:cs="Arial"/>
          <w:sz w:val="22"/>
          <w:szCs w:val="22"/>
        </w:rPr>
        <w:t>de formular las alegaciones que se indican a continuación:</w:t>
      </w:r>
    </w:p>
    <w:p w:rsidR="005A1A37" w:rsidRDefault="005A1A37" w:rsidP="005A1A37">
      <w:pPr>
        <w:rPr>
          <w:rFonts w:ascii="Arial" w:hAnsi="Arial" w:cs="Arial"/>
        </w:rPr>
      </w:pPr>
      <w:r w:rsidRPr="008B2B13">
        <w:rPr>
          <w:rFonts w:ascii="Arial" w:hAnsi="Arial" w:cs="Arial"/>
          <w:sz w:val="22"/>
          <w:szCs w:val="22"/>
        </w:rPr>
        <w:t>Primera.- En relación con el ACUERDO MARCO PARA LA PRESTACIÓN DEL SERVICIO DE ORIENTACIÓN PROFESIONAL (Pág. 47):</w:t>
      </w:r>
    </w:p>
    <w:p w:rsidR="005A1A37" w:rsidRDefault="005A1A37" w:rsidP="005A1A37">
      <w:pPr>
        <w:rPr>
          <w:rFonts w:ascii="Arial" w:hAnsi="Arial" w:cs="Arial"/>
        </w:rPr>
      </w:pPr>
      <w:r w:rsidRPr="008B2B13">
        <w:rPr>
          <w:rFonts w:ascii="Arial" w:hAnsi="Arial" w:cs="Arial"/>
          <w:sz w:val="22"/>
          <w:szCs w:val="22"/>
        </w:rPr>
        <w:t>Este Acuerdo Marco tiene por objeto la selección de empresas y entidades prest</w:t>
      </w:r>
      <w:r w:rsidRPr="008B2B13">
        <w:rPr>
          <w:rFonts w:ascii="Arial" w:hAnsi="Arial" w:cs="Arial"/>
          <w:sz w:val="22"/>
          <w:szCs w:val="22"/>
        </w:rPr>
        <w:t>a</w:t>
      </w:r>
      <w:r w:rsidRPr="008B2B13">
        <w:rPr>
          <w:rFonts w:ascii="Arial" w:hAnsi="Arial" w:cs="Arial"/>
          <w:sz w:val="22"/>
          <w:szCs w:val="22"/>
        </w:rPr>
        <w:t>doras del servicio de orientación profesional.</w:t>
      </w:r>
    </w:p>
    <w:p w:rsidR="005A1A37" w:rsidRDefault="005A1A37" w:rsidP="005A1A37">
      <w:pPr>
        <w:rPr>
          <w:rFonts w:ascii="Arial" w:hAnsi="Arial" w:cs="Arial"/>
        </w:rPr>
      </w:pPr>
      <w:r w:rsidRPr="008B2B13">
        <w:rPr>
          <w:rFonts w:ascii="Arial" w:hAnsi="Arial" w:cs="Arial"/>
          <w:sz w:val="22"/>
          <w:szCs w:val="22"/>
        </w:rPr>
        <w:t>Este servicio está regulado por el artículo 8 del Real Decreto 7/2015, de 16 de enero, que aprueba la Cartera Común de Servicios del Sistema Nacional de Empleo.</w:t>
      </w:r>
    </w:p>
    <w:p w:rsidR="005A1A37" w:rsidRDefault="005A1A37" w:rsidP="005A1A37">
      <w:pPr>
        <w:rPr>
          <w:rFonts w:ascii="Arial" w:hAnsi="Arial" w:cs="Arial"/>
        </w:rPr>
      </w:pPr>
      <w:r w:rsidRPr="008B2B13">
        <w:rPr>
          <w:rFonts w:ascii="Arial" w:hAnsi="Arial" w:cs="Arial"/>
          <w:sz w:val="22"/>
          <w:szCs w:val="22"/>
        </w:rPr>
        <w:t>El artículo 3 de la misma norma define el concepto de servicio como el conjunto coordinado de actividades realizado por los Servicios Públicos de Empleo, que debe prestarse de forma continua y sostenida en el tiempo, y que busca atender derechos o necesidades de sus usuarios con objeto de mejorar su empleabilidad, facilitar el acceso al empleo, y promover la cobertura de las necesidades del sistema productivo. Además, el artículo 6 establece que los Servicios Públicos de Empleo</w:t>
      </w:r>
      <w:r>
        <w:rPr>
          <w:rFonts w:ascii="Arial" w:hAnsi="Arial" w:cs="Arial"/>
        </w:rPr>
        <w:t xml:space="preserve"> </w:t>
      </w:r>
      <w:r w:rsidRPr="008B2B13">
        <w:rPr>
          <w:rFonts w:ascii="Arial" w:hAnsi="Arial" w:cs="Arial"/>
          <w:sz w:val="22"/>
          <w:szCs w:val="22"/>
        </w:rPr>
        <w:t>podrán prestar los</w:t>
      </w:r>
      <w:r>
        <w:rPr>
          <w:rFonts w:ascii="Arial" w:hAnsi="Arial" w:cs="Arial"/>
        </w:rPr>
        <w:t xml:space="preserve"> </w:t>
      </w:r>
      <w:r w:rsidRPr="008B2B13">
        <w:rPr>
          <w:rFonts w:ascii="Arial" w:hAnsi="Arial" w:cs="Arial"/>
          <w:sz w:val="22"/>
          <w:szCs w:val="22"/>
        </w:rPr>
        <w:t>servicios a sus</w:t>
      </w:r>
      <w:r>
        <w:rPr>
          <w:rFonts w:ascii="Arial" w:hAnsi="Arial" w:cs="Arial"/>
        </w:rPr>
        <w:t xml:space="preserve"> </w:t>
      </w:r>
      <w:r w:rsidRPr="008B2B13">
        <w:rPr>
          <w:rFonts w:ascii="Arial" w:hAnsi="Arial" w:cs="Arial"/>
          <w:sz w:val="22"/>
          <w:szCs w:val="22"/>
        </w:rPr>
        <w:t>usuarios directamente a través de sus propios medios o a través de entidades col</w:t>
      </w:r>
      <w:r w:rsidRPr="008B2B13">
        <w:rPr>
          <w:rFonts w:ascii="Arial" w:hAnsi="Arial" w:cs="Arial"/>
          <w:sz w:val="22"/>
          <w:szCs w:val="22"/>
        </w:rPr>
        <w:t>a</w:t>
      </w:r>
      <w:r w:rsidRPr="008B2B13">
        <w:rPr>
          <w:rFonts w:ascii="Arial" w:hAnsi="Arial" w:cs="Arial"/>
          <w:sz w:val="22"/>
          <w:szCs w:val="22"/>
        </w:rPr>
        <w:t>boradoras habilitadas para ello.</w:t>
      </w:r>
    </w:p>
    <w:p w:rsidR="005A1A37" w:rsidRDefault="005A1A37" w:rsidP="005A1A37">
      <w:pPr>
        <w:rPr>
          <w:rFonts w:ascii="Arial" w:hAnsi="Arial" w:cs="Arial"/>
        </w:rPr>
      </w:pPr>
      <w:r w:rsidRPr="008B2B13">
        <w:rPr>
          <w:rFonts w:ascii="Arial" w:hAnsi="Arial" w:cs="Arial"/>
          <w:sz w:val="22"/>
          <w:szCs w:val="22"/>
        </w:rPr>
        <w:t xml:space="preserve">Por lo tanto, tras la aprobación de la citada norma y ante la necesidad de prestar este servicio por el Servicio Navarro de Empleo- </w:t>
      </w:r>
      <w:proofErr w:type="spellStart"/>
      <w:r w:rsidRPr="008B2B13">
        <w:rPr>
          <w:rFonts w:ascii="Arial" w:hAnsi="Arial" w:cs="Arial"/>
          <w:sz w:val="22"/>
          <w:szCs w:val="22"/>
        </w:rPr>
        <w:t>Nafar</w:t>
      </w:r>
      <w:proofErr w:type="spellEnd"/>
      <w:r w:rsidRPr="008B2B13">
        <w:rPr>
          <w:rFonts w:ascii="Arial" w:hAnsi="Arial" w:cs="Arial"/>
          <w:sz w:val="22"/>
          <w:szCs w:val="22"/>
        </w:rPr>
        <w:t xml:space="preserve"> </w:t>
      </w:r>
      <w:proofErr w:type="spellStart"/>
      <w:r w:rsidRPr="008B2B13">
        <w:rPr>
          <w:rFonts w:ascii="Arial" w:hAnsi="Arial" w:cs="Arial"/>
          <w:sz w:val="22"/>
          <w:szCs w:val="22"/>
        </w:rPr>
        <w:t>Lansare</w:t>
      </w:r>
      <w:proofErr w:type="spellEnd"/>
      <w:r w:rsidRPr="008B2B13">
        <w:rPr>
          <w:rFonts w:ascii="Arial" w:hAnsi="Arial" w:cs="Arial"/>
          <w:sz w:val="22"/>
          <w:szCs w:val="22"/>
        </w:rPr>
        <w:t xml:space="preserve"> (en adelante SNE-NL), se acordó a finales del año 20</w:t>
      </w:r>
      <w:r>
        <w:rPr>
          <w:rFonts w:ascii="Arial" w:hAnsi="Arial" w:cs="Arial"/>
        </w:rPr>
        <w:t>16, la licitación de un Acuerdo</w:t>
      </w:r>
    </w:p>
    <w:p w:rsidR="005A1A37" w:rsidRDefault="005A1A37" w:rsidP="005A1A37">
      <w:pPr>
        <w:rPr>
          <w:rFonts w:ascii="Arial" w:hAnsi="Arial" w:cs="Arial"/>
        </w:rPr>
      </w:pPr>
      <w:r w:rsidRPr="008B2B13">
        <w:rPr>
          <w:rFonts w:ascii="Arial" w:hAnsi="Arial" w:cs="Arial"/>
          <w:sz w:val="22"/>
          <w:szCs w:val="22"/>
        </w:rPr>
        <w:t>Marco que permitiera seleccionar entidades que prestarán estos servicios a aqu</w:t>
      </w:r>
      <w:r w:rsidRPr="008B2B13">
        <w:rPr>
          <w:rFonts w:ascii="Arial" w:hAnsi="Arial" w:cs="Arial"/>
          <w:sz w:val="22"/>
          <w:szCs w:val="22"/>
        </w:rPr>
        <w:t>e</w:t>
      </w:r>
      <w:r w:rsidRPr="008B2B13">
        <w:rPr>
          <w:rFonts w:ascii="Arial" w:hAnsi="Arial" w:cs="Arial"/>
          <w:sz w:val="22"/>
          <w:szCs w:val="22"/>
        </w:rPr>
        <w:t>llos usuarios derivados por el Organismo.</w:t>
      </w:r>
    </w:p>
    <w:p w:rsidR="005A1A37" w:rsidRDefault="005A1A37" w:rsidP="005A1A37">
      <w:pPr>
        <w:rPr>
          <w:rFonts w:ascii="Arial" w:hAnsi="Arial" w:cs="Arial"/>
        </w:rPr>
      </w:pPr>
      <w:r w:rsidRPr="008B2B13">
        <w:rPr>
          <w:rFonts w:ascii="Arial" w:hAnsi="Arial" w:cs="Arial"/>
          <w:sz w:val="22"/>
          <w:szCs w:val="22"/>
        </w:rPr>
        <w:t>Para ello, en el año 2017, mediante la Resolución 295/2017, de 17 de febrero, de la Directora Gerente del SNE-NL, se aprueba el expediente de contratación y se inicia el procedimiento de adjudicación de este Acuerdo Marco.</w:t>
      </w:r>
    </w:p>
    <w:p w:rsidR="005A1A37" w:rsidRDefault="005A1A37" w:rsidP="005A1A37">
      <w:pPr>
        <w:rPr>
          <w:rFonts w:ascii="Arial" w:hAnsi="Arial" w:cs="Arial"/>
        </w:rPr>
      </w:pPr>
      <w:r w:rsidRPr="008B2B13">
        <w:rPr>
          <w:rFonts w:ascii="Arial" w:hAnsi="Arial" w:cs="Arial"/>
          <w:sz w:val="22"/>
          <w:szCs w:val="22"/>
        </w:rPr>
        <w:t>Los pliegos administrativos que establecen el marco regulador de la contratación preveían una distribución por lotes de la población a atender. En los lotes 1 a 4 la distr</w:t>
      </w:r>
      <w:r w:rsidRPr="008B2B13">
        <w:rPr>
          <w:rFonts w:ascii="Arial" w:hAnsi="Arial" w:cs="Arial"/>
          <w:sz w:val="22"/>
          <w:szCs w:val="22"/>
        </w:rPr>
        <w:t>i</w:t>
      </w:r>
      <w:r w:rsidRPr="008B2B13">
        <w:rPr>
          <w:rFonts w:ascii="Arial" w:hAnsi="Arial" w:cs="Arial"/>
          <w:sz w:val="22"/>
          <w:szCs w:val="22"/>
        </w:rPr>
        <w:t>bución se realizaba de forma territorial, y los lotes 5 y 6 estaban destinados a la atención de colectivos específicos, por una parte las personas con discapacidad y por otra de pe</w:t>
      </w:r>
      <w:r w:rsidRPr="008B2B13">
        <w:rPr>
          <w:rFonts w:ascii="Arial" w:hAnsi="Arial" w:cs="Arial"/>
          <w:sz w:val="22"/>
          <w:szCs w:val="22"/>
        </w:rPr>
        <w:t>r</w:t>
      </w:r>
      <w:r w:rsidRPr="008B2B13">
        <w:rPr>
          <w:rFonts w:ascii="Arial" w:hAnsi="Arial" w:cs="Arial"/>
          <w:sz w:val="22"/>
          <w:szCs w:val="22"/>
        </w:rPr>
        <w:t>sonas en riesgo de exclusión social. En estos dos últimos lotes, las entidades adjudicat</w:t>
      </w:r>
      <w:r w:rsidRPr="008B2B13">
        <w:rPr>
          <w:rFonts w:ascii="Arial" w:hAnsi="Arial" w:cs="Arial"/>
          <w:sz w:val="22"/>
          <w:szCs w:val="22"/>
        </w:rPr>
        <w:t>a</w:t>
      </w:r>
      <w:r w:rsidRPr="008B2B13">
        <w:rPr>
          <w:rFonts w:ascii="Arial" w:hAnsi="Arial" w:cs="Arial"/>
          <w:sz w:val="22"/>
          <w:szCs w:val="22"/>
        </w:rPr>
        <w:t>rias debían atender a las personas pertenecientes a estos colectivos de todo el territorio navarro.</w:t>
      </w:r>
    </w:p>
    <w:p w:rsidR="005A1A37" w:rsidRDefault="005A1A37" w:rsidP="005A1A37">
      <w:pPr>
        <w:rPr>
          <w:rFonts w:ascii="Arial" w:hAnsi="Arial" w:cs="Arial"/>
        </w:rPr>
      </w:pPr>
      <w:r w:rsidRPr="008B2B13">
        <w:rPr>
          <w:rFonts w:ascii="Arial" w:hAnsi="Arial" w:cs="Arial"/>
          <w:sz w:val="22"/>
          <w:szCs w:val="22"/>
        </w:rPr>
        <w:lastRenderedPageBreak/>
        <w:t>Esta distribución de lotes se justifica por las diferentes necesidades de atención de los colectivos pertenecientes a los lotes 5 y 6. Se trata de colectivos que tienen mayores dificultades para acceder al mercado de trabajo, y por ello, su atención debe ser específ</w:t>
      </w:r>
      <w:r w:rsidRPr="008B2B13">
        <w:rPr>
          <w:rFonts w:ascii="Arial" w:hAnsi="Arial" w:cs="Arial"/>
          <w:sz w:val="22"/>
          <w:szCs w:val="22"/>
        </w:rPr>
        <w:t>i</w:t>
      </w:r>
      <w:r w:rsidRPr="008B2B13">
        <w:rPr>
          <w:rFonts w:ascii="Arial" w:hAnsi="Arial" w:cs="Arial"/>
          <w:sz w:val="22"/>
          <w:szCs w:val="22"/>
        </w:rPr>
        <w:t>ca atendiendo a su situación personal y profesional, a sus capacidades técnicas, aptit</w:t>
      </w:r>
      <w:r w:rsidRPr="008B2B13">
        <w:rPr>
          <w:rFonts w:ascii="Arial" w:hAnsi="Arial" w:cs="Arial"/>
          <w:sz w:val="22"/>
          <w:szCs w:val="22"/>
        </w:rPr>
        <w:t>u</w:t>
      </w:r>
      <w:r w:rsidRPr="008B2B13">
        <w:rPr>
          <w:rFonts w:ascii="Arial" w:hAnsi="Arial" w:cs="Arial"/>
          <w:sz w:val="22"/>
          <w:szCs w:val="22"/>
        </w:rPr>
        <w:t>des, etc., requiriendo un apoyo y un seguimiento individualizado y continuado en su pr</w:t>
      </w:r>
      <w:r w:rsidRPr="008B2B13">
        <w:rPr>
          <w:rFonts w:ascii="Arial" w:hAnsi="Arial" w:cs="Arial"/>
          <w:sz w:val="22"/>
          <w:szCs w:val="22"/>
        </w:rPr>
        <w:t>o</w:t>
      </w:r>
      <w:r w:rsidRPr="008B2B13">
        <w:rPr>
          <w:rFonts w:ascii="Arial" w:hAnsi="Arial" w:cs="Arial"/>
          <w:sz w:val="22"/>
          <w:szCs w:val="22"/>
        </w:rPr>
        <w:t>ceso de búsqueda de empleo. Estas actuaciones son más efectivas si se desarrollan por entidades que tienen experiencia en la atención a estos colectivos. De esta forma, en la cláusula 7ª de los pliegos administrativos el Acuerdo Marco del año 2018, relativa a la capacidad para contratar, se incluye la siguiente “las entidades licitadoras tendrán que incluir entre sus fines u objetos sociales o fundacionales, la realización de actuaciones tendentes a la orientación e inserción laboral de las personas. En el caso de los lotes 4 y 5 entre sus fines u objetos sociales o fundacionales deberán incluir una referencia a los colectivos a los que se dirigen dichas actuaciones tendentes a la orientación e inserción laboral”.</w:t>
      </w:r>
    </w:p>
    <w:p w:rsidR="005A1A37" w:rsidRDefault="005A1A37" w:rsidP="005A1A37">
      <w:pPr>
        <w:rPr>
          <w:rFonts w:ascii="Arial" w:hAnsi="Arial" w:cs="Arial"/>
        </w:rPr>
      </w:pPr>
      <w:r w:rsidRPr="008B2B13">
        <w:rPr>
          <w:rFonts w:ascii="Arial" w:hAnsi="Arial" w:cs="Arial"/>
          <w:sz w:val="22"/>
          <w:szCs w:val="22"/>
        </w:rPr>
        <w:t>El informe de la Cámara de Comptos hace referencia al sistema de adjudicación de los contratos</w:t>
      </w:r>
      <w:r>
        <w:rPr>
          <w:rFonts w:ascii="Arial" w:hAnsi="Arial" w:cs="Arial"/>
        </w:rPr>
        <w:t xml:space="preserve"> </w:t>
      </w:r>
      <w:r w:rsidRPr="008B2B13">
        <w:rPr>
          <w:rFonts w:ascii="Arial" w:hAnsi="Arial" w:cs="Arial"/>
          <w:sz w:val="22"/>
          <w:szCs w:val="22"/>
        </w:rPr>
        <w:t>derivados del Acuerdo</w:t>
      </w:r>
      <w:r>
        <w:rPr>
          <w:rFonts w:ascii="Arial" w:hAnsi="Arial" w:cs="Arial"/>
        </w:rPr>
        <w:t xml:space="preserve"> </w:t>
      </w:r>
      <w:r w:rsidRPr="008B2B13">
        <w:rPr>
          <w:rFonts w:ascii="Arial" w:hAnsi="Arial" w:cs="Arial"/>
          <w:sz w:val="22"/>
          <w:szCs w:val="22"/>
        </w:rPr>
        <w:t>Marco previsto</w:t>
      </w:r>
      <w:r>
        <w:rPr>
          <w:rFonts w:ascii="Arial" w:hAnsi="Arial" w:cs="Arial"/>
        </w:rPr>
        <w:t xml:space="preserve"> </w:t>
      </w:r>
      <w:r w:rsidRPr="008B2B13">
        <w:rPr>
          <w:rFonts w:ascii="Arial" w:hAnsi="Arial" w:cs="Arial"/>
          <w:sz w:val="22"/>
          <w:szCs w:val="22"/>
        </w:rPr>
        <w:t>en la cláusula 17 del pliego admini</w:t>
      </w:r>
      <w:r w:rsidRPr="008B2B13">
        <w:rPr>
          <w:rFonts w:ascii="Arial" w:hAnsi="Arial" w:cs="Arial"/>
          <w:sz w:val="22"/>
          <w:szCs w:val="22"/>
        </w:rPr>
        <w:t>s</w:t>
      </w:r>
      <w:r w:rsidRPr="008B2B13">
        <w:rPr>
          <w:rFonts w:ascii="Arial" w:hAnsi="Arial" w:cs="Arial"/>
          <w:sz w:val="22"/>
          <w:szCs w:val="22"/>
        </w:rPr>
        <w:t>trativo. Esta cláusula establece que la elección del SNE-NL de la entidad adjudicataria se realizará priorizando a aquellas entidades que hayan obtenido mayor puntuación en este procedimiento. En los lotes 5 y 6 (discapacidad y exclusión social) la elección se podrá realizar en función de la especificidad y características del colectivo a atender. En este caso no se priorizará la puntuación obtenida, sino la capacidad de la entidad adjudicat</w:t>
      </w:r>
      <w:r w:rsidRPr="008B2B13">
        <w:rPr>
          <w:rFonts w:ascii="Arial" w:hAnsi="Arial" w:cs="Arial"/>
          <w:sz w:val="22"/>
          <w:szCs w:val="22"/>
        </w:rPr>
        <w:t>a</w:t>
      </w:r>
      <w:r w:rsidRPr="008B2B13">
        <w:rPr>
          <w:rFonts w:ascii="Arial" w:hAnsi="Arial" w:cs="Arial"/>
          <w:sz w:val="22"/>
          <w:szCs w:val="22"/>
        </w:rPr>
        <w:t>ria, en función de la coincidencia de su actividad con el colectivo objeto de atención. El informe señala que “la posibilidad contemplada en los pliegos sobre estos dos lotes co</w:t>
      </w:r>
      <w:r w:rsidRPr="008B2B13">
        <w:rPr>
          <w:rFonts w:ascii="Arial" w:hAnsi="Arial" w:cs="Arial"/>
          <w:sz w:val="22"/>
          <w:szCs w:val="22"/>
        </w:rPr>
        <w:t>n</w:t>
      </w:r>
      <w:r w:rsidRPr="008B2B13">
        <w:rPr>
          <w:rFonts w:ascii="Arial" w:hAnsi="Arial" w:cs="Arial"/>
          <w:sz w:val="22"/>
          <w:szCs w:val="22"/>
        </w:rPr>
        <w:t>traviene los principios básicos de contratación de tratamiento igualitario y no discrim</w:t>
      </w:r>
      <w:r>
        <w:rPr>
          <w:rFonts w:ascii="Arial" w:hAnsi="Arial" w:cs="Arial"/>
        </w:rPr>
        <w:t>inat</w:t>
      </w:r>
      <w:r>
        <w:rPr>
          <w:rFonts w:ascii="Arial" w:hAnsi="Arial" w:cs="Arial"/>
        </w:rPr>
        <w:t>o</w:t>
      </w:r>
      <w:r>
        <w:rPr>
          <w:rFonts w:ascii="Arial" w:hAnsi="Arial" w:cs="Arial"/>
        </w:rPr>
        <w:t>rio”.</w:t>
      </w:r>
    </w:p>
    <w:p w:rsidR="005A1A37" w:rsidRDefault="005A1A37" w:rsidP="005A1A37">
      <w:pPr>
        <w:rPr>
          <w:rFonts w:ascii="Arial" w:hAnsi="Arial" w:cs="Arial"/>
        </w:rPr>
      </w:pPr>
      <w:r w:rsidRPr="008B2B13">
        <w:rPr>
          <w:rFonts w:ascii="Arial" w:hAnsi="Arial" w:cs="Arial"/>
          <w:sz w:val="22"/>
          <w:szCs w:val="22"/>
        </w:rPr>
        <w:t>En la cláusula 17ª de los pliegos administrativos del Acuerdo Marco del año 2018, se matiza esta cuestión señalando que “para facilitar a los adjudicatarios la definición de la especificidad y características del colectivo a atender, deberán señalarla en el mome</w:t>
      </w:r>
      <w:r w:rsidRPr="008B2B13">
        <w:rPr>
          <w:rFonts w:ascii="Arial" w:hAnsi="Arial" w:cs="Arial"/>
          <w:sz w:val="22"/>
          <w:szCs w:val="22"/>
        </w:rPr>
        <w:t>n</w:t>
      </w:r>
      <w:r w:rsidRPr="008B2B13">
        <w:rPr>
          <w:rFonts w:ascii="Arial" w:hAnsi="Arial" w:cs="Arial"/>
          <w:sz w:val="22"/>
          <w:szCs w:val="22"/>
        </w:rPr>
        <w:t>to de presentar su proposición, conforme al modelo que figura en el anexo IV, pudiendo marcar como máximo tres de las opciones si licitan por el lote 5 (exclusión) y una si licitan por el lote 4 (personas con discapacidad).”</w:t>
      </w:r>
    </w:p>
    <w:p w:rsidR="005A1A37" w:rsidRDefault="005A1A37" w:rsidP="005A1A37">
      <w:pPr>
        <w:rPr>
          <w:rFonts w:ascii="Arial" w:hAnsi="Arial" w:cs="Arial"/>
        </w:rPr>
      </w:pPr>
      <w:r w:rsidRPr="008B2B13">
        <w:rPr>
          <w:rFonts w:ascii="Arial" w:hAnsi="Arial" w:cs="Arial"/>
          <w:sz w:val="22"/>
          <w:szCs w:val="22"/>
        </w:rPr>
        <w:t>El artículo 21 de la Ley Foral 6/2006, de 9 de junio, de Contratos Públicos, aplicable a este procedimiento de licitación, establece que las entidades otorgarán a los contrati</w:t>
      </w:r>
      <w:r w:rsidRPr="008B2B13">
        <w:rPr>
          <w:rFonts w:ascii="Arial" w:hAnsi="Arial" w:cs="Arial"/>
          <w:sz w:val="22"/>
          <w:szCs w:val="22"/>
        </w:rPr>
        <w:t>s</w:t>
      </w:r>
      <w:r w:rsidRPr="008B2B13">
        <w:rPr>
          <w:rFonts w:ascii="Arial" w:hAnsi="Arial" w:cs="Arial"/>
          <w:sz w:val="22"/>
          <w:szCs w:val="22"/>
        </w:rPr>
        <w:t>tas un tratamiento igualitario y no discriminatorio y actuarán con transparencia, interpr</w:t>
      </w:r>
      <w:r w:rsidRPr="008B2B13">
        <w:rPr>
          <w:rFonts w:ascii="Arial" w:hAnsi="Arial" w:cs="Arial"/>
          <w:sz w:val="22"/>
          <w:szCs w:val="22"/>
        </w:rPr>
        <w:t>e</w:t>
      </w:r>
      <w:r w:rsidRPr="008B2B13">
        <w:rPr>
          <w:rFonts w:ascii="Arial" w:hAnsi="Arial" w:cs="Arial"/>
          <w:sz w:val="22"/>
          <w:szCs w:val="22"/>
        </w:rPr>
        <w:t>tando las normas atendiendo a tales objetivos y respetando la doctrina dictada a tal fin por la jurisprudencia comunitaria. El informe aduce la vulneración de estos principios en la adjudicación de los contratos derivados del Acuerdo Marco, considerando que no se aplica a todas las entidades licitadoras el mismo tratamiento, por acometer la adjudic</w:t>
      </w:r>
      <w:r w:rsidRPr="008B2B13">
        <w:rPr>
          <w:rFonts w:ascii="Arial" w:hAnsi="Arial" w:cs="Arial"/>
          <w:sz w:val="22"/>
          <w:szCs w:val="22"/>
        </w:rPr>
        <w:t>a</w:t>
      </w:r>
      <w:r w:rsidRPr="008B2B13">
        <w:rPr>
          <w:rFonts w:ascii="Arial" w:hAnsi="Arial" w:cs="Arial"/>
          <w:sz w:val="22"/>
          <w:szCs w:val="22"/>
        </w:rPr>
        <w:t>ción, no en función de la puntuación obtenida, sino en función de la capacidad de la e</w:t>
      </w:r>
      <w:r w:rsidRPr="008B2B13">
        <w:rPr>
          <w:rFonts w:ascii="Arial" w:hAnsi="Arial" w:cs="Arial"/>
          <w:sz w:val="22"/>
          <w:szCs w:val="22"/>
        </w:rPr>
        <w:t>m</w:t>
      </w:r>
      <w:r w:rsidRPr="008B2B13">
        <w:rPr>
          <w:rFonts w:ascii="Arial" w:hAnsi="Arial" w:cs="Arial"/>
          <w:sz w:val="22"/>
          <w:szCs w:val="22"/>
        </w:rPr>
        <w:t>presa para atender a determinados colectivos incluidos en ese lote.</w:t>
      </w:r>
    </w:p>
    <w:p w:rsidR="005A1A37" w:rsidRDefault="005A1A37" w:rsidP="005A1A37">
      <w:pPr>
        <w:rPr>
          <w:rFonts w:ascii="Arial" w:hAnsi="Arial" w:cs="Arial"/>
        </w:rPr>
      </w:pPr>
      <w:r w:rsidRPr="008B2B13">
        <w:rPr>
          <w:rFonts w:ascii="Arial" w:hAnsi="Arial" w:cs="Arial"/>
          <w:sz w:val="22"/>
          <w:szCs w:val="22"/>
        </w:rPr>
        <w:t>Tomando como referencia lo previsto, en el Acuerdo Marco del año 2018, con esta adjudicación por especialidad, se está garantizando que las entidades licitadoras atie</w:t>
      </w:r>
      <w:r w:rsidRPr="008B2B13">
        <w:rPr>
          <w:rFonts w:ascii="Arial" w:hAnsi="Arial" w:cs="Arial"/>
          <w:sz w:val="22"/>
          <w:szCs w:val="22"/>
        </w:rPr>
        <w:t>n</w:t>
      </w:r>
      <w:r w:rsidRPr="008B2B13">
        <w:rPr>
          <w:rFonts w:ascii="Arial" w:hAnsi="Arial" w:cs="Arial"/>
          <w:sz w:val="22"/>
          <w:szCs w:val="22"/>
        </w:rPr>
        <w:t>dan a aquellos colectivos para los que están capacitadas, conforme a la cláusula 7ª. Esta cláusula exige que las empresas licitadoras tengan en su objeto social o fundacional que sus actuaciones se dirigen a la atención de estos colectivos específicos (discapacidad o exclusión social). Por lo tanto, las empresas adjudicatarias del Acuerdo Marco tendrán acreditada su capacidad de actuación con estas personas. Sin embargo, dentro de a</w:t>
      </w:r>
      <w:r w:rsidRPr="008B2B13">
        <w:rPr>
          <w:rFonts w:ascii="Arial" w:hAnsi="Arial" w:cs="Arial"/>
          <w:sz w:val="22"/>
          <w:szCs w:val="22"/>
        </w:rPr>
        <w:t>m</w:t>
      </w:r>
      <w:r w:rsidRPr="008B2B13">
        <w:rPr>
          <w:rFonts w:ascii="Arial" w:hAnsi="Arial" w:cs="Arial"/>
          <w:sz w:val="22"/>
          <w:szCs w:val="22"/>
        </w:rPr>
        <w:t xml:space="preserve">bos colectivos, hay que diferenciar múltiples situaciones que se han concretado en el Anexo IV del pliego administrativo del Acuerdo Marco del año 2018. Estas situaciones, en </w:t>
      </w:r>
      <w:r w:rsidRPr="008B2B13">
        <w:rPr>
          <w:rFonts w:ascii="Arial" w:hAnsi="Arial" w:cs="Arial"/>
          <w:sz w:val="22"/>
          <w:szCs w:val="22"/>
        </w:rPr>
        <w:lastRenderedPageBreak/>
        <w:t>el caso del lote 4 (discapacidad) son discapacidad física o sensorial, intelectual o mental. Se trata de tipologías de discapacidad con diferencias sustanciales para que existan ent</w:t>
      </w:r>
      <w:r w:rsidRPr="008B2B13">
        <w:rPr>
          <w:rFonts w:ascii="Arial" w:hAnsi="Arial" w:cs="Arial"/>
          <w:sz w:val="22"/>
          <w:szCs w:val="22"/>
        </w:rPr>
        <w:t>i</w:t>
      </w:r>
      <w:r w:rsidRPr="008B2B13">
        <w:rPr>
          <w:rFonts w:ascii="Arial" w:hAnsi="Arial" w:cs="Arial"/>
          <w:sz w:val="22"/>
          <w:szCs w:val="22"/>
        </w:rPr>
        <w:t>dades especializadas en cada una de ellas. Resulta obvio que el servicio de orientación profesional de una persona con discapacidad física no puede ser similar al de una pers</w:t>
      </w:r>
      <w:r w:rsidRPr="008B2B13">
        <w:rPr>
          <w:rFonts w:ascii="Arial" w:hAnsi="Arial" w:cs="Arial"/>
          <w:sz w:val="22"/>
          <w:szCs w:val="22"/>
        </w:rPr>
        <w:t>o</w:t>
      </w:r>
      <w:r w:rsidRPr="008B2B13">
        <w:rPr>
          <w:rFonts w:ascii="Arial" w:hAnsi="Arial" w:cs="Arial"/>
          <w:sz w:val="22"/>
          <w:szCs w:val="22"/>
        </w:rPr>
        <w:t>na con enfermedad mental. En el lote 5 (exclusión social) se diferencian hasta 9 tipol</w:t>
      </w:r>
      <w:r w:rsidRPr="008B2B13">
        <w:rPr>
          <w:rFonts w:ascii="Arial" w:hAnsi="Arial" w:cs="Arial"/>
          <w:sz w:val="22"/>
          <w:szCs w:val="22"/>
        </w:rPr>
        <w:t>o</w:t>
      </w:r>
      <w:r w:rsidRPr="008B2B13">
        <w:rPr>
          <w:rFonts w:ascii="Arial" w:hAnsi="Arial" w:cs="Arial"/>
          <w:sz w:val="22"/>
          <w:szCs w:val="22"/>
        </w:rPr>
        <w:t>gías (personas perceptoras de renta garantizada, personas pertenecientes al colectivo gitano, personas víctimas de violencia de género, personas jóvenes sujetas a la tutela de la Administración Pública, etc.). Al igual que ocurre en el lote 4, las diferentes situaciones personales influyen directamente en la inserción laboral, por lo que, para lograr mayor efectividad las entidades adjudicatarias deben estar especializadas en la atención</w:t>
      </w:r>
      <w:r>
        <w:rPr>
          <w:rFonts w:ascii="Arial" w:hAnsi="Arial" w:cs="Arial"/>
        </w:rPr>
        <w:t xml:space="preserve"> de e</w:t>
      </w:r>
      <w:r>
        <w:rPr>
          <w:rFonts w:ascii="Arial" w:hAnsi="Arial" w:cs="Arial"/>
        </w:rPr>
        <w:t>s</w:t>
      </w:r>
      <w:r>
        <w:rPr>
          <w:rFonts w:ascii="Arial" w:hAnsi="Arial" w:cs="Arial"/>
        </w:rPr>
        <w:t>tos colectivos concretos.</w:t>
      </w:r>
    </w:p>
    <w:p w:rsidR="005A1A37" w:rsidRDefault="005A1A37" w:rsidP="005A1A37">
      <w:pPr>
        <w:rPr>
          <w:rFonts w:ascii="Arial" w:hAnsi="Arial" w:cs="Arial"/>
        </w:rPr>
      </w:pPr>
      <w:r w:rsidRPr="008B2B13">
        <w:rPr>
          <w:rFonts w:ascii="Arial" w:hAnsi="Arial" w:cs="Arial"/>
          <w:sz w:val="22"/>
          <w:szCs w:val="22"/>
        </w:rPr>
        <w:t>Se garantiza la igualdad de todas las empresas licitadoras, ya que han optado, en el momento de presentación de sus ofertas, por la atención de alguno de los colectivos específicos previstos dentro de los lotes. La realización de diferentes lotes por categorías, es decir, tres lotes en el apartado de discapacidad (física, mental o intelectual) plantea problemas de eficacia, en primer lugar, por la dificultad de determinar el número de pe</w:t>
      </w:r>
      <w:r w:rsidRPr="008B2B13">
        <w:rPr>
          <w:rFonts w:ascii="Arial" w:hAnsi="Arial" w:cs="Arial"/>
          <w:sz w:val="22"/>
          <w:szCs w:val="22"/>
        </w:rPr>
        <w:t>r</w:t>
      </w:r>
      <w:r w:rsidRPr="008B2B13">
        <w:rPr>
          <w:rFonts w:ascii="Arial" w:hAnsi="Arial" w:cs="Arial"/>
          <w:sz w:val="22"/>
          <w:szCs w:val="22"/>
        </w:rPr>
        <w:t>sonas desempleadas que existirá en cada momento con esta tipología y en segundo l</w:t>
      </w:r>
      <w:r w:rsidRPr="008B2B13">
        <w:rPr>
          <w:rFonts w:ascii="Arial" w:hAnsi="Arial" w:cs="Arial"/>
          <w:sz w:val="22"/>
          <w:szCs w:val="22"/>
        </w:rPr>
        <w:t>u</w:t>
      </w:r>
      <w:r w:rsidRPr="008B2B13">
        <w:rPr>
          <w:rFonts w:ascii="Arial" w:hAnsi="Arial" w:cs="Arial"/>
          <w:sz w:val="22"/>
          <w:szCs w:val="22"/>
        </w:rPr>
        <w:t>gar, ante la posibilidad de declarar desiertos determinados lotes por el número reducido de servicios contratados (ej. Enfermedad mental). Por lo tanto, y dado que las entidades licitadoras habían indicado sus preferencias de atención desde la presentación de la ofe</w:t>
      </w:r>
      <w:r w:rsidRPr="008B2B13">
        <w:rPr>
          <w:rFonts w:ascii="Arial" w:hAnsi="Arial" w:cs="Arial"/>
          <w:sz w:val="22"/>
          <w:szCs w:val="22"/>
        </w:rPr>
        <w:t>r</w:t>
      </w:r>
      <w:r w:rsidRPr="008B2B13">
        <w:rPr>
          <w:rFonts w:ascii="Arial" w:hAnsi="Arial" w:cs="Arial"/>
          <w:sz w:val="22"/>
          <w:szCs w:val="22"/>
        </w:rPr>
        <w:t>ta, la adjudicación de los contratos derivados de estos lotes se realiza teniendo en cuenta dos premisas: la puntuación obtenida por la aplicación de los criterios de adjudicación y la elección de categoría de atención realizada por la entidad. Esta fórmula no vulnera el principio de igualdad y no discriminación, al estar claramente definido en el pliego adm</w:t>
      </w:r>
      <w:r w:rsidRPr="008B2B13">
        <w:rPr>
          <w:rFonts w:ascii="Arial" w:hAnsi="Arial" w:cs="Arial"/>
          <w:sz w:val="22"/>
          <w:szCs w:val="22"/>
        </w:rPr>
        <w:t>i</w:t>
      </w:r>
      <w:r w:rsidRPr="008B2B13">
        <w:rPr>
          <w:rFonts w:ascii="Arial" w:hAnsi="Arial" w:cs="Arial"/>
          <w:sz w:val="22"/>
          <w:szCs w:val="22"/>
        </w:rPr>
        <w:t>nistrativo, y estar sometidas todas las entidades al mismo procedimiento de adjudicación de los contratos, primándose, para aquellas que hayan optado por los mismos colectivos, a las entidades que hayan obtenido la mayor puntuación. Por último cabe señalar que el Acuerdo Marco ha sido adjudicado en agosto de 2018, no habiendo presentado ninguna entidad una reclamación frente al mismo, por lo que es un acto administrativo firme, y de vinculación para las partes.</w:t>
      </w:r>
    </w:p>
    <w:p w:rsidR="005A1A37" w:rsidRDefault="005A1A37" w:rsidP="005A1A37">
      <w:pPr>
        <w:rPr>
          <w:rFonts w:ascii="Arial" w:hAnsi="Arial" w:cs="Arial"/>
        </w:rPr>
      </w:pPr>
      <w:r w:rsidRPr="008B2B13">
        <w:rPr>
          <w:rFonts w:ascii="Arial" w:hAnsi="Arial" w:cs="Arial"/>
          <w:sz w:val="22"/>
          <w:szCs w:val="22"/>
        </w:rPr>
        <w:t>Cabe concluir que la cláusula 17ª del Acuerdo Marco para la prestación del servicio de orientación profesional no conculca los citados principios sino que garantiza que las entidades adjudicatarias son las especializadas para la atención de estos colectivos, lo que repercute directamente en la eficacia y calidad del servicio.</w:t>
      </w:r>
    </w:p>
    <w:p w:rsidR="005A1A37" w:rsidRPr="008B2B13" w:rsidRDefault="005A1A37" w:rsidP="005A1A37">
      <w:pPr>
        <w:rPr>
          <w:rFonts w:ascii="Arial" w:hAnsi="Arial" w:cs="Arial"/>
          <w:sz w:val="22"/>
          <w:szCs w:val="22"/>
        </w:rPr>
      </w:pPr>
      <w:r w:rsidRPr="008B2B13">
        <w:rPr>
          <w:rFonts w:ascii="Arial" w:hAnsi="Arial" w:cs="Arial"/>
          <w:sz w:val="22"/>
          <w:szCs w:val="22"/>
        </w:rPr>
        <w:t>Segunda.- En relación a la CONCESIÓN DE AUTORIZACIONES A SODENA P</w:t>
      </w:r>
      <w:r w:rsidRPr="008B2B13">
        <w:rPr>
          <w:rFonts w:ascii="Arial" w:hAnsi="Arial" w:cs="Arial"/>
          <w:sz w:val="22"/>
          <w:szCs w:val="22"/>
        </w:rPr>
        <w:t>A</w:t>
      </w:r>
      <w:r w:rsidRPr="008B2B13">
        <w:rPr>
          <w:rFonts w:ascii="Arial" w:hAnsi="Arial" w:cs="Arial"/>
          <w:sz w:val="22"/>
          <w:szCs w:val="22"/>
        </w:rPr>
        <w:t>RA EL OTORGAMIENTO DE AVALES, en el capítulo V.14. SOCIEDADES</w:t>
      </w:r>
    </w:p>
    <w:p w:rsidR="005A1A37" w:rsidRDefault="005A1A37" w:rsidP="005A1A37">
      <w:pPr>
        <w:rPr>
          <w:rFonts w:ascii="Arial" w:hAnsi="Arial" w:cs="Arial"/>
        </w:rPr>
      </w:pPr>
      <w:r w:rsidRPr="008B2B13">
        <w:rPr>
          <w:rFonts w:ascii="Arial" w:hAnsi="Arial" w:cs="Arial"/>
          <w:sz w:val="22"/>
          <w:szCs w:val="22"/>
        </w:rPr>
        <w:t>PÚBLICAS Y FUNDACIONES PÚBLICAS, apartado Sociedades Públicas (Pág</w:t>
      </w:r>
      <w:r>
        <w:rPr>
          <w:rFonts w:ascii="Arial" w:hAnsi="Arial" w:cs="Arial"/>
        </w:rPr>
        <w:t>.</w:t>
      </w:r>
      <w:r w:rsidRPr="008B2B13">
        <w:rPr>
          <w:rFonts w:ascii="Arial" w:hAnsi="Arial" w:cs="Arial"/>
          <w:sz w:val="22"/>
          <w:szCs w:val="22"/>
        </w:rPr>
        <w:t xml:space="preserve"> 79)</w:t>
      </w:r>
    </w:p>
    <w:p w:rsidR="005A1A37" w:rsidRDefault="005A1A37" w:rsidP="005A1A37">
      <w:pPr>
        <w:rPr>
          <w:rFonts w:ascii="Arial" w:hAnsi="Arial" w:cs="Arial"/>
        </w:rPr>
      </w:pPr>
      <w:r w:rsidRPr="008B2B13">
        <w:rPr>
          <w:rFonts w:ascii="Arial" w:hAnsi="Arial" w:cs="Arial"/>
          <w:sz w:val="22"/>
          <w:szCs w:val="22"/>
        </w:rPr>
        <w:t>El informe provisional afirma lo siguiente:</w:t>
      </w:r>
    </w:p>
    <w:p w:rsidR="005A1A37" w:rsidRDefault="005A1A37" w:rsidP="005A1A37">
      <w:pPr>
        <w:rPr>
          <w:rFonts w:ascii="Arial" w:hAnsi="Arial" w:cs="Arial"/>
        </w:rPr>
      </w:pPr>
      <w:r w:rsidRPr="008B2B13">
        <w:rPr>
          <w:rFonts w:ascii="Arial" w:hAnsi="Arial" w:cs="Arial"/>
          <w:sz w:val="22"/>
          <w:szCs w:val="22"/>
        </w:rPr>
        <w:t>a) Respecto a las operaciones de endeudamiento, se indican dos incidencias; una de ellas, relacionada con un anticipo de la empresa GAN que ya se ha solucionado, y la otra, hace referencia al hecho de que SODENA concede avales y préstamos de manera adecuada, si bien en la mayoría de avales no se realiza la autorización formal del G</w:t>
      </w:r>
      <w:r w:rsidRPr="008B2B13">
        <w:rPr>
          <w:rFonts w:ascii="Arial" w:hAnsi="Arial" w:cs="Arial"/>
          <w:sz w:val="22"/>
          <w:szCs w:val="22"/>
        </w:rPr>
        <w:t>o</w:t>
      </w:r>
      <w:r w:rsidRPr="008B2B13">
        <w:rPr>
          <w:rFonts w:ascii="Arial" w:hAnsi="Arial" w:cs="Arial"/>
          <w:sz w:val="22"/>
          <w:szCs w:val="22"/>
        </w:rPr>
        <w:t>bierno de Navarra, sino que consta recibida a posteriori. Al respecto señalamos que S</w:t>
      </w:r>
      <w:r w:rsidRPr="008B2B13">
        <w:rPr>
          <w:rFonts w:ascii="Arial" w:hAnsi="Arial" w:cs="Arial"/>
          <w:sz w:val="22"/>
          <w:szCs w:val="22"/>
        </w:rPr>
        <w:t>O</w:t>
      </w:r>
      <w:r w:rsidRPr="008B2B13">
        <w:rPr>
          <w:rFonts w:ascii="Arial" w:hAnsi="Arial" w:cs="Arial"/>
          <w:sz w:val="22"/>
          <w:szCs w:val="22"/>
        </w:rPr>
        <w:t>DENA realizó las solicitudes de autorización con anterioridad al</w:t>
      </w:r>
      <w:r>
        <w:rPr>
          <w:rFonts w:ascii="Arial" w:hAnsi="Arial" w:cs="Arial"/>
        </w:rPr>
        <w:t xml:space="preserve"> </w:t>
      </w:r>
      <w:r w:rsidRPr="008B2B13">
        <w:rPr>
          <w:rFonts w:ascii="Arial" w:hAnsi="Arial" w:cs="Arial"/>
          <w:sz w:val="22"/>
          <w:szCs w:val="22"/>
        </w:rPr>
        <w:t>otorgamiento del aval, si bien, la tramitación por parte de la ACFN se demoró.</w:t>
      </w:r>
    </w:p>
    <w:p w:rsidR="005A1A37" w:rsidRDefault="005A1A37" w:rsidP="005A1A37">
      <w:pPr>
        <w:rPr>
          <w:rFonts w:ascii="Arial" w:hAnsi="Arial" w:cs="Arial"/>
        </w:rPr>
      </w:pPr>
      <w:r w:rsidRPr="008B2B13">
        <w:rPr>
          <w:rFonts w:ascii="Arial" w:hAnsi="Arial" w:cs="Arial"/>
          <w:sz w:val="22"/>
          <w:szCs w:val="22"/>
        </w:rPr>
        <w:t>Al respecto es necesario realizar la siguiente alegación:</w:t>
      </w:r>
    </w:p>
    <w:p w:rsidR="005A1A37" w:rsidRDefault="005A1A37" w:rsidP="005A1A37">
      <w:pPr>
        <w:rPr>
          <w:rFonts w:ascii="Arial" w:hAnsi="Arial" w:cs="Arial"/>
        </w:rPr>
      </w:pPr>
      <w:r w:rsidRPr="008B2B13">
        <w:rPr>
          <w:rFonts w:ascii="Arial" w:hAnsi="Arial" w:cs="Arial"/>
          <w:sz w:val="22"/>
          <w:szCs w:val="22"/>
        </w:rPr>
        <w:lastRenderedPageBreak/>
        <w:t>El informe afirma que la ACFN se demoró en la concesión de las autorizaciones a SODENA.</w:t>
      </w:r>
    </w:p>
    <w:p w:rsidR="005A1A37" w:rsidRDefault="005A1A37" w:rsidP="005A1A37">
      <w:pPr>
        <w:rPr>
          <w:rFonts w:ascii="Arial" w:hAnsi="Arial" w:cs="Arial"/>
        </w:rPr>
      </w:pPr>
      <w:r w:rsidRPr="008B2B13">
        <w:rPr>
          <w:rFonts w:ascii="Arial" w:hAnsi="Arial" w:cs="Arial"/>
          <w:sz w:val="22"/>
          <w:szCs w:val="22"/>
        </w:rPr>
        <w:t>El artículo 20 de la Ley Orgánica de Estabilidad Presupuestaria y Sostenibilidad F</w:t>
      </w:r>
      <w:r w:rsidRPr="008B2B13">
        <w:rPr>
          <w:rFonts w:ascii="Arial" w:hAnsi="Arial" w:cs="Arial"/>
          <w:sz w:val="22"/>
          <w:szCs w:val="22"/>
        </w:rPr>
        <w:t>i</w:t>
      </w:r>
      <w:r w:rsidRPr="008B2B13">
        <w:rPr>
          <w:rFonts w:ascii="Arial" w:hAnsi="Arial" w:cs="Arial"/>
          <w:sz w:val="22"/>
          <w:szCs w:val="22"/>
        </w:rPr>
        <w:t>nanciera establece que en el caso de que exista un incumplimiento de los objetivos de estabilidad presupuestaria, de deuda pública o de la regla del gasto de alguna Comun</w:t>
      </w:r>
      <w:r w:rsidRPr="008B2B13">
        <w:rPr>
          <w:rFonts w:ascii="Arial" w:hAnsi="Arial" w:cs="Arial"/>
          <w:sz w:val="22"/>
          <w:szCs w:val="22"/>
        </w:rPr>
        <w:t>i</w:t>
      </w:r>
      <w:r w:rsidRPr="008B2B13">
        <w:rPr>
          <w:rFonts w:ascii="Arial" w:hAnsi="Arial" w:cs="Arial"/>
          <w:sz w:val="22"/>
          <w:szCs w:val="22"/>
        </w:rPr>
        <w:t xml:space="preserve">dad Autónoma, la concesión de avales, </w:t>
      </w:r>
      <w:proofErr w:type="spellStart"/>
      <w:r w:rsidRPr="008B2B13">
        <w:rPr>
          <w:rFonts w:ascii="Arial" w:hAnsi="Arial" w:cs="Arial"/>
          <w:sz w:val="22"/>
          <w:szCs w:val="22"/>
        </w:rPr>
        <w:t>reavales</w:t>
      </w:r>
      <w:proofErr w:type="spellEnd"/>
      <w:r w:rsidRPr="008B2B13">
        <w:rPr>
          <w:rFonts w:ascii="Arial" w:hAnsi="Arial" w:cs="Arial"/>
          <w:sz w:val="22"/>
          <w:szCs w:val="22"/>
        </w:rPr>
        <w:t xml:space="preserve"> u otras garantías a las operaciones de crédito de personas físicas o jurídicas, públicas o privadas precisará de autorización del Estado. La Comunidad Foral de Navarra incumplió el objetivo de déficit, por lo que fue preceptiva la autorización por parte del Estado para la concesión de los avales solicitados por SODENA. Tras un requerimiento de la Subdirección General de Relaciones Financi</w:t>
      </w:r>
      <w:r w:rsidRPr="008B2B13">
        <w:rPr>
          <w:rFonts w:ascii="Arial" w:hAnsi="Arial" w:cs="Arial"/>
          <w:sz w:val="22"/>
          <w:szCs w:val="22"/>
        </w:rPr>
        <w:t>e</w:t>
      </w:r>
      <w:r w:rsidRPr="008B2B13">
        <w:rPr>
          <w:rFonts w:ascii="Arial" w:hAnsi="Arial" w:cs="Arial"/>
          <w:sz w:val="22"/>
          <w:szCs w:val="22"/>
        </w:rPr>
        <w:t>ras con las Comunidades Autónomas de fecha 2 de marzo, el Consejo de Ministros oto</w:t>
      </w:r>
      <w:r w:rsidRPr="008B2B13">
        <w:rPr>
          <w:rFonts w:ascii="Arial" w:hAnsi="Arial" w:cs="Arial"/>
          <w:sz w:val="22"/>
          <w:szCs w:val="22"/>
        </w:rPr>
        <w:t>r</w:t>
      </w:r>
      <w:r w:rsidRPr="008B2B13">
        <w:rPr>
          <w:rFonts w:ascii="Arial" w:hAnsi="Arial" w:cs="Arial"/>
          <w:sz w:val="22"/>
          <w:szCs w:val="22"/>
        </w:rPr>
        <w:t>gó esa autorización mediante Acuerdo de fecha 21 de abril de 2017. Tan sólo 7 días más tarde, el 28 de abril, se elevó la propuesta de Acuerdo de Gobierno que autorizaba los avales. El Acuerdo se adoptó el 10 de mayo. Por tanto, entendemos injustificada la afi</w:t>
      </w:r>
      <w:r w:rsidRPr="008B2B13">
        <w:rPr>
          <w:rFonts w:ascii="Arial" w:hAnsi="Arial" w:cs="Arial"/>
          <w:sz w:val="22"/>
          <w:szCs w:val="22"/>
        </w:rPr>
        <w:t>r</w:t>
      </w:r>
      <w:r w:rsidRPr="008B2B13">
        <w:rPr>
          <w:rFonts w:ascii="Arial" w:hAnsi="Arial" w:cs="Arial"/>
          <w:sz w:val="22"/>
          <w:szCs w:val="22"/>
        </w:rPr>
        <w:t>mación de que la ACFN se demoró en la concesión de las autorizaciones.</w:t>
      </w:r>
    </w:p>
    <w:p w:rsidR="005A1A37" w:rsidRDefault="005A1A37" w:rsidP="005A1A37">
      <w:pPr>
        <w:rPr>
          <w:rFonts w:ascii="Arial" w:hAnsi="Arial" w:cs="Arial"/>
        </w:rPr>
      </w:pPr>
      <w:r w:rsidRPr="008B2B13">
        <w:rPr>
          <w:rFonts w:ascii="Arial" w:hAnsi="Arial" w:cs="Arial"/>
          <w:sz w:val="22"/>
          <w:szCs w:val="22"/>
        </w:rPr>
        <w:t>Tercera.- En relación al apartado relativo a la ESTABILIDAD PRESUPUESTARIA y en concreto en cuanto a la REGLA DE GASTO, (Pág</w:t>
      </w:r>
      <w:r>
        <w:rPr>
          <w:rFonts w:ascii="Arial" w:hAnsi="Arial" w:cs="Arial"/>
        </w:rPr>
        <w:t>.</w:t>
      </w:r>
      <w:r w:rsidRPr="008B2B13">
        <w:rPr>
          <w:rFonts w:ascii="Arial" w:hAnsi="Arial" w:cs="Arial"/>
          <w:sz w:val="22"/>
          <w:szCs w:val="22"/>
        </w:rPr>
        <w:t xml:space="preserve"> 33):</w:t>
      </w:r>
    </w:p>
    <w:p w:rsidR="005A1A37" w:rsidRDefault="005A1A37" w:rsidP="005A1A37">
      <w:pPr>
        <w:rPr>
          <w:rFonts w:ascii="Arial" w:hAnsi="Arial" w:cs="Arial"/>
        </w:rPr>
      </w:pPr>
      <w:r w:rsidRPr="008B2B13">
        <w:rPr>
          <w:rFonts w:ascii="Arial" w:hAnsi="Arial" w:cs="Arial"/>
          <w:sz w:val="22"/>
          <w:szCs w:val="22"/>
        </w:rPr>
        <w:t>El informe provisional indica lo siguiente:</w:t>
      </w:r>
    </w:p>
    <w:p w:rsidR="005A1A37" w:rsidRDefault="005A1A37" w:rsidP="005A1A37">
      <w:pPr>
        <w:rPr>
          <w:rFonts w:ascii="Arial" w:hAnsi="Arial" w:cs="Arial"/>
        </w:rPr>
      </w:pPr>
      <w:r w:rsidRPr="008B2B13">
        <w:rPr>
          <w:rFonts w:ascii="Arial" w:hAnsi="Arial" w:cs="Arial"/>
          <w:sz w:val="22"/>
          <w:szCs w:val="22"/>
        </w:rPr>
        <w:t>“De Acuerdo con los datos calculados por el Ministerio de Hacienda y Administr</w:t>
      </w:r>
      <w:r w:rsidRPr="008B2B13">
        <w:rPr>
          <w:rFonts w:ascii="Arial" w:hAnsi="Arial" w:cs="Arial"/>
          <w:sz w:val="22"/>
          <w:szCs w:val="22"/>
        </w:rPr>
        <w:t>a</w:t>
      </w:r>
      <w:r w:rsidRPr="008B2B13">
        <w:rPr>
          <w:rFonts w:ascii="Arial" w:hAnsi="Arial" w:cs="Arial"/>
          <w:sz w:val="22"/>
          <w:szCs w:val="22"/>
        </w:rPr>
        <w:t>ciones Públicas en octubre de 2018, el Sector Administración Pública de la Comunidad Foral no ha cumplido con la regla de gasto, dado que su gasto computable en 2017 ha aumentado en un 3,2 por ciento respecto al ejercicio anterior, cuando la tasa de incr</w:t>
      </w:r>
      <w:r w:rsidRPr="008B2B13">
        <w:rPr>
          <w:rFonts w:ascii="Arial" w:hAnsi="Arial" w:cs="Arial"/>
          <w:sz w:val="22"/>
          <w:szCs w:val="22"/>
        </w:rPr>
        <w:t>e</w:t>
      </w:r>
      <w:r w:rsidRPr="008B2B13">
        <w:rPr>
          <w:rFonts w:ascii="Arial" w:hAnsi="Arial" w:cs="Arial"/>
          <w:sz w:val="22"/>
          <w:szCs w:val="22"/>
        </w:rPr>
        <w:t>mento se fijó en el 2,1 por ciento”</w:t>
      </w:r>
    </w:p>
    <w:p w:rsidR="005A1A37" w:rsidRDefault="005A1A37" w:rsidP="005A1A37">
      <w:pPr>
        <w:rPr>
          <w:rFonts w:ascii="Arial" w:hAnsi="Arial" w:cs="Arial"/>
        </w:rPr>
      </w:pPr>
      <w:r w:rsidRPr="008B2B13">
        <w:rPr>
          <w:rFonts w:ascii="Arial" w:hAnsi="Arial" w:cs="Arial"/>
          <w:sz w:val="22"/>
          <w:szCs w:val="22"/>
        </w:rPr>
        <w:t>Respecto a este informe puntualizamos que:</w:t>
      </w:r>
    </w:p>
    <w:p w:rsidR="005A1A37" w:rsidRDefault="005A1A37" w:rsidP="005A1A37">
      <w:pPr>
        <w:rPr>
          <w:rFonts w:ascii="Arial" w:hAnsi="Arial" w:cs="Arial"/>
        </w:rPr>
      </w:pPr>
      <w:r w:rsidRPr="008B2B13">
        <w:rPr>
          <w:rFonts w:ascii="Arial" w:hAnsi="Arial" w:cs="Arial"/>
          <w:sz w:val="22"/>
          <w:szCs w:val="22"/>
        </w:rPr>
        <w:t>Según las cifras de Navarra, este porcentaje es del 2,7%, es decir, una desviación sobre el objetivo del 2,1% de 17 millones. Esta diferencia se debe a que ambas admini</w:t>
      </w:r>
      <w:r w:rsidRPr="008B2B13">
        <w:rPr>
          <w:rFonts w:ascii="Arial" w:hAnsi="Arial" w:cs="Arial"/>
          <w:sz w:val="22"/>
          <w:szCs w:val="22"/>
        </w:rPr>
        <w:t>s</w:t>
      </w:r>
      <w:r w:rsidRPr="008B2B13">
        <w:rPr>
          <w:rFonts w:ascii="Arial" w:hAnsi="Arial" w:cs="Arial"/>
          <w:sz w:val="22"/>
          <w:szCs w:val="22"/>
        </w:rPr>
        <w:t>traciones mantenemos dos disc</w:t>
      </w:r>
      <w:r>
        <w:rPr>
          <w:rFonts w:ascii="Arial" w:hAnsi="Arial" w:cs="Arial"/>
        </w:rPr>
        <w:t>repancias:</w:t>
      </w:r>
    </w:p>
    <w:p w:rsidR="005A1A37" w:rsidRDefault="005A1A37" w:rsidP="005A1A37">
      <w:pPr>
        <w:rPr>
          <w:rFonts w:ascii="Arial" w:hAnsi="Arial" w:cs="Arial"/>
        </w:rPr>
      </w:pPr>
      <w:r w:rsidRPr="008B2B13">
        <w:rPr>
          <w:rFonts w:ascii="Arial" w:hAnsi="Arial" w:cs="Arial"/>
          <w:sz w:val="22"/>
          <w:szCs w:val="22"/>
        </w:rPr>
        <w:t>Una de 8 millones en cuanto a la cifra de Aportación para 2017. Para el volumen de gasto total están tomando nuestra cifra de Aportación - que está conformada con las Ó</w:t>
      </w:r>
      <w:r w:rsidRPr="008B2B13">
        <w:rPr>
          <w:rFonts w:ascii="Arial" w:hAnsi="Arial" w:cs="Arial"/>
          <w:sz w:val="22"/>
          <w:szCs w:val="22"/>
        </w:rPr>
        <w:t>r</w:t>
      </w:r>
      <w:r w:rsidRPr="008B2B13">
        <w:rPr>
          <w:rFonts w:ascii="Arial" w:hAnsi="Arial" w:cs="Arial"/>
          <w:sz w:val="22"/>
          <w:szCs w:val="22"/>
        </w:rPr>
        <w:t>denes Forales y</w:t>
      </w:r>
      <w:r>
        <w:rPr>
          <w:rFonts w:ascii="Arial" w:hAnsi="Arial" w:cs="Arial"/>
        </w:rPr>
        <w:t xml:space="preserve"> </w:t>
      </w:r>
      <w:r w:rsidRPr="008B2B13">
        <w:rPr>
          <w:rFonts w:ascii="Arial" w:hAnsi="Arial" w:cs="Arial"/>
          <w:sz w:val="22"/>
          <w:szCs w:val="22"/>
        </w:rPr>
        <w:t>los</w:t>
      </w:r>
      <w:r>
        <w:rPr>
          <w:rFonts w:ascii="Arial" w:hAnsi="Arial" w:cs="Arial"/>
        </w:rPr>
        <w:t xml:space="preserve"> </w:t>
      </w:r>
      <w:r w:rsidRPr="008B2B13">
        <w:rPr>
          <w:rFonts w:ascii="Arial" w:hAnsi="Arial" w:cs="Arial"/>
          <w:sz w:val="22"/>
          <w:szCs w:val="22"/>
        </w:rPr>
        <w:t>flujos</w:t>
      </w:r>
      <w:r>
        <w:rPr>
          <w:rFonts w:ascii="Arial" w:hAnsi="Arial" w:cs="Arial"/>
        </w:rPr>
        <w:t xml:space="preserve"> </w:t>
      </w:r>
      <w:r w:rsidRPr="008B2B13">
        <w:rPr>
          <w:rFonts w:ascii="Arial" w:hAnsi="Arial" w:cs="Arial"/>
          <w:sz w:val="22"/>
          <w:szCs w:val="22"/>
        </w:rPr>
        <w:t>de</w:t>
      </w:r>
      <w:r>
        <w:rPr>
          <w:rFonts w:ascii="Arial" w:hAnsi="Arial" w:cs="Arial"/>
        </w:rPr>
        <w:t xml:space="preserve"> </w:t>
      </w:r>
      <w:r w:rsidRPr="008B2B13">
        <w:rPr>
          <w:rFonts w:ascii="Arial" w:hAnsi="Arial" w:cs="Arial"/>
          <w:sz w:val="22"/>
          <w:szCs w:val="22"/>
        </w:rPr>
        <w:t>caja</w:t>
      </w:r>
      <w:r>
        <w:rPr>
          <w:rFonts w:ascii="Arial" w:hAnsi="Arial" w:cs="Arial"/>
        </w:rPr>
        <w:t xml:space="preserve"> </w:t>
      </w:r>
      <w:r w:rsidRPr="008B2B13">
        <w:rPr>
          <w:rFonts w:ascii="Arial" w:hAnsi="Arial" w:cs="Arial"/>
          <w:sz w:val="22"/>
          <w:szCs w:val="22"/>
        </w:rPr>
        <w:t>comprobados</w:t>
      </w:r>
      <w:r>
        <w:rPr>
          <w:rFonts w:ascii="Arial" w:hAnsi="Arial" w:cs="Arial"/>
        </w:rPr>
        <w:t xml:space="preserve"> </w:t>
      </w:r>
      <w:r w:rsidRPr="008B2B13">
        <w:rPr>
          <w:rFonts w:ascii="Arial" w:hAnsi="Arial" w:cs="Arial"/>
          <w:sz w:val="22"/>
          <w:szCs w:val="22"/>
        </w:rPr>
        <w:t>- pero luego descuentan como gasto no computable la que figura en su contabilidad, que es 8 millones inferior, con lo que nuestro gasto computable aparece "inflado" en 8 millones por un error suyo. Es un error comun</w:t>
      </w:r>
      <w:r w:rsidRPr="008B2B13">
        <w:rPr>
          <w:rFonts w:ascii="Arial" w:hAnsi="Arial" w:cs="Arial"/>
          <w:sz w:val="22"/>
          <w:szCs w:val="22"/>
        </w:rPr>
        <w:t>i</w:t>
      </w:r>
      <w:r w:rsidRPr="008B2B13">
        <w:rPr>
          <w:rFonts w:ascii="Arial" w:hAnsi="Arial" w:cs="Arial"/>
          <w:sz w:val="22"/>
          <w:szCs w:val="22"/>
        </w:rPr>
        <w:t>cado al Ministerio, pero que sin embargo, todavía no han corregido.</w:t>
      </w:r>
    </w:p>
    <w:p w:rsidR="005A1A37" w:rsidRDefault="005A1A37" w:rsidP="005A1A37">
      <w:pPr>
        <w:rPr>
          <w:rFonts w:ascii="Arial" w:hAnsi="Arial" w:cs="Arial"/>
        </w:rPr>
      </w:pPr>
      <w:r w:rsidRPr="008B2B13">
        <w:rPr>
          <w:rFonts w:ascii="Arial" w:hAnsi="Arial" w:cs="Arial"/>
          <w:sz w:val="22"/>
          <w:szCs w:val="22"/>
        </w:rPr>
        <w:t>Y otra de 5 millones por un defecto en la consideración como computable del gasto del Fondo de Haciendas Locales para el pago de corporativos, que en 2016 no lo cons</w:t>
      </w:r>
      <w:r w:rsidRPr="008B2B13">
        <w:rPr>
          <w:rFonts w:ascii="Arial" w:hAnsi="Arial" w:cs="Arial"/>
          <w:sz w:val="22"/>
          <w:szCs w:val="22"/>
        </w:rPr>
        <w:t>i</w:t>
      </w:r>
      <w:r w:rsidRPr="008B2B13">
        <w:rPr>
          <w:rFonts w:ascii="Arial" w:hAnsi="Arial" w:cs="Arial"/>
          <w:sz w:val="22"/>
          <w:szCs w:val="22"/>
        </w:rPr>
        <w:t>deran computable pero en 2017, sí. Es una cuestión que tampoco ha resuelto la IGAE.</w:t>
      </w:r>
    </w:p>
    <w:p w:rsidR="005A1A37" w:rsidRDefault="005A1A37" w:rsidP="005A1A37">
      <w:pPr>
        <w:rPr>
          <w:rFonts w:ascii="Arial" w:hAnsi="Arial" w:cs="Arial"/>
        </w:rPr>
      </w:pPr>
      <w:r w:rsidRPr="008B2B13">
        <w:rPr>
          <w:rFonts w:ascii="Arial" w:hAnsi="Arial" w:cs="Arial"/>
          <w:sz w:val="22"/>
          <w:szCs w:val="22"/>
        </w:rPr>
        <w:t>Pamplona, 12 de noviembre de 2018</w:t>
      </w:r>
    </w:p>
    <w:p w:rsidR="005A1A37" w:rsidRPr="008B2B13" w:rsidRDefault="005A1A37" w:rsidP="005A1A37">
      <w:pPr>
        <w:rPr>
          <w:rFonts w:ascii="Arial" w:hAnsi="Arial" w:cs="Arial"/>
          <w:sz w:val="22"/>
          <w:szCs w:val="22"/>
        </w:rPr>
      </w:pPr>
      <w:r>
        <w:rPr>
          <w:rFonts w:ascii="Arial" w:hAnsi="Arial" w:cs="Arial"/>
        </w:rPr>
        <w:t xml:space="preserve">El Consejero de Hacienda y Política Financiera: Mikel </w:t>
      </w:r>
      <w:proofErr w:type="spellStart"/>
      <w:r>
        <w:rPr>
          <w:rFonts w:ascii="Arial" w:hAnsi="Arial" w:cs="Arial"/>
        </w:rPr>
        <w:t>Aranburu</w:t>
      </w:r>
      <w:proofErr w:type="spellEnd"/>
      <w:r>
        <w:rPr>
          <w:rFonts w:ascii="Arial" w:hAnsi="Arial" w:cs="Arial"/>
        </w:rPr>
        <w:t xml:space="preserve"> </w:t>
      </w:r>
      <w:proofErr w:type="spellStart"/>
      <w:r>
        <w:rPr>
          <w:rFonts w:ascii="Arial" w:hAnsi="Arial" w:cs="Arial"/>
        </w:rPr>
        <w:t>Urtasun</w:t>
      </w:r>
      <w:proofErr w:type="spellEnd"/>
    </w:p>
    <w:p w:rsidR="005A1A37" w:rsidRDefault="005A1A37" w:rsidP="005A1A37">
      <w:pPr>
        <w:pStyle w:val="texto"/>
      </w:pPr>
    </w:p>
    <w:p w:rsidR="005A1A37" w:rsidRDefault="005A1A37" w:rsidP="005A1A37">
      <w:pPr>
        <w:pStyle w:val="texto"/>
        <w:sectPr w:rsidR="005A1A37" w:rsidSect="006A42CC">
          <w:footerReference w:type="default" r:id="rId17"/>
          <w:type w:val="oddPage"/>
          <w:pgSz w:w="11907" w:h="16840" w:code="9"/>
          <w:pgMar w:top="2109" w:right="1559" w:bottom="1644" w:left="1559" w:header="369" w:footer="136" w:gutter="0"/>
          <w:cols w:space="720"/>
          <w:docGrid w:linePitch="360"/>
        </w:sectPr>
      </w:pPr>
    </w:p>
    <w:p w:rsidR="009F74EB" w:rsidRDefault="009F74EB" w:rsidP="009F74EB">
      <w:pPr>
        <w:pStyle w:val="atitulo1"/>
      </w:pPr>
      <w:bookmarkStart w:id="132" w:name="_Toc511633082"/>
      <w:bookmarkStart w:id="133" w:name="_Toc515351657"/>
      <w:bookmarkStart w:id="134" w:name="_Toc530034684"/>
      <w:bookmarkStart w:id="135" w:name="_Toc475449751"/>
      <w:bookmarkStart w:id="136" w:name="_Toc479322237"/>
      <w:bookmarkStart w:id="137" w:name="_Toc509215586"/>
      <w:r w:rsidRPr="00DA0F2B">
        <w:lastRenderedPageBreak/>
        <w:t>Contestación de la Cámara de Comptos a las alegaciones presentadas al informe provision</w:t>
      </w:r>
      <w:r>
        <w:t>al</w:t>
      </w:r>
      <w:bookmarkEnd w:id="132"/>
      <w:bookmarkEnd w:id="133"/>
      <w:bookmarkEnd w:id="134"/>
    </w:p>
    <w:bookmarkEnd w:id="135"/>
    <w:bookmarkEnd w:id="136"/>
    <w:bookmarkEnd w:id="137"/>
    <w:p w:rsidR="006A42CC" w:rsidRPr="00F555B0" w:rsidRDefault="006A42CC" w:rsidP="006A42CC">
      <w:pPr>
        <w:ind w:firstLine="336"/>
        <w:rPr>
          <w:rFonts w:ascii="Arial" w:hAnsi="Arial" w:cs="Arial"/>
          <w:sz w:val="24"/>
          <w:szCs w:val="24"/>
        </w:rPr>
      </w:pPr>
      <w:r w:rsidRPr="00F555B0">
        <w:rPr>
          <w:rFonts w:ascii="Arial" w:hAnsi="Arial" w:cs="Arial"/>
          <w:sz w:val="24"/>
          <w:szCs w:val="24"/>
        </w:rPr>
        <w:t>Agradecemos a</w:t>
      </w:r>
      <w:r>
        <w:rPr>
          <w:rFonts w:ascii="Arial" w:hAnsi="Arial" w:cs="Arial"/>
          <w:sz w:val="24"/>
          <w:szCs w:val="24"/>
        </w:rPr>
        <w:t xml:space="preserve">l Consejero de Hacienda y Política Financiera del Gobierno de Navarra </w:t>
      </w:r>
      <w:r w:rsidRPr="00853567">
        <w:rPr>
          <w:rFonts w:ascii="Arial" w:hAnsi="Arial" w:cs="Arial"/>
          <w:sz w:val="24"/>
          <w:szCs w:val="24"/>
        </w:rPr>
        <w:t>las aleg</w:t>
      </w:r>
      <w:r w:rsidRPr="00F555B0">
        <w:rPr>
          <w:rFonts w:ascii="Arial" w:hAnsi="Arial" w:cs="Arial"/>
          <w:sz w:val="24"/>
          <w:szCs w:val="24"/>
        </w:rPr>
        <w:t>aciones que nos ha presentado. Estas alegaciones se incorporan al informe provisional y se eleva éste a definitivo al considerar que constituyen una explicación de la fiscalización realizada y no alteran su contenido.</w:t>
      </w:r>
    </w:p>
    <w:p w:rsidR="006A42CC" w:rsidRPr="00F555B0" w:rsidRDefault="006A42CC" w:rsidP="006A42CC">
      <w:pPr>
        <w:spacing w:before="240" w:after="120"/>
        <w:ind w:firstLine="0"/>
        <w:jc w:val="center"/>
        <w:rPr>
          <w:rFonts w:ascii="Arial" w:hAnsi="Arial" w:cs="Arial"/>
          <w:spacing w:val="6"/>
          <w:sz w:val="24"/>
          <w:szCs w:val="24"/>
        </w:rPr>
      </w:pPr>
      <w:r w:rsidRPr="00F555B0">
        <w:rPr>
          <w:rFonts w:ascii="Arial" w:hAnsi="Arial" w:cs="Arial"/>
          <w:spacing w:val="6"/>
          <w:sz w:val="24"/>
          <w:szCs w:val="24"/>
        </w:rPr>
        <w:t xml:space="preserve">Pamplona, </w:t>
      </w:r>
      <w:r>
        <w:rPr>
          <w:rFonts w:ascii="Arial" w:hAnsi="Arial" w:cs="Arial"/>
          <w:spacing w:val="6"/>
          <w:sz w:val="24"/>
          <w:szCs w:val="24"/>
        </w:rPr>
        <w:t>15 de noviembre</w:t>
      </w:r>
      <w:r w:rsidRPr="00F555B0">
        <w:rPr>
          <w:rFonts w:ascii="Arial" w:hAnsi="Arial" w:cs="Arial"/>
          <w:spacing w:val="6"/>
          <w:sz w:val="24"/>
          <w:szCs w:val="24"/>
        </w:rPr>
        <w:t xml:space="preserve"> de 201</w:t>
      </w:r>
      <w:r>
        <w:rPr>
          <w:rFonts w:ascii="Arial" w:hAnsi="Arial" w:cs="Arial"/>
          <w:spacing w:val="6"/>
          <w:sz w:val="24"/>
          <w:szCs w:val="24"/>
        </w:rPr>
        <w:t>8</w:t>
      </w:r>
    </w:p>
    <w:p w:rsidR="006A42CC" w:rsidRPr="00F555B0" w:rsidRDefault="006A42CC" w:rsidP="006A42CC">
      <w:pPr>
        <w:pStyle w:val="atitulo3"/>
        <w:spacing w:after="120"/>
        <w:jc w:val="center"/>
        <w:rPr>
          <w:rFonts w:cs="Arial"/>
          <w:i w:val="0"/>
          <w:color w:val="auto"/>
          <w:sz w:val="24"/>
          <w:szCs w:val="24"/>
        </w:rPr>
      </w:pPr>
      <w:r w:rsidRPr="00F555B0">
        <w:rPr>
          <w:rFonts w:cs="Arial"/>
          <w:i w:val="0"/>
          <w:color w:val="auto"/>
          <w:spacing w:val="6"/>
          <w:sz w:val="24"/>
          <w:szCs w:val="24"/>
          <w:lang w:val="es-ES"/>
        </w:rPr>
        <w:t>La presidenta, Asunción Olaechea Estanga</w:t>
      </w:r>
    </w:p>
    <w:p w:rsidR="009F74EB" w:rsidRDefault="009F74EB" w:rsidP="009F74EB">
      <w:pPr>
        <w:pStyle w:val="texto"/>
        <w:ind w:firstLine="0"/>
      </w:pPr>
    </w:p>
    <w:p w:rsidR="006A42CC" w:rsidRDefault="006A42CC" w:rsidP="006F236F">
      <w:pPr>
        <w:pStyle w:val="atitulo1"/>
        <w:sectPr w:rsidR="006A42CC" w:rsidSect="006F236F">
          <w:type w:val="oddPage"/>
          <w:pgSz w:w="11907" w:h="16840" w:code="9"/>
          <w:pgMar w:top="2109" w:right="1559" w:bottom="1644" w:left="1559" w:header="369" w:footer="136" w:gutter="0"/>
          <w:cols w:space="720"/>
          <w:docGrid w:linePitch="360"/>
        </w:sectPr>
      </w:pPr>
    </w:p>
    <w:p w:rsidR="006F236F" w:rsidRDefault="006F236F" w:rsidP="006F236F">
      <w:pPr>
        <w:pStyle w:val="atitulo1"/>
      </w:pPr>
    </w:p>
    <w:p w:rsidR="006F236F" w:rsidRDefault="006F236F" w:rsidP="006F236F">
      <w:pPr>
        <w:pStyle w:val="atitulo1"/>
      </w:pPr>
    </w:p>
    <w:p w:rsidR="006F236F" w:rsidRDefault="006F236F" w:rsidP="006F236F">
      <w:pPr>
        <w:pStyle w:val="atitulo1"/>
      </w:pPr>
    </w:p>
    <w:p w:rsidR="006F236F" w:rsidRPr="006A42CC" w:rsidRDefault="006F236F" w:rsidP="006F236F">
      <w:pPr>
        <w:pStyle w:val="atitulo1"/>
        <w:rPr>
          <w:sz w:val="32"/>
          <w:szCs w:val="32"/>
        </w:rPr>
      </w:pPr>
      <w:bookmarkStart w:id="138" w:name="_Toc525907455"/>
      <w:bookmarkStart w:id="139" w:name="_Toc530034685"/>
      <w:r w:rsidRPr="006A42CC">
        <w:rPr>
          <w:sz w:val="32"/>
          <w:szCs w:val="32"/>
        </w:rPr>
        <w:t>Resumen de la Memoria de la Cuenta General de 2017</w:t>
      </w:r>
      <w:bookmarkEnd w:id="138"/>
      <w:bookmarkEnd w:id="139"/>
    </w:p>
    <w:p w:rsidR="006F236F" w:rsidRDefault="006F236F" w:rsidP="006F236F">
      <w:pPr>
        <w:pStyle w:val="atitulo1"/>
      </w:pPr>
    </w:p>
    <w:p w:rsidR="006F236F" w:rsidRDefault="006F236F" w:rsidP="006F236F">
      <w:pPr>
        <w:pStyle w:val="atitulo1"/>
      </w:pPr>
    </w:p>
    <w:sectPr w:rsidR="006F236F" w:rsidSect="006F236F">
      <w:type w:val="oddPage"/>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2CC" w:rsidRDefault="006A42CC">
      <w:r>
        <w:separator/>
      </w:r>
    </w:p>
    <w:p w:rsidR="006A42CC" w:rsidRDefault="006A42CC"/>
    <w:p w:rsidR="006A42CC" w:rsidRDefault="006A42CC"/>
    <w:p w:rsidR="006A42CC" w:rsidRDefault="006A42CC"/>
  </w:endnote>
  <w:endnote w:type="continuationSeparator" w:id="0">
    <w:p w:rsidR="006A42CC" w:rsidRDefault="006A42CC">
      <w:r>
        <w:continuationSeparator/>
      </w:r>
    </w:p>
    <w:p w:rsidR="006A42CC" w:rsidRDefault="006A42CC"/>
    <w:p w:rsidR="006A42CC" w:rsidRDefault="006A42CC"/>
    <w:p w:rsidR="006A42CC" w:rsidRDefault="006A4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Sans">
    <w:altName w:val="Courier New"/>
    <w:panose1 w:val="00000000000000000000"/>
    <w:charset w:val="00"/>
    <w:family w:val="swiss"/>
    <w:notTrueType/>
    <w:pitch w:val="variable"/>
    <w:sig w:usb0="00000003" w:usb1="00000000" w:usb2="00000000" w:usb3="00000000" w:csb0="00000001" w:csb1="00000000"/>
  </w:font>
  <w:font w:name="CG Omega">
    <w:altName w:val="Segoe UI"/>
    <w:charset w:val="00"/>
    <w:family w:val="swiss"/>
    <w:pitch w:val="variable"/>
    <w:sig w:usb0="00000001"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2CC" w:rsidRDefault="006A42CC"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A42CC" w:rsidRDefault="006A42CC"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2CC" w:rsidRPr="00F03814" w:rsidRDefault="006A42CC"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0F59B6EB" wp14:editId="7FCB1CA0">
          <wp:extent cx="219075" cy="371475"/>
          <wp:effectExtent l="0" t="0" r="9525" b="9525"/>
          <wp:docPr id="8" name="Imagen 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6A42CC" w:rsidRPr="00F74E38" w:rsidRDefault="006A42CC" w:rsidP="00F03814">
    <w:pPr>
      <w:pStyle w:val="Piedepgina"/>
      <w:tabs>
        <w:tab w:val="clear" w:pos="4252"/>
        <w:tab w:val="clear" w:pos="8504"/>
        <w:tab w:val="center" w:pos="4560"/>
      </w:tabs>
      <w:ind w:right="360"/>
      <w:jc w:val="left"/>
      <w:rPr>
        <w:rStyle w:val="Nmerodepgina"/>
      </w:rPr>
    </w:pPr>
  </w:p>
  <w:p w:rsidR="006A42CC" w:rsidRPr="00C13453" w:rsidRDefault="006A42CC"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2CC" w:rsidRDefault="006A42CC"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2CC" w:rsidRPr="00F03814" w:rsidRDefault="006A42CC"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6068FA0F" wp14:editId="364E0DC2">
          <wp:extent cx="219075" cy="371475"/>
          <wp:effectExtent l="0" t="0" r="9525" b="9525"/>
          <wp:docPr id="29" name="Imagen 29"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5A7397">
      <w:rPr>
        <w:rStyle w:val="Nmerodepgina"/>
        <w:noProof/>
        <w:szCs w:val="24"/>
      </w:rPr>
      <w:t>88</w:t>
    </w:r>
    <w:r w:rsidRPr="001D4F09">
      <w:rPr>
        <w:rStyle w:val="Nmerodepgina"/>
        <w:szCs w:val="24"/>
      </w:rPr>
      <w:fldChar w:fldCharType="end"/>
    </w:r>
    <w:r w:rsidRPr="001D4F09">
      <w:rPr>
        <w:rStyle w:val="Nmerodepgina"/>
        <w:szCs w:val="24"/>
      </w:rPr>
      <w:t xml:space="preserve"> -</w:t>
    </w:r>
  </w:p>
  <w:p w:rsidR="006A42CC" w:rsidRPr="00C13453" w:rsidRDefault="006A42CC" w:rsidP="00D2472C">
    <w:pPr>
      <w:pStyle w:val="BorradorProvisional"/>
      <w:ind w:left="0"/>
      <w:jc w:val="center"/>
    </w:pPr>
  </w:p>
  <w:p w:rsidR="006A42CC" w:rsidRDefault="006A42C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9E" w:rsidRPr="00F03814" w:rsidRDefault="0060319E"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54EB8F0F" wp14:editId="6BDC083D">
          <wp:extent cx="219075" cy="371475"/>
          <wp:effectExtent l="0" t="0" r="9525" b="9525"/>
          <wp:docPr id="1" name="Imagen 1"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p>
  <w:p w:rsidR="0060319E" w:rsidRPr="00C13453" w:rsidRDefault="0060319E" w:rsidP="00D2472C">
    <w:pPr>
      <w:pStyle w:val="BorradorProvisional"/>
      <w:ind w:left="0"/>
      <w:jc w:val="center"/>
    </w:pPr>
  </w:p>
  <w:p w:rsidR="0060319E" w:rsidRDefault="006031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2CC" w:rsidRDefault="006A42CC">
      <w:r>
        <w:separator/>
      </w:r>
    </w:p>
  </w:footnote>
  <w:footnote w:type="continuationSeparator" w:id="0">
    <w:p w:rsidR="006A42CC" w:rsidRDefault="006A42CC">
      <w:r>
        <w:continuationSeparator/>
      </w:r>
    </w:p>
    <w:p w:rsidR="006A42CC" w:rsidRDefault="006A42CC"/>
    <w:p w:rsidR="006A42CC" w:rsidRDefault="006A42CC"/>
    <w:p w:rsidR="006A42CC" w:rsidRDefault="006A42CC"/>
    <w:p w:rsidR="006A42CC" w:rsidRDefault="006A42CC"/>
  </w:footnote>
  <w:footnote w:id="1">
    <w:p w:rsidR="006A42CC" w:rsidRDefault="006A42CC" w:rsidP="005475A2">
      <w:pPr>
        <w:pStyle w:val="Textonotapie"/>
        <w:ind w:firstLine="0"/>
      </w:pPr>
      <w:r>
        <w:rPr>
          <w:rStyle w:val="Refdenotaalpie"/>
        </w:rPr>
        <w:footnoteRef/>
      </w:r>
      <w:r>
        <w:t xml:space="preserve"> PIB de Navarra en 2017 provisional estimado en 19.827 millones (fuente INE).</w:t>
      </w:r>
    </w:p>
  </w:footnote>
  <w:footnote w:id="2">
    <w:p w:rsidR="006A42CC" w:rsidRPr="005A7095" w:rsidRDefault="006A42CC" w:rsidP="007C238C">
      <w:pPr>
        <w:pStyle w:val="Textonotapie"/>
        <w:ind w:firstLine="0"/>
      </w:pPr>
      <w:r w:rsidRPr="005A7095">
        <w:rPr>
          <w:rStyle w:val="Refdenotaalpie"/>
        </w:rPr>
        <w:footnoteRef/>
      </w:r>
      <w:r w:rsidRPr="005A7095">
        <w:t xml:space="preserve"> Se entiende que su cuantía es incierta ya que por ejemplo en 2017 se estimaron unos gastos de 85,92 mill</w:t>
      </w:r>
      <w:r w:rsidRPr="005A7095">
        <w:t>o</w:t>
      </w:r>
      <w:r w:rsidRPr="005A7095">
        <w:t>nes de euros y la cifra real alcanzó los 80,87 millones.</w:t>
      </w:r>
    </w:p>
  </w:footnote>
  <w:footnote w:id="3">
    <w:p w:rsidR="006A42CC" w:rsidRPr="005A7095" w:rsidRDefault="006A42CC" w:rsidP="00B01865">
      <w:pPr>
        <w:pStyle w:val="Textonotapie"/>
        <w:spacing w:after="0"/>
        <w:ind w:firstLine="0"/>
      </w:pPr>
      <w:r w:rsidRPr="005A7095">
        <w:rPr>
          <w:rStyle w:val="Refdenotaalpie"/>
        </w:rPr>
        <w:footnoteRef/>
      </w:r>
      <w:r w:rsidRPr="005A7095">
        <w:t xml:space="preserve"> Ahorro Bruto: ingresos corrientes (cap. 1 al 5) menos gastos de funcionamiento (cap.1, 2 y 4).</w:t>
      </w:r>
    </w:p>
  </w:footnote>
  <w:footnote w:id="4">
    <w:p w:rsidR="006A42CC" w:rsidRDefault="006A42CC" w:rsidP="00B01865">
      <w:pPr>
        <w:pStyle w:val="Textonotapie"/>
        <w:ind w:firstLine="0"/>
      </w:pPr>
      <w:r w:rsidRPr="005A7095">
        <w:rPr>
          <w:rStyle w:val="Refdenotaalpie"/>
        </w:rPr>
        <w:footnoteRef/>
      </w:r>
      <w:r w:rsidRPr="005A7095">
        <w:t xml:space="preserve"> Ahorro Neto: Ahorro bruto menos carga financiera (cap. 3 y 9 de gastos).</w:t>
      </w:r>
    </w:p>
  </w:footnote>
  <w:footnote w:id="5">
    <w:p w:rsidR="006A42CC" w:rsidRDefault="006A42CC" w:rsidP="00B01865">
      <w:pPr>
        <w:pStyle w:val="Textonotapie"/>
        <w:spacing w:after="0"/>
        <w:ind w:firstLine="0"/>
      </w:pPr>
      <w:r>
        <w:rPr>
          <w:rStyle w:val="Refdenotaalpie"/>
        </w:rPr>
        <w:footnoteRef/>
      </w:r>
      <w:r>
        <w:t xml:space="preserve"> En julio de 2017 se publicó una nueva resolución que deroga la citada de septiembre de 2016, actualizánd</w:t>
      </w:r>
      <w:r>
        <w:t>o</w:t>
      </w:r>
      <w:r>
        <w:t>se los tipos de interés de las operaciones a concertar.</w:t>
      </w:r>
    </w:p>
  </w:footnote>
  <w:footnote w:id="6">
    <w:p w:rsidR="006A42CC" w:rsidRDefault="006A42CC" w:rsidP="00B01865">
      <w:pPr>
        <w:pStyle w:val="Textonotapie"/>
        <w:ind w:firstLine="0"/>
      </w:pPr>
      <w:r>
        <w:rPr>
          <w:rStyle w:val="Refdenotaalpie"/>
        </w:rPr>
        <w:footnoteRef/>
      </w:r>
      <w:r>
        <w:t xml:space="preserve"> En el caso de los proyectos I+D estratégicos RIS3 de Navarra hemos revisado la justificación parcial de los gastos, dado que está pendiente la finalización de la revisión de la justificación final presentada en marzo de 2018. </w:t>
      </w:r>
    </w:p>
  </w:footnote>
  <w:footnote w:id="7">
    <w:p w:rsidR="006A42CC" w:rsidRDefault="006A42CC" w:rsidP="00B66E05">
      <w:pPr>
        <w:pStyle w:val="Textonotapie"/>
        <w:ind w:firstLine="0"/>
      </w:pPr>
      <w:r>
        <w:rPr>
          <w:rStyle w:val="Refdenotaalpie"/>
        </w:rPr>
        <w:footnoteRef/>
      </w:r>
      <w:r>
        <w:t xml:space="preserve"> Los datos aquí reflejados son los proporcionados por el Departamento de Desarrollo Rural, Medio Ambie</w:t>
      </w:r>
      <w:r>
        <w:t>n</w:t>
      </w:r>
      <w:r>
        <w:t>te y Administración Local extraídos del total de la partida presupuestaria que incluye también las cantidades correspondientes a la parte del encargo relacionada con la caza y pesca en 2016, y con la caza en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2CC" w:rsidRDefault="006A42CC"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679869B8" wp14:editId="5D1CA730">
          <wp:extent cx="771525" cy="762000"/>
          <wp:effectExtent l="0" t="0" r="9525" b="0"/>
          <wp:docPr id="7" name="Imagen 7"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6A42CC" w:rsidRPr="0059650E" w:rsidRDefault="006A42CC" w:rsidP="00891D73">
    <w:pPr>
      <w:pStyle w:val="Encabezado"/>
      <w:pBdr>
        <w:bottom w:val="single" w:sz="4" w:space="1" w:color="auto"/>
      </w:pBdr>
      <w:ind w:firstLine="0"/>
      <w:rPr>
        <w:lang w:val="es-ES"/>
      </w:rPr>
    </w:pPr>
    <w:r>
      <w:rPr>
        <w:lang w:val="es-ES"/>
      </w:rPr>
      <w:t xml:space="preserve">informe de fiscalización SOBRE las cuentas generales de navarra, </w:t>
    </w:r>
    <w:r w:rsidR="00932897">
      <w:rPr>
        <w:lang w:val="es-ES"/>
      </w:rPr>
      <w:t xml:space="preserve">ejercicio de </w:t>
    </w:r>
    <w:r>
      <w:rPr>
        <w:lang w:val="es-ES"/>
      </w:rPr>
      <w:t>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2CC" w:rsidRDefault="006A42CC" w:rsidP="006A2D41">
    <w:pPr>
      <w:pStyle w:val="Encabezado"/>
      <w:ind w:firstLine="0"/>
      <w:jc w:val="left"/>
    </w:pPr>
    <w:r>
      <w:rPr>
        <w:noProof/>
        <w:lang w:val="es-ES" w:eastAsia="es-ES"/>
      </w:rPr>
      <w:drawing>
        <wp:inline distT="0" distB="0" distL="0" distR="0" wp14:anchorId="4AEBC4AD" wp14:editId="51E4F255">
          <wp:extent cx="771525" cy="762000"/>
          <wp:effectExtent l="0" t="0" r="9525" b="0"/>
          <wp:docPr id="24" name="Imagen 24"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2CC" w:rsidRDefault="006A42CC"/>
  <w:p w:rsidR="006A42CC" w:rsidRDefault="006A42CC"/>
  <w:p w:rsidR="006A42CC" w:rsidRDefault="006A42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722"/>
    <w:multiLevelType w:val="hybridMultilevel"/>
    <w:tmpl w:val="03089120"/>
    <w:lvl w:ilvl="0" w:tplc="977AC38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082EE8"/>
    <w:multiLevelType w:val="hybridMultilevel"/>
    <w:tmpl w:val="46EC5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46F34F1"/>
    <w:multiLevelType w:val="hybridMultilevel"/>
    <w:tmpl w:val="E56298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732378B"/>
    <w:multiLevelType w:val="hybridMultilevel"/>
    <w:tmpl w:val="5FCEB670"/>
    <w:lvl w:ilvl="0" w:tplc="2DD21DBE">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E626744"/>
    <w:multiLevelType w:val="hybridMultilevel"/>
    <w:tmpl w:val="4B10F3C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nsid w:val="10F369A5"/>
    <w:multiLevelType w:val="hybridMultilevel"/>
    <w:tmpl w:val="6DD03B88"/>
    <w:lvl w:ilvl="0" w:tplc="B9100FC4">
      <w:start w:val="1"/>
      <w:numFmt w:val="lowerLetter"/>
      <w:lvlText w:val="%1)"/>
      <w:lvlJc w:val="left"/>
      <w:pPr>
        <w:ind w:left="644" w:hanging="360"/>
      </w:pPr>
      <w:rPr>
        <w:rFonts w:hint="default"/>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7">
    <w:nsid w:val="18466490"/>
    <w:multiLevelType w:val="hybridMultilevel"/>
    <w:tmpl w:val="65EED72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1BB77802"/>
    <w:multiLevelType w:val="hybridMultilevel"/>
    <w:tmpl w:val="6C743E5A"/>
    <w:lvl w:ilvl="0" w:tplc="F50A19D2">
      <w:start w:val="46"/>
      <w:numFmt w:val="bullet"/>
      <w:lvlText w:val=""/>
      <w:lvlJc w:val="left"/>
      <w:pPr>
        <w:ind w:left="1065" w:hanging="360"/>
      </w:pPr>
      <w:rPr>
        <w:rFonts w:ascii="Wingdings" w:hAnsi="Wingdings"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9">
    <w:nsid w:val="201B683E"/>
    <w:multiLevelType w:val="hybridMultilevel"/>
    <w:tmpl w:val="A6F6BFA8"/>
    <w:lvl w:ilvl="0" w:tplc="218E87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20882E60"/>
    <w:multiLevelType w:val="hybridMultilevel"/>
    <w:tmpl w:val="0784D6B0"/>
    <w:lvl w:ilvl="0" w:tplc="3E6C2A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3650785"/>
    <w:multiLevelType w:val="hybridMultilevel"/>
    <w:tmpl w:val="473E8A4E"/>
    <w:lvl w:ilvl="0" w:tplc="7728C81A">
      <w:start w:val="1"/>
      <w:numFmt w:val="lowerLetter"/>
      <w:lvlText w:val="%1)"/>
      <w:lvlJc w:val="left"/>
      <w:pPr>
        <w:ind w:left="644" w:hanging="360"/>
      </w:pPr>
      <w:rPr>
        <w:rFonts w:hint="default"/>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nsid w:val="25542DE0"/>
    <w:multiLevelType w:val="hybridMultilevel"/>
    <w:tmpl w:val="3258A0C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2A036B8B"/>
    <w:multiLevelType w:val="hybridMultilevel"/>
    <w:tmpl w:val="1AB288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nsid w:val="3D48269E"/>
    <w:multiLevelType w:val="hybridMultilevel"/>
    <w:tmpl w:val="D068CA56"/>
    <w:lvl w:ilvl="0" w:tplc="016C0436">
      <w:start w:val="1"/>
      <w:numFmt w:val="decimal"/>
      <w:lvlText w:val="(%1)"/>
      <w:lvlJc w:val="left"/>
      <w:pPr>
        <w:ind w:left="1288" w:hanging="360"/>
      </w:pPr>
      <w:rPr>
        <w:rFonts w:hint="default"/>
      </w:rPr>
    </w:lvl>
    <w:lvl w:ilvl="1" w:tplc="0C0A0019" w:tentative="1">
      <w:start w:val="1"/>
      <w:numFmt w:val="lowerLetter"/>
      <w:lvlText w:val="%2."/>
      <w:lvlJc w:val="left"/>
      <w:pPr>
        <w:ind w:left="2008" w:hanging="360"/>
      </w:pPr>
    </w:lvl>
    <w:lvl w:ilvl="2" w:tplc="0C0A001B" w:tentative="1">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15">
    <w:nsid w:val="41E774A5"/>
    <w:multiLevelType w:val="hybridMultilevel"/>
    <w:tmpl w:val="461AE7D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42992547"/>
    <w:multiLevelType w:val="hybridMultilevel"/>
    <w:tmpl w:val="A216C6DA"/>
    <w:lvl w:ilvl="0" w:tplc="0C0A0011">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7">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472471BC"/>
    <w:multiLevelType w:val="hybridMultilevel"/>
    <w:tmpl w:val="1B40EAE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4CDB4493"/>
    <w:multiLevelType w:val="hybridMultilevel"/>
    <w:tmpl w:val="FB9ADF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B40706F"/>
    <w:multiLevelType w:val="hybridMultilevel"/>
    <w:tmpl w:val="3424CB5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1">
    <w:nsid w:val="62A232A9"/>
    <w:multiLevelType w:val="hybridMultilevel"/>
    <w:tmpl w:val="98BA7F82"/>
    <w:lvl w:ilvl="0" w:tplc="F50A19D2">
      <w:start w:val="46"/>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3">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nsid w:val="6D994BAC"/>
    <w:multiLevelType w:val="hybridMultilevel"/>
    <w:tmpl w:val="4BEAA496"/>
    <w:lvl w:ilvl="0" w:tplc="B254B2F4">
      <w:start w:val="1"/>
      <w:numFmt w:val="lowerLetter"/>
      <w:lvlText w:val="%1)"/>
      <w:lvlJc w:val="left"/>
      <w:pPr>
        <w:ind w:left="644" w:hanging="360"/>
      </w:pPr>
      <w:rPr>
        <w:rFonts w:hint="default"/>
        <w:color w:val="auto"/>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nsid w:val="708F7B6E"/>
    <w:multiLevelType w:val="hybridMultilevel"/>
    <w:tmpl w:val="1668D170"/>
    <w:lvl w:ilvl="0" w:tplc="F50A19D2">
      <w:start w:val="46"/>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6">
    <w:nsid w:val="71D54605"/>
    <w:multiLevelType w:val="hybridMultilevel"/>
    <w:tmpl w:val="D8A26092"/>
    <w:lvl w:ilvl="0" w:tplc="0C0A0017">
      <w:start w:val="1"/>
      <w:numFmt w:val="lowerLetter"/>
      <w:lvlText w:val="%1)"/>
      <w:lvlJc w:val="left"/>
      <w:pPr>
        <w:ind w:left="1294" w:hanging="360"/>
      </w:pPr>
    </w:lvl>
    <w:lvl w:ilvl="1" w:tplc="0C0A0019" w:tentative="1">
      <w:start w:val="1"/>
      <w:numFmt w:val="lowerLetter"/>
      <w:lvlText w:val="%2."/>
      <w:lvlJc w:val="left"/>
      <w:pPr>
        <w:ind w:left="2014" w:hanging="360"/>
      </w:pPr>
    </w:lvl>
    <w:lvl w:ilvl="2" w:tplc="0C0A001B" w:tentative="1">
      <w:start w:val="1"/>
      <w:numFmt w:val="lowerRoman"/>
      <w:lvlText w:val="%3."/>
      <w:lvlJc w:val="right"/>
      <w:pPr>
        <w:ind w:left="2734" w:hanging="180"/>
      </w:pPr>
    </w:lvl>
    <w:lvl w:ilvl="3" w:tplc="0C0A000F" w:tentative="1">
      <w:start w:val="1"/>
      <w:numFmt w:val="decimal"/>
      <w:lvlText w:val="%4."/>
      <w:lvlJc w:val="left"/>
      <w:pPr>
        <w:ind w:left="3454" w:hanging="360"/>
      </w:pPr>
    </w:lvl>
    <w:lvl w:ilvl="4" w:tplc="0C0A0019" w:tentative="1">
      <w:start w:val="1"/>
      <w:numFmt w:val="lowerLetter"/>
      <w:lvlText w:val="%5."/>
      <w:lvlJc w:val="left"/>
      <w:pPr>
        <w:ind w:left="4174" w:hanging="360"/>
      </w:pPr>
    </w:lvl>
    <w:lvl w:ilvl="5" w:tplc="0C0A001B" w:tentative="1">
      <w:start w:val="1"/>
      <w:numFmt w:val="lowerRoman"/>
      <w:lvlText w:val="%6."/>
      <w:lvlJc w:val="right"/>
      <w:pPr>
        <w:ind w:left="4894" w:hanging="180"/>
      </w:pPr>
    </w:lvl>
    <w:lvl w:ilvl="6" w:tplc="0C0A000F" w:tentative="1">
      <w:start w:val="1"/>
      <w:numFmt w:val="decimal"/>
      <w:lvlText w:val="%7."/>
      <w:lvlJc w:val="left"/>
      <w:pPr>
        <w:ind w:left="5614" w:hanging="360"/>
      </w:pPr>
    </w:lvl>
    <w:lvl w:ilvl="7" w:tplc="0C0A0019" w:tentative="1">
      <w:start w:val="1"/>
      <w:numFmt w:val="lowerLetter"/>
      <w:lvlText w:val="%8."/>
      <w:lvlJc w:val="left"/>
      <w:pPr>
        <w:ind w:left="6334" w:hanging="360"/>
      </w:pPr>
    </w:lvl>
    <w:lvl w:ilvl="8" w:tplc="0C0A001B" w:tentative="1">
      <w:start w:val="1"/>
      <w:numFmt w:val="lowerRoman"/>
      <w:lvlText w:val="%9."/>
      <w:lvlJc w:val="right"/>
      <w:pPr>
        <w:ind w:left="7054" w:hanging="180"/>
      </w:pPr>
    </w:lvl>
  </w:abstractNum>
  <w:abstractNum w:abstractNumId="27">
    <w:nsid w:val="74535ADE"/>
    <w:multiLevelType w:val="hybridMultilevel"/>
    <w:tmpl w:val="2C344418"/>
    <w:lvl w:ilvl="0" w:tplc="0864442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8B63F88"/>
    <w:multiLevelType w:val="hybridMultilevel"/>
    <w:tmpl w:val="5C4684F4"/>
    <w:lvl w:ilvl="0" w:tplc="F50A19D2">
      <w:start w:val="46"/>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5B5C43"/>
    <w:multiLevelType w:val="hybridMultilevel"/>
    <w:tmpl w:val="6596917C"/>
    <w:lvl w:ilvl="0" w:tplc="92C62E9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nsid w:val="79B32A76"/>
    <w:multiLevelType w:val="hybridMultilevel"/>
    <w:tmpl w:val="45927E1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1">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abstractNumId w:val="31"/>
  </w:num>
  <w:num w:numId="2">
    <w:abstractNumId w:val="22"/>
  </w:num>
  <w:num w:numId="3">
    <w:abstractNumId w:val="6"/>
  </w:num>
  <w:num w:numId="4">
    <w:abstractNumId w:val="17"/>
  </w:num>
  <w:num w:numId="5">
    <w:abstractNumId w:val="23"/>
  </w:num>
  <w:num w:numId="6">
    <w:abstractNumId w:val="6"/>
  </w:num>
  <w:num w:numId="7">
    <w:abstractNumId w:val="6"/>
  </w:num>
  <w:num w:numId="8">
    <w:abstractNumId w:val="6"/>
  </w:num>
  <w:num w:numId="9">
    <w:abstractNumId w:val="4"/>
  </w:num>
  <w:num w:numId="10">
    <w:abstractNumId w:val="15"/>
  </w:num>
  <w:num w:numId="11">
    <w:abstractNumId w:val="14"/>
  </w:num>
  <w:num w:numId="12">
    <w:abstractNumId w:val="26"/>
  </w:num>
  <w:num w:numId="13">
    <w:abstractNumId w:val="12"/>
  </w:num>
  <w:num w:numId="14">
    <w:abstractNumId w:val="19"/>
  </w:num>
  <w:num w:numId="15">
    <w:abstractNumId w:val="9"/>
  </w:num>
  <w:num w:numId="16">
    <w:abstractNumId w:val="24"/>
  </w:num>
  <w:num w:numId="17">
    <w:abstractNumId w:val="29"/>
  </w:num>
  <w:num w:numId="18">
    <w:abstractNumId w:val="10"/>
  </w:num>
  <w:num w:numId="19">
    <w:abstractNumId w:val="8"/>
  </w:num>
  <w:num w:numId="20">
    <w:abstractNumId w:val="25"/>
  </w:num>
  <w:num w:numId="21">
    <w:abstractNumId w:val="2"/>
  </w:num>
  <w:num w:numId="22">
    <w:abstractNumId w:val="30"/>
  </w:num>
  <w:num w:numId="23">
    <w:abstractNumId w:val="27"/>
  </w:num>
  <w:num w:numId="24">
    <w:abstractNumId w:val="11"/>
  </w:num>
  <w:num w:numId="25">
    <w:abstractNumId w:val="5"/>
  </w:num>
  <w:num w:numId="26">
    <w:abstractNumId w:val="0"/>
  </w:num>
  <w:num w:numId="27">
    <w:abstractNumId w:val="13"/>
  </w:num>
  <w:num w:numId="28">
    <w:abstractNumId w:val="20"/>
  </w:num>
  <w:num w:numId="29">
    <w:abstractNumId w:val="18"/>
  </w:num>
  <w:num w:numId="30">
    <w:abstractNumId w:val="1"/>
  </w:num>
  <w:num w:numId="31">
    <w:abstractNumId w:val="3"/>
  </w:num>
  <w:num w:numId="32">
    <w:abstractNumId w:val="28"/>
  </w:num>
  <w:num w:numId="33">
    <w:abstractNumId w:val="21"/>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F4E"/>
    <w:rsid w:val="000019D8"/>
    <w:rsid w:val="00006736"/>
    <w:rsid w:val="00006A97"/>
    <w:rsid w:val="0001123B"/>
    <w:rsid w:val="00012A7F"/>
    <w:rsid w:val="00017A3A"/>
    <w:rsid w:val="00036E42"/>
    <w:rsid w:val="00041EA3"/>
    <w:rsid w:val="0004373B"/>
    <w:rsid w:val="000448FA"/>
    <w:rsid w:val="00053A42"/>
    <w:rsid w:val="0005497D"/>
    <w:rsid w:val="0005517D"/>
    <w:rsid w:val="00057BCA"/>
    <w:rsid w:val="000604B4"/>
    <w:rsid w:val="0006133D"/>
    <w:rsid w:val="00063585"/>
    <w:rsid w:val="0006499F"/>
    <w:rsid w:val="0006619D"/>
    <w:rsid w:val="0006620F"/>
    <w:rsid w:val="00071CD0"/>
    <w:rsid w:val="00074FCC"/>
    <w:rsid w:val="00075692"/>
    <w:rsid w:val="00087B8D"/>
    <w:rsid w:val="00090B51"/>
    <w:rsid w:val="00093D67"/>
    <w:rsid w:val="00093E60"/>
    <w:rsid w:val="000A0298"/>
    <w:rsid w:val="000A1183"/>
    <w:rsid w:val="000A18B7"/>
    <w:rsid w:val="000A213A"/>
    <w:rsid w:val="000A2C1E"/>
    <w:rsid w:val="000A4697"/>
    <w:rsid w:val="000B1FDF"/>
    <w:rsid w:val="000B2728"/>
    <w:rsid w:val="000B3943"/>
    <w:rsid w:val="000B4477"/>
    <w:rsid w:val="000C0704"/>
    <w:rsid w:val="000C076E"/>
    <w:rsid w:val="000C0E8C"/>
    <w:rsid w:val="000C2B07"/>
    <w:rsid w:val="000C39CC"/>
    <w:rsid w:val="000C63BF"/>
    <w:rsid w:val="000C7566"/>
    <w:rsid w:val="000D188E"/>
    <w:rsid w:val="000D5335"/>
    <w:rsid w:val="000E7B86"/>
    <w:rsid w:val="000F064B"/>
    <w:rsid w:val="000F2B66"/>
    <w:rsid w:val="000F3D83"/>
    <w:rsid w:val="000F5116"/>
    <w:rsid w:val="00100F12"/>
    <w:rsid w:val="001020A6"/>
    <w:rsid w:val="00103589"/>
    <w:rsid w:val="001045C9"/>
    <w:rsid w:val="00107CC1"/>
    <w:rsid w:val="00111A92"/>
    <w:rsid w:val="00112457"/>
    <w:rsid w:val="001145C3"/>
    <w:rsid w:val="001161D2"/>
    <w:rsid w:val="00130293"/>
    <w:rsid w:val="00131DF1"/>
    <w:rsid w:val="00132C38"/>
    <w:rsid w:val="00133984"/>
    <w:rsid w:val="001365C4"/>
    <w:rsid w:val="00137822"/>
    <w:rsid w:val="0014147D"/>
    <w:rsid w:val="00141D29"/>
    <w:rsid w:val="0014506A"/>
    <w:rsid w:val="0014728F"/>
    <w:rsid w:val="00150CBF"/>
    <w:rsid w:val="00150EEC"/>
    <w:rsid w:val="001521A2"/>
    <w:rsid w:val="00152358"/>
    <w:rsid w:val="0015347D"/>
    <w:rsid w:val="0015392A"/>
    <w:rsid w:val="00155BFF"/>
    <w:rsid w:val="00160F66"/>
    <w:rsid w:val="001633AF"/>
    <w:rsid w:val="00166A6C"/>
    <w:rsid w:val="00173EDD"/>
    <w:rsid w:val="0017402B"/>
    <w:rsid w:val="00181D37"/>
    <w:rsid w:val="001835B7"/>
    <w:rsid w:val="0018426B"/>
    <w:rsid w:val="00185A37"/>
    <w:rsid w:val="00192EF2"/>
    <w:rsid w:val="00194309"/>
    <w:rsid w:val="0019660E"/>
    <w:rsid w:val="001A6728"/>
    <w:rsid w:val="001B39E2"/>
    <w:rsid w:val="001C2B26"/>
    <w:rsid w:val="001C32A3"/>
    <w:rsid w:val="001C37BF"/>
    <w:rsid w:val="001C3A32"/>
    <w:rsid w:val="001D4F09"/>
    <w:rsid w:val="001E5850"/>
    <w:rsid w:val="001F1482"/>
    <w:rsid w:val="001F20D7"/>
    <w:rsid w:val="001F4C43"/>
    <w:rsid w:val="001F7744"/>
    <w:rsid w:val="002014EB"/>
    <w:rsid w:val="00201AEC"/>
    <w:rsid w:val="002027CB"/>
    <w:rsid w:val="00202B1A"/>
    <w:rsid w:val="00204979"/>
    <w:rsid w:val="00211D69"/>
    <w:rsid w:val="002179DB"/>
    <w:rsid w:val="00223EB3"/>
    <w:rsid w:val="00227E48"/>
    <w:rsid w:val="00230577"/>
    <w:rsid w:val="0023209D"/>
    <w:rsid w:val="00232E50"/>
    <w:rsid w:val="002333F8"/>
    <w:rsid w:val="00233D79"/>
    <w:rsid w:val="00237657"/>
    <w:rsid w:val="00242BA7"/>
    <w:rsid w:val="002437B5"/>
    <w:rsid w:val="00244EF1"/>
    <w:rsid w:val="00246F21"/>
    <w:rsid w:val="00253E78"/>
    <w:rsid w:val="00260377"/>
    <w:rsid w:val="00261222"/>
    <w:rsid w:val="00261ED0"/>
    <w:rsid w:val="00262C3C"/>
    <w:rsid w:val="00264C88"/>
    <w:rsid w:val="0026532C"/>
    <w:rsid w:val="0026575D"/>
    <w:rsid w:val="002705B0"/>
    <w:rsid w:val="002717A6"/>
    <w:rsid w:val="00272015"/>
    <w:rsid w:val="00273BE7"/>
    <w:rsid w:val="00273C10"/>
    <w:rsid w:val="00274179"/>
    <w:rsid w:val="00274B4C"/>
    <w:rsid w:val="00276264"/>
    <w:rsid w:val="00281DCA"/>
    <w:rsid w:val="0028205D"/>
    <w:rsid w:val="00286049"/>
    <w:rsid w:val="00297B04"/>
    <w:rsid w:val="002A056C"/>
    <w:rsid w:val="002A36B6"/>
    <w:rsid w:val="002A66A5"/>
    <w:rsid w:val="002A6EBB"/>
    <w:rsid w:val="002B21E9"/>
    <w:rsid w:val="002B2B87"/>
    <w:rsid w:val="002B4E0F"/>
    <w:rsid w:val="002B5754"/>
    <w:rsid w:val="002C1817"/>
    <w:rsid w:val="002C6B62"/>
    <w:rsid w:val="002C7026"/>
    <w:rsid w:val="002C7E08"/>
    <w:rsid w:val="002D089F"/>
    <w:rsid w:val="002D5635"/>
    <w:rsid w:val="002D5922"/>
    <w:rsid w:val="002D65E8"/>
    <w:rsid w:val="002D7D32"/>
    <w:rsid w:val="002E02E5"/>
    <w:rsid w:val="002E0478"/>
    <w:rsid w:val="002E0791"/>
    <w:rsid w:val="002E1B92"/>
    <w:rsid w:val="002E36B8"/>
    <w:rsid w:val="002E7B81"/>
    <w:rsid w:val="002F09FB"/>
    <w:rsid w:val="002F0FE3"/>
    <w:rsid w:val="002F1AF0"/>
    <w:rsid w:val="002F2530"/>
    <w:rsid w:val="002F272A"/>
    <w:rsid w:val="002F3225"/>
    <w:rsid w:val="002F53B4"/>
    <w:rsid w:val="002F76D6"/>
    <w:rsid w:val="00303506"/>
    <w:rsid w:val="00307057"/>
    <w:rsid w:val="00312819"/>
    <w:rsid w:val="00312E9C"/>
    <w:rsid w:val="00313875"/>
    <w:rsid w:val="003203BF"/>
    <w:rsid w:val="00321369"/>
    <w:rsid w:val="00330787"/>
    <w:rsid w:val="00337493"/>
    <w:rsid w:val="00341B87"/>
    <w:rsid w:val="0034285F"/>
    <w:rsid w:val="00343FF1"/>
    <w:rsid w:val="003464A4"/>
    <w:rsid w:val="00351684"/>
    <w:rsid w:val="00354458"/>
    <w:rsid w:val="00356DD9"/>
    <w:rsid w:val="00363653"/>
    <w:rsid w:val="0036509D"/>
    <w:rsid w:val="0037228C"/>
    <w:rsid w:val="003738FD"/>
    <w:rsid w:val="003810BE"/>
    <w:rsid w:val="00381315"/>
    <w:rsid w:val="00386271"/>
    <w:rsid w:val="00386F6C"/>
    <w:rsid w:val="00387709"/>
    <w:rsid w:val="00387794"/>
    <w:rsid w:val="00397162"/>
    <w:rsid w:val="003A335E"/>
    <w:rsid w:val="003A3DD2"/>
    <w:rsid w:val="003B3166"/>
    <w:rsid w:val="003B3573"/>
    <w:rsid w:val="003B5813"/>
    <w:rsid w:val="003B781A"/>
    <w:rsid w:val="003C03EA"/>
    <w:rsid w:val="003C196B"/>
    <w:rsid w:val="003C6E1D"/>
    <w:rsid w:val="003D058C"/>
    <w:rsid w:val="003D4409"/>
    <w:rsid w:val="003D76B1"/>
    <w:rsid w:val="003E17A6"/>
    <w:rsid w:val="003E4AA5"/>
    <w:rsid w:val="003F1CEC"/>
    <w:rsid w:val="003F43BF"/>
    <w:rsid w:val="003F6BE4"/>
    <w:rsid w:val="00403CF8"/>
    <w:rsid w:val="004067EC"/>
    <w:rsid w:val="00407459"/>
    <w:rsid w:val="00414D01"/>
    <w:rsid w:val="004170FE"/>
    <w:rsid w:val="004209E6"/>
    <w:rsid w:val="0042324B"/>
    <w:rsid w:val="004234E8"/>
    <w:rsid w:val="004240B1"/>
    <w:rsid w:val="00426805"/>
    <w:rsid w:val="00430150"/>
    <w:rsid w:val="004302F9"/>
    <w:rsid w:val="004310C4"/>
    <w:rsid w:val="0043229B"/>
    <w:rsid w:val="004338C4"/>
    <w:rsid w:val="00435287"/>
    <w:rsid w:val="00440A22"/>
    <w:rsid w:val="00444439"/>
    <w:rsid w:val="0045550E"/>
    <w:rsid w:val="00456456"/>
    <w:rsid w:val="004564A5"/>
    <w:rsid w:val="00460CC4"/>
    <w:rsid w:val="00462367"/>
    <w:rsid w:val="0046490C"/>
    <w:rsid w:val="00470287"/>
    <w:rsid w:val="00470733"/>
    <w:rsid w:val="00474CCD"/>
    <w:rsid w:val="0047504B"/>
    <w:rsid w:val="00477C53"/>
    <w:rsid w:val="00485380"/>
    <w:rsid w:val="004857F7"/>
    <w:rsid w:val="004871E1"/>
    <w:rsid w:val="00493D87"/>
    <w:rsid w:val="004950D4"/>
    <w:rsid w:val="004A0506"/>
    <w:rsid w:val="004A0FE4"/>
    <w:rsid w:val="004A2342"/>
    <w:rsid w:val="004A2F62"/>
    <w:rsid w:val="004B1DB8"/>
    <w:rsid w:val="004B2F01"/>
    <w:rsid w:val="004B4182"/>
    <w:rsid w:val="004B4538"/>
    <w:rsid w:val="004B4D50"/>
    <w:rsid w:val="004B5AC8"/>
    <w:rsid w:val="004B6FB6"/>
    <w:rsid w:val="004C1387"/>
    <w:rsid w:val="004C3423"/>
    <w:rsid w:val="004C571D"/>
    <w:rsid w:val="004D35A2"/>
    <w:rsid w:val="004D5FD1"/>
    <w:rsid w:val="004F6207"/>
    <w:rsid w:val="004F7C93"/>
    <w:rsid w:val="00506105"/>
    <w:rsid w:val="00510193"/>
    <w:rsid w:val="00512132"/>
    <w:rsid w:val="00513162"/>
    <w:rsid w:val="005160CE"/>
    <w:rsid w:val="00525809"/>
    <w:rsid w:val="00530A04"/>
    <w:rsid w:val="00535130"/>
    <w:rsid w:val="00537302"/>
    <w:rsid w:val="00541129"/>
    <w:rsid w:val="005475A2"/>
    <w:rsid w:val="00552D5E"/>
    <w:rsid w:val="00555509"/>
    <w:rsid w:val="00557ED4"/>
    <w:rsid w:val="00561C5B"/>
    <w:rsid w:val="00564F2D"/>
    <w:rsid w:val="00566CDA"/>
    <w:rsid w:val="0056727E"/>
    <w:rsid w:val="00567BA6"/>
    <w:rsid w:val="00570033"/>
    <w:rsid w:val="00570147"/>
    <w:rsid w:val="0057307E"/>
    <w:rsid w:val="00573A4C"/>
    <w:rsid w:val="00574B79"/>
    <w:rsid w:val="00574D12"/>
    <w:rsid w:val="005800B4"/>
    <w:rsid w:val="0058070B"/>
    <w:rsid w:val="00580CFC"/>
    <w:rsid w:val="0058296F"/>
    <w:rsid w:val="005908F8"/>
    <w:rsid w:val="00595E80"/>
    <w:rsid w:val="0059650E"/>
    <w:rsid w:val="00596953"/>
    <w:rsid w:val="0059788A"/>
    <w:rsid w:val="00597CCA"/>
    <w:rsid w:val="005A0296"/>
    <w:rsid w:val="005A1A37"/>
    <w:rsid w:val="005A53B4"/>
    <w:rsid w:val="005A6030"/>
    <w:rsid w:val="005A7397"/>
    <w:rsid w:val="005B51D8"/>
    <w:rsid w:val="005B57AD"/>
    <w:rsid w:val="005B722E"/>
    <w:rsid w:val="005C02FE"/>
    <w:rsid w:val="005C50AC"/>
    <w:rsid w:val="005C6406"/>
    <w:rsid w:val="005D255D"/>
    <w:rsid w:val="005D69D1"/>
    <w:rsid w:val="005E210D"/>
    <w:rsid w:val="005F2425"/>
    <w:rsid w:val="005F5EC7"/>
    <w:rsid w:val="005F7207"/>
    <w:rsid w:val="005F7FCF"/>
    <w:rsid w:val="0060319E"/>
    <w:rsid w:val="00607691"/>
    <w:rsid w:val="0061062C"/>
    <w:rsid w:val="00613183"/>
    <w:rsid w:val="006133F0"/>
    <w:rsid w:val="00616888"/>
    <w:rsid w:val="006176BE"/>
    <w:rsid w:val="006212CB"/>
    <w:rsid w:val="0062152F"/>
    <w:rsid w:val="006217CE"/>
    <w:rsid w:val="00621DFE"/>
    <w:rsid w:val="00625DB3"/>
    <w:rsid w:val="006279F9"/>
    <w:rsid w:val="00632E1D"/>
    <w:rsid w:val="00635AA7"/>
    <w:rsid w:val="006369EE"/>
    <w:rsid w:val="00645E74"/>
    <w:rsid w:val="0064700E"/>
    <w:rsid w:val="00650183"/>
    <w:rsid w:val="00650677"/>
    <w:rsid w:val="00655CC5"/>
    <w:rsid w:val="00657CF6"/>
    <w:rsid w:val="00672D5E"/>
    <w:rsid w:val="006736A9"/>
    <w:rsid w:val="00673BC7"/>
    <w:rsid w:val="00674975"/>
    <w:rsid w:val="00675D39"/>
    <w:rsid w:val="00683195"/>
    <w:rsid w:val="0068560B"/>
    <w:rsid w:val="006860D5"/>
    <w:rsid w:val="00692F65"/>
    <w:rsid w:val="00694EA0"/>
    <w:rsid w:val="006A1277"/>
    <w:rsid w:val="006A2602"/>
    <w:rsid w:val="006A2D41"/>
    <w:rsid w:val="006A42CC"/>
    <w:rsid w:val="006A6302"/>
    <w:rsid w:val="006A67E1"/>
    <w:rsid w:val="006A70FB"/>
    <w:rsid w:val="006B6908"/>
    <w:rsid w:val="006C36FB"/>
    <w:rsid w:val="006C75A2"/>
    <w:rsid w:val="006C7D62"/>
    <w:rsid w:val="006D0B23"/>
    <w:rsid w:val="006D2426"/>
    <w:rsid w:val="006D2ED6"/>
    <w:rsid w:val="006D5685"/>
    <w:rsid w:val="006E1987"/>
    <w:rsid w:val="006E23B2"/>
    <w:rsid w:val="006E5207"/>
    <w:rsid w:val="006F236F"/>
    <w:rsid w:val="006F5C70"/>
    <w:rsid w:val="006F6A20"/>
    <w:rsid w:val="007047B2"/>
    <w:rsid w:val="00704DE7"/>
    <w:rsid w:val="00706868"/>
    <w:rsid w:val="007078B8"/>
    <w:rsid w:val="00715E32"/>
    <w:rsid w:val="007162D1"/>
    <w:rsid w:val="00716463"/>
    <w:rsid w:val="0071706E"/>
    <w:rsid w:val="00727292"/>
    <w:rsid w:val="00734A6D"/>
    <w:rsid w:val="00736AAD"/>
    <w:rsid w:val="00742F6A"/>
    <w:rsid w:val="007446E8"/>
    <w:rsid w:val="00751553"/>
    <w:rsid w:val="0075165E"/>
    <w:rsid w:val="007534BD"/>
    <w:rsid w:val="00754E10"/>
    <w:rsid w:val="00757D0D"/>
    <w:rsid w:val="00762A29"/>
    <w:rsid w:val="0076327D"/>
    <w:rsid w:val="0076518A"/>
    <w:rsid w:val="00767745"/>
    <w:rsid w:val="007678DD"/>
    <w:rsid w:val="007707FC"/>
    <w:rsid w:val="00770BE3"/>
    <w:rsid w:val="0077177A"/>
    <w:rsid w:val="007728A8"/>
    <w:rsid w:val="00785A76"/>
    <w:rsid w:val="00787852"/>
    <w:rsid w:val="007915BC"/>
    <w:rsid w:val="00793F56"/>
    <w:rsid w:val="007941A1"/>
    <w:rsid w:val="007967FA"/>
    <w:rsid w:val="00797E7A"/>
    <w:rsid w:val="007A0EA6"/>
    <w:rsid w:val="007A2D9E"/>
    <w:rsid w:val="007B0381"/>
    <w:rsid w:val="007B0F3D"/>
    <w:rsid w:val="007B148D"/>
    <w:rsid w:val="007B18C8"/>
    <w:rsid w:val="007B242A"/>
    <w:rsid w:val="007B28DE"/>
    <w:rsid w:val="007B7A5F"/>
    <w:rsid w:val="007C0AAE"/>
    <w:rsid w:val="007C238C"/>
    <w:rsid w:val="007C36BE"/>
    <w:rsid w:val="007C50A4"/>
    <w:rsid w:val="007C5B6C"/>
    <w:rsid w:val="007D243A"/>
    <w:rsid w:val="007D4266"/>
    <w:rsid w:val="007D53ED"/>
    <w:rsid w:val="007D6001"/>
    <w:rsid w:val="007D7F94"/>
    <w:rsid w:val="007E1B76"/>
    <w:rsid w:val="007E219A"/>
    <w:rsid w:val="007E37BF"/>
    <w:rsid w:val="007E6593"/>
    <w:rsid w:val="007F1101"/>
    <w:rsid w:val="007F2CB1"/>
    <w:rsid w:val="0080381D"/>
    <w:rsid w:val="00803D20"/>
    <w:rsid w:val="008112A0"/>
    <w:rsid w:val="00813D50"/>
    <w:rsid w:val="0081696D"/>
    <w:rsid w:val="00816E01"/>
    <w:rsid w:val="008173D0"/>
    <w:rsid w:val="008228A4"/>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C81"/>
    <w:rsid w:val="00844CE0"/>
    <w:rsid w:val="00844F74"/>
    <w:rsid w:val="00846382"/>
    <w:rsid w:val="0084762D"/>
    <w:rsid w:val="00850F57"/>
    <w:rsid w:val="008536C2"/>
    <w:rsid w:val="008540B2"/>
    <w:rsid w:val="008600C7"/>
    <w:rsid w:val="008617D0"/>
    <w:rsid w:val="00861A60"/>
    <w:rsid w:val="00862357"/>
    <w:rsid w:val="00862D02"/>
    <w:rsid w:val="0086300C"/>
    <w:rsid w:val="008637B9"/>
    <w:rsid w:val="00864194"/>
    <w:rsid w:val="00870399"/>
    <w:rsid w:val="008711EC"/>
    <w:rsid w:val="008718FE"/>
    <w:rsid w:val="00872946"/>
    <w:rsid w:val="0088176D"/>
    <w:rsid w:val="00883928"/>
    <w:rsid w:val="00883DDE"/>
    <w:rsid w:val="0088453C"/>
    <w:rsid w:val="00891D73"/>
    <w:rsid w:val="00892A44"/>
    <w:rsid w:val="00893F56"/>
    <w:rsid w:val="00896909"/>
    <w:rsid w:val="008A2DE8"/>
    <w:rsid w:val="008A312D"/>
    <w:rsid w:val="008A3E09"/>
    <w:rsid w:val="008A3E57"/>
    <w:rsid w:val="008A77A7"/>
    <w:rsid w:val="008B3F34"/>
    <w:rsid w:val="008C0AF1"/>
    <w:rsid w:val="008C4202"/>
    <w:rsid w:val="008C56B9"/>
    <w:rsid w:val="008D05E0"/>
    <w:rsid w:val="008D22D0"/>
    <w:rsid w:val="008D2600"/>
    <w:rsid w:val="008D6E25"/>
    <w:rsid w:val="008D6FA6"/>
    <w:rsid w:val="008E0AC0"/>
    <w:rsid w:val="008E221A"/>
    <w:rsid w:val="008E3FFE"/>
    <w:rsid w:val="008E60BE"/>
    <w:rsid w:val="008E6B74"/>
    <w:rsid w:val="008E6EE6"/>
    <w:rsid w:val="008F0FAF"/>
    <w:rsid w:val="008F1A3B"/>
    <w:rsid w:val="008F24CB"/>
    <w:rsid w:val="008F46CD"/>
    <w:rsid w:val="008F6480"/>
    <w:rsid w:val="008F7740"/>
    <w:rsid w:val="00900CA2"/>
    <w:rsid w:val="00901DDB"/>
    <w:rsid w:val="00903653"/>
    <w:rsid w:val="00903E2F"/>
    <w:rsid w:val="00904024"/>
    <w:rsid w:val="00910A52"/>
    <w:rsid w:val="00911479"/>
    <w:rsid w:val="0091484D"/>
    <w:rsid w:val="009226CD"/>
    <w:rsid w:val="00925E71"/>
    <w:rsid w:val="00932897"/>
    <w:rsid w:val="0093329F"/>
    <w:rsid w:val="00934A57"/>
    <w:rsid w:val="00937043"/>
    <w:rsid w:val="009445D3"/>
    <w:rsid w:val="00953F10"/>
    <w:rsid w:val="00955A8A"/>
    <w:rsid w:val="0096400D"/>
    <w:rsid w:val="00966600"/>
    <w:rsid w:val="009671D9"/>
    <w:rsid w:val="00971352"/>
    <w:rsid w:val="00972AB2"/>
    <w:rsid w:val="00975E5B"/>
    <w:rsid w:val="00977C8F"/>
    <w:rsid w:val="00977F94"/>
    <w:rsid w:val="00980343"/>
    <w:rsid w:val="0098185D"/>
    <w:rsid w:val="009863E9"/>
    <w:rsid w:val="00992E20"/>
    <w:rsid w:val="009936FC"/>
    <w:rsid w:val="00993925"/>
    <w:rsid w:val="00993977"/>
    <w:rsid w:val="00997A21"/>
    <w:rsid w:val="009A02F0"/>
    <w:rsid w:val="009A05D1"/>
    <w:rsid w:val="009A28AC"/>
    <w:rsid w:val="009A3A5B"/>
    <w:rsid w:val="009A3F2A"/>
    <w:rsid w:val="009A5CE1"/>
    <w:rsid w:val="009B2AAC"/>
    <w:rsid w:val="009B3521"/>
    <w:rsid w:val="009B541C"/>
    <w:rsid w:val="009C07C1"/>
    <w:rsid w:val="009C1D5A"/>
    <w:rsid w:val="009C4460"/>
    <w:rsid w:val="009D7192"/>
    <w:rsid w:val="009E0E38"/>
    <w:rsid w:val="009E1946"/>
    <w:rsid w:val="009E1A35"/>
    <w:rsid w:val="009E512D"/>
    <w:rsid w:val="009F09AA"/>
    <w:rsid w:val="009F2C16"/>
    <w:rsid w:val="009F2C1B"/>
    <w:rsid w:val="009F335C"/>
    <w:rsid w:val="009F6E6A"/>
    <w:rsid w:val="009F74EB"/>
    <w:rsid w:val="00A002B5"/>
    <w:rsid w:val="00A00D26"/>
    <w:rsid w:val="00A0260C"/>
    <w:rsid w:val="00A041B5"/>
    <w:rsid w:val="00A04F8C"/>
    <w:rsid w:val="00A050F1"/>
    <w:rsid w:val="00A05158"/>
    <w:rsid w:val="00A10699"/>
    <w:rsid w:val="00A13BF5"/>
    <w:rsid w:val="00A14837"/>
    <w:rsid w:val="00A225E3"/>
    <w:rsid w:val="00A22F36"/>
    <w:rsid w:val="00A23A26"/>
    <w:rsid w:val="00A24A8F"/>
    <w:rsid w:val="00A25708"/>
    <w:rsid w:val="00A25BF0"/>
    <w:rsid w:val="00A3026E"/>
    <w:rsid w:val="00A30F4E"/>
    <w:rsid w:val="00A4576A"/>
    <w:rsid w:val="00A45AD0"/>
    <w:rsid w:val="00A45EE9"/>
    <w:rsid w:val="00A47C5B"/>
    <w:rsid w:val="00A53690"/>
    <w:rsid w:val="00A53C14"/>
    <w:rsid w:val="00A5669C"/>
    <w:rsid w:val="00A61410"/>
    <w:rsid w:val="00A6198A"/>
    <w:rsid w:val="00A65108"/>
    <w:rsid w:val="00A658E5"/>
    <w:rsid w:val="00A7067F"/>
    <w:rsid w:val="00A707A7"/>
    <w:rsid w:val="00A718FD"/>
    <w:rsid w:val="00A72341"/>
    <w:rsid w:val="00A776ED"/>
    <w:rsid w:val="00A80E50"/>
    <w:rsid w:val="00A8137F"/>
    <w:rsid w:val="00A83663"/>
    <w:rsid w:val="00A83B0F"/>
    <w:rsid w:val="00A84216"/>
    <w:rsid w:val="00A8447C"/>
    <w:rsid w:val="00A90BFA"/>
    <w:rsid w:val="00A92BF3"/>
    <w:rsid w:val="00A943C8"/>
    <w:rsid w:val="00A950A4"/>
    <w:rsid w:val="00A9520D"/>
    <w:rsid w:val="00A9747D"/>
    <w:rsid w:val="00A97D25"/>
    <w:rsid w:val="00AA00A6"/>
    <w:rsid w:val="00AA133D"/>
    <w:rsid w:val="00AA66F5"/>
    <w:rsid w:val="00AA6BA8"/>
    <w:rsid w:val="00AA7F5A"/>
    <w:rsid w:val="00AB033F"/>
    <w:rsid w:val="00AB2340"/>
    <w:rsid w:val="00AB5FE4"/>
    <w:rsid w:val="00AB659D"/>
    <w:rsid w:val="00AC229F"/>
    <w:rsid w:val="00AC7529"/>
    <w:rsid w:val="00AD6EF1"/>
    <w:rsid w:val="00AD7671"/>
    <w:rsid w:val="00AE53E8"/>
    <w:rsid w:val="00AE6149"/>
    <w:rsid w:val="00AE6FE4"/>
    <w:rsid w:val="00AF2059"/>
    <w:rsid w:val="00AF3D84"/>
    <w:rsid w:val="00AF4161"/>
    <w:rsid w:val="00AF580B"/>
    <w:rsid w:val="00B007C8"/>
    <w:rsid w:val="00B01865"/>
    <w:rsid w:val="00B10751"/>
    <w:rsid w:val="00B11BFB"/>
    <w:rsid w:val="00B14382"/>
    <w:rsid w:val="00B14410"/>
    <w:rsid w:val="00B15CE7"/>
    <w:rsid w:val="00B15E61"/>
    <w:rsid w:val="00B17FEA"/>
    <w:rsid w:val="00B24F35"/>
    <w:rsid w:val="00B27691"/>
    <w:rsid w:val="00B32C88"/>
    <w:rsid w:val="00B34747"/>
    <w:rsid w:val="00B42E49"/>
    <w:rsid w:val="00B50903"/>
    <w:rsid w:val="00B62FFE"/>
    <w:rsid w:val="00B639E3"/>
    <w:rsid w:val="00B65013"/>
    <w:rsid w:val="00B66E05"/>
    <w:rsid w:val="00B674FB"/>
    <w:rsid w:val="00B702C6"/>
    <w:rsid w:val="00B7123A"/>
    <w:rsid w:val="00B7435C"/>
    <w:rsid w:val="00B76F38"/>
    <w:rsid w:val="00B8085D"/>
    <w:rsid w:val="00B81EFF"/>
    <w:rsid w:val="00B836BB"/>
    <w:rsid w:val="00B84122"/>
    <w:rsid w:val="00B862B0"/>
    <w:rsid w:val="00B9170C"/>
    <w:rsid w:val="00BA2B7C"/>
    <w:rsid w:val="00BB142A"/>
    <w:rsid w:val="00BB34B9"/>
    <w:rsid w:val="00BB35C2"/>
    <w:rsid w:val="00BB553B"/>
    <w:rsid w:val="00BC28D7"/>
    <w:rsid w:val="00BC376C"/>
    <w:rsid w:val="00BC6321"/>
    <w:rsid w:val="00BC745B"/>
    <w:rsid w:val="00BC7817"/>
    <w:rsid w:val="00BD3819"/>
    <w:rsid w:val="00BD642D"/>
    <w:rsid w:val="00BD6988"/>
    <w:rsid w:val="00BE1A77"/>
    <w:rsid w:val="00BE2439"/>
    <w:rsid w:val="00BE4742"/>
    <w:rsid w:val="00BE7383"/>
    <w:rsid w:val="00BE754D"/>
    <w:rsid w:val="00BF1DB9"/>
    <w:rsid w:val="00BF4527"/>
    <w:rsid w:val="00BF4890"/>
    <w:rsid w:val="00BF69DE"/>
    <w:rsid w:val="00BF6D10"/>
    <w:rsid w:val="00BF6E79"/>
    <w:rsid w:val="00C03F6C"/>
    <w:rsid w:val="00C12108"/>
    <w:rsid w:val="00C121D9"/>
    <w:rsid w:val="00C13453"/>
    <w:rsid w:val="00C220F9"/>
    <w:rsid w:val="00C2541C"/>
    <w:rsid w:val="00C26862"/>
    <w:rsid w:val="00C30458"/>
    <w:rsid w:val="00C31DA6"/>
    <w:rsid w:val="00C327E2"/>
    <w:rsid w:val="00C33260"/>
    <w:rsid w:val="00C37D37"/>
    <w:rsid w:val="00C4598F"/>
    <w:rsid w:val="00C46CDD"/>
    <w:rsid w:val="00C47EE9"/>
    <w:rsid w:val="00C50360"/>
    <w:rsid w:val="00C54E12"/>
    <w:rsid w:val="00C55468"/>
    <w:rsid w:val="00C576C1"/>
    <w:rsid w:val="00C622C3"/>
    <w:rsid w:val="00C63BD5"/>
    <w:rsid w:val="00C715B8"/>
    <w:rsid w:val="00C71F04"/>
    <w:rsid w:val="00C73F70"/>
    <w:rsid w:val="00C74906"/>
    <w:rsid w:val="00C81B40"/>
    <w:rsid w:val="00C81FEA"/>
    <w:rsid w:val="00C83969"/>
    <w:rsid w:val="00C85DA7"/>
    <w:rsid w:val="00C86C95"/>
    <w:rsid w:val="00CA05EB"/>
    <w:rsid w:val="00CA3515"/>
    <w:rsid w:val="00CA3A05"/>
    <w:rsid w:val="00CB14E9"/>
    <w:rsid w:val="00CB3A5E"/>
    <w:rsid w:val="00CB6D90"/>
    <w:rsid w:val="00CB72C3"/>
    <w:rsid w:val="00CC440F"/>
    <w:rsid w:val="00CC45E4"/>
    <w:rsid w:val="00CD019F"/>
    <w:rsid w:val="00CD27C5"/>
    <w:rsid w:val="00CD394B"/>
    <w:rsid w:val="00CD52C0"/>
    <w:rsid w:val="00CE4169"/>
    <w:rsid w:val="00CE7894"/>
    <w:rsid w:val="00CF06A1"/>
    <w:rsid w:val="00CF1188"/>
    <w:rsid w:val="00CF1467"/>
    <w:rsid w:val="00CF48D6"/>
    <w:rsid w:val="00CF57D6"/>
    <w:rsid w:val="00CF6C1B"/>
    <w:rsid w:val="00D01225"/>
    <w:rsid w:val="00D019D5"/>
    <w:rsid w:val="00D040FE"/>
    <w:rsid w:val="00D043DA"/>
    <w:rsid w:val="00D168FD"/>
    <w:rsid w:val="00D16F64"/>
    <w:rsid w:val="00D2472C"/>
    <w:rsid w:val="00D279BA"/>
    <w:rsid w:val="00D31043"/>
    <w:rsid w:val="00D33B14"/>
    <w:rsid w:val="00D350D1"/>
    <w:rsid w:val="00D36628"/>
    <w:rsid w:val="00D3747C"/>
    <w:rsid w:val="00D404B5"/>
    <w:rsid w:val="00D447CB"/>
    <w:rsid w:val="00D47D16"/>
    <w:rsid w:val="00D505F4"/>
    <w:rsid w:val="00D509F0"/>
    <w:rsid w:val="00D512B2"/>
    <w:rsid w:val="00D51CE1"/>
    <w:rsid w:val="00D562F2"/>
    <w:rsid w:val="00D61B93"/>
    <w:rsid w:val="00D67E4A"/>
    <w:rsid w:val="00D763FD"/>
    <w:rsid w:val="00D866F2"/>
    <w:rsid w:val="00D90AD1"/>
    <w:rsid w:val="00D9295F"/>
    <w:rsid w:val="00D941F7"/>
    <w:rsid w:val="00DA4DDF"/>
    <w:rsid w:val="00DB0804"/>
    <w:rsid w:val="00DB2FC4"/>
    <w:rsid w:val="00DB4E8A"/>
    <w:rsid w:val="00DC382A"/>
    <w:rsid w:val="00DC3DE4"/>
    <w:rsid w:val="00DD5D9F"/>
    <w:rsid w:val="00DE1923"/>
    <w:rsid w:val="00DE28FF"/>
    <w:rsid w:val="00DE2B33"/>
    <w:rsid w:val="00DE5003"/>
    <w:rsid w:val="00DE638B"/>
    <w:rsid w:val="00DE72EE"/>
    <w:rsid w:val="00DF37E5"/>
    <w:rsid w:val="00E02CF9"/>
    <w:rsid w:val="00E034FE"/>
    <w:rsid w:val="00E041E5"/>
    <w:rsid w:val="00E04888"/>
    <w:rsid w:val="00E0763B"/>
    <w:rsid w:val="00E10302"/>
    <w:rsid w:val="00E133EF"/>
    <w:rsid w:val="00E14E81"/>
    <w:rsid w:val="00E1691A"/>
    <w:rsid w:val="00E17EC5"/>
    <w:rsid w:val="00E26BFD"/>
    <w:rsid w:val="00E27E90"/>
    <w:rsid w:val="00E33A0A"/>
    <w:rsid w:val="00E33D02"/>
    <w:rsid w:val="00E34F2C"/>
    <w:rsid w:val="00E35D79"/>
    <w:rsid w:val="00E36B98"/>
    <w:rsid w:val="00E42AD1"/>
    <w:rsid w:val="00E4641E"/>
    <w:rsid w:val="00E519AE"/>
    <w:rsid w:val="00E57AF7"/>
    <w:rsid w:val="00E6241B"/>
    <w:rsid w:val="00E64FCC"/>
    <w:rsid w:val="00E703B6"/>
    <w:rsid w:val="00E7109D"/>
    <w:rsid w:val="00E72200"/>
    <w:rsid w:val="00E72B1B"/>
    <w:rsid w:val="00E75D47"/>
    <w:rsid w:val="00E766F5"/>
    <w:rsid w:val="00E76B3D"/>
    <w:rsid w:val="00E82948"/>
    <w:rsid w:val="00E848E7"/>
    <w:rsid w:val="00E90218"/>
    <w:rsid w:val="00E913BB"/>
    <w:rsid w:val="00E9496E"/>
    <w:rsid w:val="00E94F93"/>
    <w:rsid w:val="00E95F2E"/>
    <w:rsid w:val="00EA1508"/>
    <w:rsid w:val="00EA1541"/>
    <w:rsid w:val="00EA16DB"/>
    <w:rsid w:val="00EA32E4"/>
    <w:rsid w:val="00EA469E"/>
    <w:rsid w:val="00EA4ABA"/>
    <w:rsid w:val="00EA7E36"/>
    <w:rsid w:val="00EB0898"/>
    <w:rsid w:val="00EB0B2D"/>
    <w:rsid w:val="00EB25DD"/>
    <w:rsid w:val="00EB627B"/>
    <w:rsid w:val="00EB6D94"/>
    <w:rsid w:val="00EC4183"/>
    <w:rsid w:val="00EC6468"/>
    <w:rsid w:val="00EC6708"/>
    <w:rsid w:val="00ED0606"/>
    <w:rsid w:val="00ED207C"/>
    <w:rsid w:val="00ED325A"/>
    <w:rsid w:val="00ED3F41"/>
    <w:rsid w:val="00ED5615"/>
    <w:rsid w:val="00ED692E"/>
    <w:rsid w:val="00ED69AF"/>
    <w:rsid w:val="00ED6B95"/>
    <w:rsid w:val="00EE1847"/>
    <w:rsid w:val="00EE240E"/>
    <w:rsid w:val="00EE688E"/>
    <w:rsid w:val="00EE69E0"/>
    <w:rsid w:val="00EE6A6D"/>
    <w:rsid w:val="00EF03E2"/>
    <w:rsid w:val="00EF3200"/>
    <w:rsid w:val="00EF5634"/>
    <w:rsid w:val="00EF7F8B"/>
    <w:rsid w:val="00F03814"/>
    <w:rsid w:val="00F07A09"/>
    <w:rsid w:val="00F1390C"/>
    <w:rsid w:val="00F1411B"/>
    <w:rsid w:val="00F14D98"/>
    <w:rsid w:val="00F20C5E"/>
    <w:rsid w:val="00F267B4"/>
    <w:rsid w:val="00F36A1D"/>
    <w:rsid w:val="00F36D8D"/>
    <w:rsid w:val="00F37BB1"/>
    <w:rsid w:val="00F44278"/>
    <w:rsid w:val="00F44DF9"/>
    <w:rsid w:val="00F51B65"/>
    <w:rsid w:val="00F52AAB"/>
    <w:rsid w:val="00F52EB6"/>
    <w:rsid w:val="00F55260"/>
    <w:rsid w:val="00F5587B"/>
    <w:rsid w:val="00F62384"/>
    <w:rsid w:val="00F6316B"/>
    <w:rsid w:val="00F65AE0"/>
    <w:rsid w:val="00F74E38"/>
    <w:rsid w:val="00F7553A"/>
    <w:rsid w:val="00F76D6F"/>
    <w:rsid w:val="00F778B0"/>
    <w:rsid w:val="00F83BC2"/>
    <w:rsid w:val="00F86E91"/>
    <w:rsid w:val="00F92EC1"/>
    <w:rsid w:val="00F93001"/>
    <w:rsid w:val="00F94C47"/>
    <w:rsid w:val="00FA0421"/>
    <w:rsid w:val="00FA3389"/>
    <w:rsid w:val="00FA3476"/>
    <w:rsid w:val="00FA495F"/>
    <w:rsid w:val="00FB0C10"/>
    <w:rsid w:val="00FB3C36"/>
    <w:rsid w:val="00FB4280"/>
    <w:rsid w:val="00FB4933"/>
    <w:rsid w:val="00FB7CCE"/>
    <w:rsid w:val="00FC01C8"/>
    <w:rsid w:val="00FC225C"/>
    <w:rsid w:val="00FC4CBC"/>
    <w:rsid w:val="00FC5027"/>
    <w:rsid w:val="00FC50C7"/>
    <w:rsid w:val="00FC511D"/>
    <w:rsid w:val="00FC68BC"/>
    <w:rsid w:val="00FD11D4"/>
    <w:rsid w:val="00FD225D"/>
    <w:rsid w:val="00FD2384"/>
    <w:rsid w:val="00FE452E"/>
    <w:rsid w:val="00FE4A24"/>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caption" w:uiPriority="99" w:qFormat="1"/>
    <w:lsdException w:name="Title" w:uiPriority="10" w:qFormat="1"/>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uiPriority="99"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C47EE9"/>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6">
    <w:name w:val="heading 6"/>
    <w:basedOn w:val="Normal"/>
    <w:next w:val="Normal"/>
    <w:link w:val="Ttulo6Car"/>
    <w:unhideWhenUsed/>
    <w:qFormat/>
    <w:rsid w:val="00C47EE9"/>
    <w:pPr>
      <w:spacing w:before="240" w:after="60"/>
      <w:outlineLvl w:val="5"/>
    </w:pPr>
    <w:rPr>
      <w:rFonts w:ascii="Calibri" w:hAnsi="Calibri"/>
      <w:b/>
      <w:bCs/>
      <w:sz w:val="22"/>
      <w:szCs w:val="22"/>
    </w:rPr>
  </w:style>
  <w:style w:type="paragraph" w:styleId="Ttulo7">
    <w:name w:val="heading 7"/>
    <w:basedOn w:val="Normal"/>
    <w:next w:val="Normal"/>
    <w:link w:val="Ttulo7Car"/>
    <w:uiPriority w:val="99"/>
    <w:qFormat/>
    <w:rsid w:val="00C47EE9"/>
    <w:pPr>
      <w:keepNext/>
      <w:spacing w:after="0"/>
      <w:ind w:firstLine="0"/>
      <w:jc w:val="center"/>
      <w:outlineLvl w:val="6"/>
    </w:pPr>
    <w:rPr>
      <w:sz w:val="52"/>
      <w:lang w:val="es-ES" w:eastAsia="es-ES"/>
    </w:rPr>
  </w:style>
  <w:style w:type="paragraph" w:styleId="Ttulo8">
    <w:name w:val="heading 8"/>
    <w:basedOn w:val="Normal"/>
    <w:next w:val="Normal"/>
    <w:link w:val="Ttulo8Car"/>
    <w:uiPriority w:val="99"/>
    <w:semiHidden/>
    <w:unhideWhenUsed/>
    <w:qFormat/>
    <w:rsid w:val="00C47EE9"/>
    <w:pPr>
      <w:keepNext/>
      <w:snapToGrid w:val="0"/>
      <w:spacing w:after="0"/>
      <w:ind w:firstLine="0"/>
      <w:jc w:val="center"/>
      <w:outlineLvl w:val="7"/>
    </w:pPr>
    <w:rPr>
      <w:rFonts w:ascii="Arial" w:hAnsi="Arial"/>
      <w:color w:val="000000"/>
      <w:sz w:val="16"/>
      <w:u w:val="single"/>
      <w:lang w:val="es-ES" w:eastAsia="es-ES"/>
    </w:rPr>
  </w:style>
  <w:style w:type="paragraph" w:styleId="Ttulo9">
    <w:name w:val="heading 9"/>
    <w:basedOn w:val="Normal"/>
    <w:next w:val="Normal"/>
    <w:link w:val="Ttulo9Car"/>
    <w:uiPriority w:val="99"/>
    <w:semiHidden/>
    <w:unhideWhenUsed/>
    <w:qFormat/>
    <w:rsid w:val="00C47EE9"/>
    <w:pPr>
      <w:keepNext/>
      <w:snapToGrid w:val="0"/>
      <w:spacing w:after="0"/>
      <w:ind w:firstLine="0"/>
      <w:jc w:val="center"/>
      <w:outlineLvl w:val="8"/>
    </w:pPr>
    <w:rPr>
      <w:rFonts w:ascii="Arial" w:hAnsi="Arial"/>
      <w:b/>
      <w:color w:val="00000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link w:val="recomenCar"/>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CB3A5E"/>
    <w:rPr>
      <w:rFonts w:ascii="Arial" w:hAnsi="Arial"/>
      <w:b/>
      <w:color w:val="000000"/>
      <w:kern w:val="28"/>
      <w:sz w:val="25"/>
      <w:szCs w:val="26"/>
      <w:lang w:val="es-ES_tradnl" w:eastAsia="en-US"/>
    </w:rPr>
  </w:style>
  <w:style w:type="character" w:customStyle="1" w:styleId="atitulo2Car">
    <w:name w:val="atitulo2 Car"/>
    <w:link w:val="atitulo2"/>
    <w:locked/>
    <w:rsid w:val="0028205D"/>
    <w:rPr>
      <w:rFonts w:ascii="Arial" w:hAnsi="Arial"/>
      <w:bCs/>
      <w:iCs/>
      <w:color w:val="000000"/>
      <w:spacing w:val="10"/>
      <w:kern w:val="28"/>
      <w:sz w:val="25"/>
      <w:szCs w:val="26"/>
      <w:lang w:val="es-ES_tradnl" w:eastAsia="en-US"/>
    </w:rPr>
  </w:style>
  <w:style w:type="character" w:customStyle="1" w:styleId="atitulo3Car">
    <w:name w:val="atitulo3 Car"/>
    <w:link w:val="atitulo3"/>
    <w:rsid w:val="0028205D"/>
    <w:rPr>
      <w:rFonts w:ascii="Arial" w:hAnsi="Arial"/>
      <w:i/>
      <w:iCs/>
      <w:color w:val="000000"/>
      <w:spacing w:val="10"/>
      <w:kern w:val="28"/>
      <w:sz w:val="25"/>
      <w:szCs w:val="26"/>
      <w:lang w:val="es-ES_tradnl" w:eastAsia="en-US"/>
    </w:rPr>
  </w:style>
  <w:style w:type="paragraph" w:styleId="Textonotapie">
    <w:name w:val="footnote text"/>
    <w:basedOn w:val="Normal"/>
    <w:link w:val="TextonotapieCar"/>
    <w:rsid w:val="0006619D"/>
  </w:style>
  <w:style w:type="character" w:customStyle="1" w:styleId="TextonotapieCar">
    <w:name w:val="Texto nota pie Car"/>
    <w:basedOn w:val="Fuentedeprrafopredeter"/>
    <w:link w:val="Textonotapie"/>
    <w:rsid w:val="0006619D"/>
    <w:rPr>
      <w:lang w:val="es-ES_tradnl" w:eastAsia="en-US"/>
    </w:rPr>
  </w:style>
  <w:style w:type="character" w:styleId="Refdenotaalpie">
    <w:name w:val="footnote reference"/>
    <w:rsid w:val="0006619D"/>
    <w:rPr>
      <w:vertAlign w:val="superscript"/>
    </w:rPr>
  </w:style>
  <w:style w:type="paragraph" w:styleId="Prrafodelista">
    <w:name w:val="List Paragraph"/>
    <w:basedOn w:val="Normal"/>
    <w:uiPriority w:val="34"/>
    <w:qFormat/>
    <w:rsid w:val="00C47EE9"/>
    <w:pPr>
      <w:ind w:left="720"/>
      <w:contextualSpacing/>
    </w:pPr>
  </w:style>
  <w:style w:type="character" w:customStyle="1" w:styleId="Ttulo4Car">
    <w:name w:val="Título 4 Car"/>
    <w:basedOn w:val="Fuentedeprrafopredeter"/>
    <w:link w:val="Ttulo4"/>
    <w:uiPriority w:val="99"/>
    <w:rsid w:val="00C47EE9"/>
    <w:rPr>
      <w:b/>
      <w:bCs/>
      <w:sz w:val="28"/>
      <w:szCs w:val="28"/>
      <w:lang w:val="es-ES_tradnl" w:eastAsia="en-US"/>
    </w:rPr>
  </w:style>
  <w:style w:type="character" w:customStyle="1" w:styleId="Ttulo6Car">
    <w:name w:val="Título 6 Car"/>
    <w:basedOn w:val="Fuentedeprrafopredeter"/>
    <w:link w:val="Ttulo6"/>
    <w:rsid w:val="00C47EE9"/>
    <w:rPr>
      <w:rFonts w:ascii="Calibri" w:hAnsi="Calibri"/>
      <w:b/>
      <w:bCs/>
      <w:sz w:val="22"/>
      <w:szCs w:val="22"/>
      <w:lang w:val="es-ES_tradnl" w:eastAsia="en-US"/>
    </w:rPr>
  </w:style>
  <w:style w:type="character" w:customStyle="1" w:styleId="Ttulo7Car">
    <w:name w:val="Título 7 Car"/>
    <w:basedOn w:val="Fuentedeprrafopredeter"/>
    <w:link w:val="Ttulo7"/>
    <w:uiPriority w:val="99"/>
    <w:rsid w:val="00C47EE9"/>
    <w:rPr>
      <w:sz w:val="52"/>
    </w:rPr>
  </w:style>
  <w:style w:type="character" w:customStyle="1" w:styleId="Ttulo8Car">
    <w:name w:val="Título 8 Car"/>
    <w:basedOn w:val="Fuentedeprrafopredeter"/>
    <w:link w:val="Ttulo8"/>
    <w:uiPriority w:val="99"/>
    <w:semiHidden/>
    <w:rsid w:val="00C47EE9"/>
    <w:rPr>
      <w:rFonts w:ascii="Arial" w:hAnsi="Arial"/>
      <w:color w:val="000000"/>
      <w:sz w:val="16"/>
      <w:u w:val="single"/>
    </w:rPr>
  </w:style>
  <w:style w:type="character" w:customStyle="1" w:styleId="Ttulo9Car">
    <w:name w:val="Título 9 Car"/>
    <w:basedOn w:val="Fuentedeprrafopredeter"/>
    <w:link w:val="Ttulo9"/>
    <w:uiPriority w:val="99"/>
    <w:semiHidden/>
    <w:rsid w:val="00C47EE9"/>
    <w:rPr>
      <w:rFonts w:ascii="Arial" w:hAnsi="Arial"/>
      <w:b/>
      <w:color w:val="000000"/>
    </w:rPr>
  </w:style>
  <w:style w:type="character" w:customStyle="1" w:styleId="Ttulo1Car">
    <w:name w:val="Título 1 Car"/>
    <w:basedOn w:val="Fuentedeprrafopredeter"/>
    <w:link w:val="Ttulo1"/>
    <w:uiPriority w:val="99"/>
    <w:rsid w:val="00C47EE9"/>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C47EE9"/>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C47EE9"/>
    <w:rPr>
      <w:rFonts w:ascii="Arial" w:hAnsi="Arial" w:cs="Arial"/>
      <w:b/>
      <w:bCs/>
      <w:szCs w:val="26"/>
      <w:lang w:val="es-ES_tradnl" w:eastAsia="en-US"/>
    </w:rPr>
  </w:style>
  <w:style w:type="character" w:customStyle="1" w:styleId="Ttulo5Car">
    <w:name w:val="Título 5 Car"/>
    <w:basedOn w:val="Fuentedeprrafopredeter"/>
    <w:link w:val="Ttulo5"/>
    <w:uiPriority w:val="99"/>
    <w:rsid w:val="00C47EE9"/>
    <w:rPr>
      <w:b/>
      <w:sz w:val="28"/>
      <w:lang w:eastAsia="en-US"/>
    </w:rPr>
  </w:style>
  <w:style w:type="paragraph" w:styleId="Ttulo">
    <w:name w:val="Title"/>
    <w:basedOn w:val="Normal"/>
    <w:next w:val="Normal"/>
    <w:link w:val="TtuloCar"/>
    <w:uiPriority w:val="10"/>
    <w:qFormat/>
    <w:rsid w:val="00C47E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47EE9"/>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C47EE9"/>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47EE9"/>
    <w:rPr>
      <w:rFonts w:asciiTheme="majorHAnsi" w:eastAsiaTheme="majorEastAsia" w:hAnsiTheme="majorHAnsi" w:cstheme="majorBidi"/>
      <w:i/>
      <w:iCs/>
      <w:color w:val="4F81BD" w:themeColor="accent1"/>
      <w:spacing w:val="15"/>
      <w:sz w:val="24"/>
      <w:szCs w:val="24"/>
      <w:lang w:val="es-ES_tradnl" w:eastAsia="en-US"/>
    </w:rPr>
  </w:style>
  <w:style w:type="character" w:styleId="Textoennegrita">
    <w:name w:val="Strong"/>
    <w:basedOn w:val="Fuentedeprrafopredeter"/>
    <w:uiPriority w:val="22"/>
    <w:qFormat/>
    <w:rsid w:val="00C47EE9"/>
    <w:rPr>
      <w:rFonts w:cs="Times New Roman"/>
      <w:b/>
    </w:rPr>
  </w:style>
  <w:style w:type="character" w:styleId="nfasis">
    <w:name w:val="Emphasis"/>
    <w:basedOn w:val="Fuentedeprrafopredeter"/>
    <w:uiPriority w:val="99"/>
    <w:qFormat/>
    <w:rsid w:val="00C47EE9"/>
    <w:rPr>
      <w:rFonts w:cs="Times New Roman"/>
      <w:i/>
      <w:iCs/>
    </w:rPr>
  </w:style>
  <w:style w:type="paragraph" w:styleId="Cita">
    <w:name w:val="Quote"/>
    <w:basedOn w:val="Normal"/>
    <w:next w:val="Normal"/>
    <w:link w:val="CitaCar"/>
    <w:uiPriority w:val="29"/>
    <w:qFormat/>
    <w:rsid w:val="00C47EE9"/>
    <w:rPr>
      <w:i/>
      <w:iCs/>
      <w:color w:val="000000" w:themeColor="text1"/>
    </w:rPr>
  </w:style>
  <w:style w:type="character" w:customStyle="1" w:styleId="CitaCar">
    <w:name w:val="Cita Car"/>
    <w:basedOn w:val="Fuentedeprrafopredeter"/>
    <w:link w:val="Cita"/>
    <w:uiPriority w:val="29"/>
    <w:rsid w:val="00C47EE9"/>
    <w:rPr>
      <w:i/>
      <w:iCs/>
      <w:color w:val="000000" w:themeColor="text1"/>
      <w:lang w:val="es-ES_tradnl" w:eastAsia="en-US"/>
    </w:rPr>
  </w:style>
  <w:style w:type="character" w:styleId="nfasissutil">
    <w:name w:val="Subtle Emphasis"/>
    <w:basedOn w:val="Fuentedeprrafopredeter"/>
    <w:uiPriority w:val="19"/>
    <w:qFormat/>
    <w:rsid w:val="00C47EE9"/>
    <w:rPr>
      <w:i/>
      <w:iCs/>
      <w:color w:val="808080" w:themeColor="text1" w:themeTint="7F"/>
    </w:rPr>
  </w:style>
  <w:style w:type="character" w:styleId="nfasisintenso">
    <w:name w:val="Intense Emphasis"/>
    <w:basedOn w:val="Fuentedeprrafopredeter"/>
    <w:uiPriority w:val="21"/>
    <w:qFormat/>
    <w:rsid w:val="00C47EE9"/>
    <w:rPr>
      <w:b/>
      <w:bCs/>
      <w:i/>
      <w:iCs/>
      <w:color w:val="4F81BD" w:themeColor="accent1"/>
    </w:rPr>
  </w:style>
  <w:style w:type="character" w:styleId="Referenciasutil">
    <w:name w:val="Subtle Reference"/>
    <w:basedOn w:val="Fuentedeprrafopredeter"/>
    <w:uiPriority w:val="31"/>
    <w:qFormat/>
    <w:rsid w:val="00C47EE9"/>
    <w:rPr>
      <w:smallCaps/>
      <w:color w:val="C0504D" w:themeColor="accent2"/>
      <w:u w:val="single"/>
    </w:rPr>
  </w:style>
  <w:style w:type="character" w:styleId="Referenciaintensa">
    <w:name w:val="Intense Reference"/>
    <w:basedOn w:val="Fuentedeprrafopredeter"/>
    <w:uiPriority w:val="32"/>
    <w:qFormat/>
    <w:rsid w:val="00C47EE9"/>
    <w:rPr>
      <w:b/>
      <w:bCs/>
      <w:smallCaps/>
      <w:color w:val="C0504D" w:themeColor="accent2"/>
      <w:spacing w:val="5"/>
      <w:u w:val="single"/>
    </w:rPr>
  </w:style>
  <w:style w:type="character" w:customStyle="1" w:styleId="recomenCar">
    <w:name w:val="recomen Car"/>
    <w:link w:val="recomen"/>
    <w:rsid w:val="00C47EE9"/>
    <w:rPr>
      <w:i/>
      <w:spacing w:val="6"/>
      <w:sz w:val="26"/>
      <w:szCs w:val="24"/>
      <w:lang w:eastAsia="en-US"/>
    </w:rPr>
  </w:style>
  <w:style w:type="paragraph" w:customStyle="1" w:styleId="cuatitul">
    <w:name w:val="cuatitul"/>
    <w:basedOn w:val="Normal"/>
    <w:rsid w:val="00C47EE9"/>
    <w:pPr>
      <w:spacing w:after="60"/>
      <w:ind w:firstLine="0"/>
      <w:jc w:val="center"/>
    </w:pPr>
    <w:rPr>
      <w:rFonts w:ascii="GillSans" w:hAnsi="GillSans"/>
      <w:sz w:val="22"/>
      <w:lang w:eastAsia="es-ES"/>
    </w:rPr>
  </w:style>
  <w:style w:type="paragraph" w:customStyle="1" w:styleId="Tabla">
    <w:name w:val="Tabla"/>
    <w:basedOn w:val="Normal"/>
    <w:rsid w:val="00C47EE9"/>
    <w:pPr>
      <w:spacing w:after="0"/>
      <w:ind w:firstLine="0"/>
    </w:pPr>
    <w:rPr>
      <w:rFonts w:ascii="Arial" w:hAnsi="Arial"/>
      <w:sz w:val="16"/>
      <w:lang w:eastAsia="es-ES"/>
    </w:rPr>
  </w:style>
  <w:style w:type="table" w:styleId="Tablaelegante">
    <w:name w:val="Table Elegant"/>
    <w:basedOn w:val="Tablanormal"/>
    <w:rsid w:val="00C47EE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Textoindependiente">
    <w:name w:val="Body Text"/>
    <w:basedOn w:val="Normal"/>
    <w:link w:val="TextoindependienteCar"/>
    <w:rsid w:val="00C47EE9"/>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C47EE9"/>
    <w:rPr>
      <w:rFonts w:ascii="Arial" w:hAnsi="Arial"/>
      <w:sz w:val="24"/>
      <w:lang w:val="es-ES_tradnl"/>
    </w:rPr>
  </w:style>
  <w:style w:type="paragraph" w:customStyle="1" w:styleId="recomendaciones">
    <w:name w:val="recomendaciones"/>
    <w:rsid w:val="00C47EE9"/>
    <w:pPr>
      <w:spacing w:after="140"/>
      <w:ind w:left="1418" w:firstLine="284"/>
      <w:jc w:val="both"/>
    </w:pPr>
    <w:rPr>
      <w:rFonts w:ascii="ITCCentury Book" w:hAnsi="ITCCentury Book"/>
      <w:i/>
      <w:color w:val="000000"/>
      <w:sz w:val="24"/>
      <w:lang w:val="es-ES_tradnl"/>
    </w:rPr>
  </w:style>
  <w:style w:type="paragraph" w:customStyle="1" w:styleId="norma1">
    <w:name w:val="norma1"/>
    <w:basedOn w:val="Normal"/>
    <w:rsid w:val="00C47EE9"/>
    <w:pPr>
      <w:spacing w:after="240"/>
      <w:ind w:firstLine="0"/>
    </w:pPr>
    <w:rPr>
      <w:b/>
      <w:bCs/>
      <w:caps/>
      <w:sz w:val="24"/>
      <w:szCs w:val="24"/>
      <w:lang w:val="es-ES" w:eastAsia="es-ES"/>
    </w:rPr>
  </w:style>
  <w:style w:type="paragraph" w:customStyle="1" w:styleId="Default">
    <w:name w:val="Default"/>
    <w:rsid w:val="00C47EE9"/>
    <w:pPr>
      <w:autoSpaceDE w:val="0"/>
      <w:autoSpaceDN w:val="0"/>
      <w:adjustRightInd w:val="0"/>
    </w:pPr>
    <w:rPr>
      <w:rFonts w:ascii="Arial" w:hAnsi="Arial" w:cs="Arial"/>
      <w:color w:val="000000"/>
      <w:sz w:val="24"/>
      <w:szCs w:val="24"/>
    </w:rPr>
  </w:style>
  <w:style w:type="paragraph" w:customStyle="1" w:styleId="Pa9">
    <w:name w:val="Pa9"/>
    <w:basedOn w:val="Default"/>
    <w:next w:val="Default"/>
    <w:rsid w:val="00C47EE9"/>
    <w:pPr>
      <w:spacing w:line="201" w:lineRule="atLeast"/>
    </w:pPr>
    <w:rPr>
      <w:rFonts w:cs="Times New Roman"/>
      <w:color w:val="auto"/>
    </w:rPr>
  </w:style>
  <w:style w:type="character" w:customStyle="1" w:styleId="A5">
    <w:name w:val="A5"/>
    <w:rsid w:val="00C47EE9"/>
    <w:rPr>
      <w:rFonts w:cs="Arial"/>
      <w:color w:val="000000"/>
      <w:sz w:val="16"/>
      <w:szCs w:val="16"/>
    </w:rPr>
  </w:style>
  <w:style w:type="paragraph" w:customStyle="1" w:styleId="Estndar">
    <w:name w:val="Estándar"/>
    <w:rsid w:val="00C47EE9"/>
    <w:pPr>
      <w:snapToGrid w:val="0"/>
    </w:pPr>
    <w:rPr>
      <w:rFonts w:ascii="CG Omega" w:hAnsi="CG Omega"/>
      <w:color w:val="000000"/>
      <w:sz w:val="22"/>
    </w:rPr>
  </w:style>
  <w:style w:type="paragraph" w:styleId="NormalWeb">
    <w:name w:val="Normal (Web)"/>
    <w:basedOn w:val="Normal"/>
    <w:uiPriority w:val="99"/>
    <w:rsid w:val="00C47EE9"/>
    <w:pPr>
      <w:spacing w:before="100" w:beforeAutospacing="1" w:after="100" w:afterAutospacing="1"/>
      <w:ind w:firstLine="0"/>
    </w:pPr>
    <w:rPr>
      <w:rFonts w:ascii="Verdana" w:hAnsi="Verdana"/>
      <w:sz w:val="11"/>
      <w:szCs w:val="11"/>
      <w:lang w:val="es-ES" w:eastAsia="es-ES"/>
    </w:rPr>
  </w:style>
  <w:style w:type="paragraph" w:customStyle="1" w:styleId="Pa8">
    <w:name w:val="Pa8"/>
    <w:basedOn w:val="Default"/>
    <w:next w:val="Default"/>
    <w:uiPriority w:val="99"/>
    <w:rsid w:val="00C47EE9"/>
    <w:pPr>
      <w:spacing w:line="201" w:lineRule="atLeast"/>
    </w:pPr>
    <w:rPr>
      <w:rFonts w:cs="Times New Roman"/>
      <w:color w:val="auto"/>
    </w:rPr>
  </w:style>
  <w:style w:type="paragraph" w:customStyle="1" w:styleId="foral-f-parrafo-c">
    <w:name w:val="foral-f-parrafo-c"/>
    <w:basedOn w:val="Normal"/>
    <w:uiPriority w:val="99"/>
    <w:rsid w:val="00C47EE9"/>
    <w:pPr>
      <w:spacing w:after="240"/>
      <w:ind w:firstLine="0"/>
      <w:jc w:val="left"/>
    </w:pPr>
    <w:rPr>
      <w:sz w:val="24"/>
      <w:szCs w:val="24"/>
      <w:lang w:val="es-ES" w:eastAsia="es-ES"/>
    </w:rPr>
  </w:style>
  <w:style w:type="paragraph" w:customStyle="1" w:styleId="foral-f-parrafo-3lineas-t5-c">
    <w:name w:val="foral-f-parrafo-3lineas-t5-c"/>
    <w:basedOn w:val="Normal"/>
    <w:rsid w:val="00C47EE9"/>
    <w:pPr>
      <w:spacing w:after="240"/>
      <w:ind w:firstLine="0"/>
      <w:jc w:val="left"/>
    </w:pPr>
    <w:rPr>
      <w:sz w:val="24"/>
      <w:szCs w:val="24"/>
      <w:lang w:val="es-ES" w:eastAsia="es-ES"/>
    </w:rPr>
  </w:style>
  <w:style w:type="paragraph" w:customStyle="1" w:styleId="aaa">
    <w:name w:val="aaa"/>
    <w:basedOn w:val="Normal"/>
    <w:rsid w:val="00C47EE9"/>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lang w:eastAsia="es-ES"/>
    </w:rPr>
  </w:style>
  <w:style w:type="paragraph" w:customStyle="1" w:styleId="INF-TEXTO">
    <w:name w:val="INF-TEXTO"/>
    <w:rsid w:val="00C47EE9"/>
    <w:pPr>
      <w:tabs>
        <w:tab w:val="left" w:pos="992"/>
      </w:tabs>
      <w:spacing w:after="300" w:line="340" w:lineRule="exact"/>
      <w:ind w:firstLine="567"/>
      <w:jc w:val="both"/>
    </w:pPr>
    <w:rPr>
      <w:rFonts w:ascii="Arial" w:hAnsi="Arial"/>
      <w:sz w:val="24"/>
    </w:rPr>
  </w:style>
  <w:style w:type="paragraph" w:customStyle="1" w:styleId="ANUEVO">
    <w:name w:val="A.NUEVO"/>
    <w:basedOn w:val="Normal"/>
    <w:rsid w:val="00C47EE9"/>
    <w:pPr>
      <w:widowControl w:val="0"/>
      <w:overflowPunct w:val="0"/>
      <w:autoSpaceDE w:val="0"/>
      <w:autoSpaceDN w:val="0"/>
      <w:adjustRightInd w:val="0"/>
      <w:spacing w:after="0"/>
      <w:ind w:firstLine="0"/>
    </w:pPr>
    <w:rPr>
      <w:rFonts w:ascii="Arial" w:hAnsi="Arial"/>
      <w:i/>
      <w:color w:val="0000FF"/>
      <w:sz w:val="17"/>
      <w:lang w:val="es-ES" w:eastAsia="es-ES"/>
    </w:rPr>
  </w:style>
  <w:style w:type="character" w:styleId="Hipervnculovisitado">
    <w:name w:val="FollowedHyperlink"/>
    <w:rsid w:val="00C47EE9"/>
    <w:rPr>
      <w:color w:val="800080"/>
      <w:u w:val="single"/>
    </w:rPr>
  </w:style>
  <w:style w:type="paragraph" w:customStyle="1" w:styleId="xa1">
    <w:name w:val="xa1"/>
    <w:basedOn w:val="Normal"/>
    <w:rsid w:val="00C47EE9"/>
    <w:pPr>
      <w:spacing w:after="240"/>
      <w:ind w:left="200" w:right="50" w:firstLine="0"/>
    </w:pPr>
    <w:rPr>
      <w:sz w:val="24"/>
      <w:szCs w:val="24"/>
      <w:lang w:val="es-ES" w:eastAsia="es-ES"/>
    </w:rPr>
  </w:style>
  <w:style w:type="paragraph" w:customStyle="1" w:styleId="xl1">
    <w:name w:val="xl1"/>
    <w:basedOn w:val="Normal"/>
    <w:rsid w:val="00C47EE9"/>
    <w:pPr>
      <w:spacing w:after="240"/>
      <w:ind w:left="200" w:right="50" w:hanging="150"/>
    </w:pPr>
    <w:rPr>
      <w:sz w:val="24"/>
      <w:szCs w:val="24"/>
      <w:lang w:val="es-ES" w:eastAsia="es-ES"/>
    </w:rPr>
  </w:style>
  <w:style w:type="paragraph" w:customStyle="1" w:styleId="xl2">
    <w:name w:val="xl2"/>
    <w:basedOn w:val="Normal"/>
    <w:rsid w:val="00C47EE9"/>
    <w:pPr>
      <w:spacing w:after="240"/>
      <w:ind w:left="350" w:right="50" w:hanging="150"/>
    </w:pPr>
    <w:rPr>
      <w:sz w:val="24"/>
      <w:szCs w:val="24"/>
      <w:lang w:val="es-ES" w:eastAsia="es-ES"/>
    </w:rPr>
  </w:style>
  <w:style w:type="character" w:customStyle="1" w:styleId="searchterm2">
    <w:name w:val="searchterm2"/>
    <w:rsid w:val="00C47EE9"/>
    <w:rPr>
      <w:b/>
      <w:bCs/>
      <w:color w:val="000000"/>
      <w:shd w:val="clear" w:color="auto" w:fill="FFFFBF"/>
    </w:rPr>
  </w:style>
  <w:style w:type="paragraph" w:customStyle="1" w:styleId="Pa7">
    <w:name w:val="Pa7"/>
    <w:basedOn w:val="Default"/>
    <w:next w:val="Default"/>
    <w:uiPriority w:val="99"/>
    <w:rsid w:val="00C47EE9"/>
    <w:pPr>
      <w:spacing w:line="201" w:lineRule="atLeast"/>
    </w:pPr>
    <w:rPr>
      <w:rFonts w:cs="Times New Roman"/>
      <w:color w:val="auto"/>
    </w:rPr>
  </w:style>
  <w:style w:type="character" w:customStyle="1" w:styleId="PiedepginaCar">
    <w:name w:val="Pie de página Car"/>
    <w:link w:val="Piedepgina"/>
    <w:uiPriority w:val="99"/>
    <w:rsid w:val="00C47EE9"/>
    <w:rPr>
      <w:spacing w:val="6"/>
      <w:lang w:val="es-ES_tradnl" w:eastAsia="en-US"/>
    </w:rPr>
  </w:style>
  <w:style w:type="paragraph" w:customStyle="1" w:styleId="ParrafoClausulas">
    <w:name w:val="ParrafoClausulas"/>
    <w:basedOn w:val="Normal"/>
    <w:rsid w:val="00C47EE9"/>
    <w:pPr>
      <w:tabs>
        <w:tab w:val="left" w:pos="720"/>
        <w:tab w:val="center" w:pos="3888"/>
      </w:tabs>
      <w:spacing w:after="120" w:line="340" w:lineRule="atLeast"/>
      <w:ind w:firstLine="720"/>
    </w:pPr>
    <w:rPr>
      <w:rFonts w:ascii="Arial" w:hAnsi="Arial"/>
      <w:sz w:val="22"/>
      <w:lang w:eastAsia="es-ES"/>
    </w:rPr>
  </w:style>
  <w:style w:type="paragraph" w:customStyle="1" w:styleId="Cuadropequea9centradonegrita6">
    <w:name w:val="Cuadro pequeña 9 centrado negrita6"/>
    <w:basedOn w:val="Normal"/>
    <w:autoRedefine/>
    <w:rsid w:val="00C47EE9"/>
    <w:pPr>
      <w:tabs>
        <w:tab w:val="left" w:pos="851"/>
      </w:tabs>
      <w:autoSpaceDE w:val="0"/>
      <w:autoSpaceDN w:val="0"/>
      <w:adjustRightInd w:val="0"/>
      <w:spacing w:before="120" w:after="60"/>
      <w:ind w:firstLine="0"/>
      <w:jc w:val="center"/>
    </w:pPr>
    <w:rPr>
      <w:rFonts w:ascii="Arial" w:hAnsi="Arial" w:cs="Arial"/>
      <w:b/>
      <w:bCs/>
      <w:sz w:val="18"/>
      <w:lang w:val="es-ES" w:eastAsia="es-ES"/>
    </w:rPr>
  </w:style>
  <w:style w:type="paragraph" w:customStyle="1" w:styleId="Cuadropequea9centradonegrita31">
    <w:name w:val="Cuadro pequeña 9 centrado negrita31"/>
    <w:basedOn w:val="Normal"/>
    <w:autoRedefine/>
    <w:rsid w:val="00C47EE9"/>
    <w:pPr>
      <w:widowControl w:val="0"/>
      <w:tabs>
        <w:tab w:val="left" w:pos="851"/>
      </w:tabs>
      <w:autoSpaceDE w:val="0"/>
      <w:autoSpaceDN w:val="0"/>
      <w:adjustRightInd w:val="0"/>
      <w:spacing w:before="120" w:after="60"/>
      <w:ind w:firstLine="0"/>
      <w:jc w:val="center"/>
    </w:pPr>
    <w:rPr>
      <w:rFonts w:ascii="Arial" w:hAnsi="Arial" w:cs="Arial"/>
      <w:b/>
      <w:bCs/>
      <w:sz w:val="18"/>
      <w:lang w:val="es-MX" w:eastAsia="es-ES"/>
    </w:rPr>
  </w:style>
  <w:style w:type="paragraph" w:customStyle="1" w:styleId="Cuadropequea931">
    <w:name w:val="Cuadro pequeña 931"/>
    <w:basedOn w:val="Normal"/>
    <w:autoRedefine/>
    <w:rsid w:val="00C47EE9"/>
    <w:pPr>
      <w:widowControl w:val="0"/>
      <w:tabs>
        <w:tab w:val="left" w:pos="284"/>
        <w:tab w:val="num" w:pos="1610"/>
      </w:tabs>
      <w:autoSpaceDE w:val="0"/>
      <w:autoSpaceDN w:val="0"/>
      <w:adjustRightInd w:val="0"/>
      <w:spacing w:before="40" w:after="60"/>
      <w:ind w:firstLine="0"/>
      <w:jc w:val="left"/>
    </w:pPr>
    <w:rPr>
      <w:rFonts w:ascii="Arial" w:hAnsi="Arial" w:cs="Arial"/>
      <w:bCs/>
      <w:sz w:val="18"/>
      <w:lang w:val="es-ES" w:eastAsia="es-ES"/>
    </w:rPr>
  </w:style>
  <w:style w:type="character" w:customStyle="1" w:styleId="Cuadropequea9izda12Car">
    <w:name w:val="Cuadro pequeña 9 izda12 Car"/>
    <w:link w:val="Cuadropequea9izda12"/>
    <w:locked/>
    <w:rsid w:val="00C47EE9"/>
    <w:rPr>
      <w:rFonts w:ascii="Arial" w:hAnsi="Arial" w:cs="Arial"/>
      <w:b/>
      <w:bCs/>
      <w:sz w:val="18"/>
      <w:lang w:val="es-MX"/>
    </w:rPr>
  </w:style>
  <w:style w:type="paragraph" w:customStyle="1" w:styleId="Cuadropequea9izda12">
    <w:name w:val="Cuadro pequeña 9 izda12"/>
    <w:basedOn w:val="Normal"/>
    <w:link w:val="Cuadropequea9izda12Car"/>
    <w:autoRedefine/>
    <w:rsid w:val="00C47EE9"/>
    <w:pPr>
      <w:widowControl w:val="0"/>
      <w:tabs>
        <w:tab w:val="left" w:pos="851"/>
      </w:tabs>
      <w:autoSpaceDE w:val="0"/>
      <w:autoSpaceDN w:val="0"/>
      <w:adjustRightInd w:val="0"/>
      <w:spacing w:before="120" w:after="60"/>
      <w:ind w:firstLine="0"/>
      <w:jc w:val="left"/>
    </w:pPr>
    <w:rPr>
      <w:rFonts w:ascii="Arial" w:hAnsi="Arial" w:cs="Arial"/>
      <w:b/>
      <w:bCs/>
      <w:sz w:val="18"/>
      <w:lang w:val="es-MX" w:eastAsia="es-ES"/>
    </w:rPr>
  </w:style>
  <w:style w:type="paragraph" w:customStyle="1" w:styleId="Cuadropequea9dcha11">
    <w:name w:val="Cuadro pequeña 9 dcha11"/>
    <w:basedOn w:val="Normal"/>
    <w:autoRedefine/>
    <w:rsid w:val="00C47EE9"/>
    <w:pPr>
      <w:widowControl w:val="0"/>
      <w:tabs>
        <w:tab w:val="left" w:pos="851"/>
      </w:tabs>
      <w:autoSpaceDE w:val="0"/>
      <w:autoSpaceDN w:val="0"/>
      <w:adjustRightInd w:val="0"/>
      <w:spacing w:before="40" w:after="60"/>
      <w:ind w:firstLine="0"/>
      <w:jc w:val="right"/>
    </w:pPr>
    <w:rPr>
      <w:rFonts w:ascii="Arial" w:hAnsi="Arial" w:cs="Arial"/>
      <w:bCs/>
      <w:sz w:val="18"/>
      <w:lang w:val="es-MX" w:eastAsia="es-ES"/>
    </w:rPr>
  </w:style>
  <w:style w:type="paragraph" w:customStyle="1" w:styleId="Cuadropequea9negrita11">
    <w:name w:val="Cuadro pequeña 9 negrita11"/>
    <w:basedOn w:val="Normal"/>
    <w:rsid w:val="00C47EE9"/>
    <w:pPr>
      <w:widowControl w:val="0"/>
      <w:tabs>
        <w:tab w:val="left" w:pos="426"/>
        <w:tab w:val="right" w:pos="3686"/>
        <w:tab w:val="right" w:pos="4041"/>
        <w:tab w:val="right" w:pos="4820"/>
        <w:tab w:val="right" w:pos="5103"/>
        <w:tab w:val="right" w:pos="6237"/>
        <w:tab w:val="right" w:pos="7230"/>
        <w:tab w:val="right" w:pos="8505"/>
        <w:tab w:val="left" w:pos="8535"/>
        <w:tab w:val="right" w:pos="10773"/>
        <w:tab w:val="right" w:pos="11907"/>
        <w:tab w:val="right" w:pos="13041"/>
        <w:tab w:val="right" w:pos="14175"/>
        <w:tab w:val="right" w:pos="15168"/>
      </w:tabs>
      <w:autoSpaceDE w:val="0"/>
      <w:autoSpaceDN w:val="0"/>
      <w:adjustRightInd w:val="0"/>
      <w:snapToGrid w:val="0"/>
      <w:spacing w:before="40" w:after="60"/>
      <w:ind w:firstLine="0"/>
      <w:jc w:val="right"/>
    </w:pPr>
    <w:rPr>
      <w:rFonts w:ascii="Arial" w:hAnsi="Arial" w:cs="Arial"/>
      <w:b/>
      <w:bCs/>
      <w:color w:val="000000"/>
      <w:position w:val="6"/>
      <w:sz w:val="18"/>
      <w:lang w:val="es-MX" w:eastAsia="es-ES"/>
    </w:rPr>
  </w:style>
  <w:style w:type="character" w:customStyle="1" w:styleId="CuadropequeacentradonegritaCar6">
    <w:name w:val="Cuadro pequeña centrado negrita Car6"/>
    <w:rsid w:val="00C47EE9"/>
    <w:rPr>
      <w:rFonts w:ascii="Arial" w:hAnsi="Arial" w:cs="Arial" w:hint="default"/>
      <w:b/>
      <w:bCs w:val="0"/>
      <w:snapToGrid/>
      <w:position w:val="6"/>
      <w:sz w:val="18"/>
      <w:lang w:val="es-MX" w:eastAsia="es-ES" w:bidi="ar-SA"/>
    </w:rPr>
  </w:style>
  <w:style w:type="paragraph" w:customStyle="1" w:styleId="simple">
    <w:name w:val="simple"/>
    <w:basedOn w:val="Normal"/>
    <w:rsid w:val="00C47EE9"/>
    <w:pPr>
      <w:spacing w:before="100" w:beforeAutospacing="1" w:after="100" w:afterAutospacing="1"/>
      <w:ind w:firstLine="0"/>
      <w:jc w:val="left"/>
    </w:pPr>
    <w:rPr>
      <w:sz w:val="24"/>
      <w:szCs w:val="24"/>
      <w:lang w:val="es-ES" w:eastAsia="es-ES"/>
    </w:rPr>
  </w:style>
  <w:style w:type="character" w:customStyle="1" w:styleId="searchterm">
    <w:name w:val="searchterm"/>
    <w:rsid w:val="00C47EE9"/>
  </w:style>
  <w:style w:type="character" w:customStyle="1" w:styleId="EncabezadoCar">
    <w:name w:val="Encabezado Car"/>
    <w:link w:val="Encabezado"/>
    <w:rsid w:val="00C47EE9"/>
    <w:rPr>
      <w:bCs/>
      <w:caps/>
      <w:sz w:val="14"/>
      <w:szCs w:val="12"/>
      <w:lang w:val="es-ES_tradnl" w:eastAsia="en-US"/>
    </w:rPr>
  </w:style>
  <w:style w:type="paragraph" w:styleId="Sangradetextonormal">
    <w:name w:val="Body Text Indent"/>
    <w:basedOn w:val="Normal"/>
    <w:link w:val="SangradetextonormalCar"/>
    <w:uiPriority w:val="99"/>
    <w:unhideWhenUsed/>
    <w:rsid w:val="00C47EE9"/>
    <w:pPr>
      <w:spacing w:after="0" w:line="309" w:lineRule="auto"/>
      <w:ind w:firstLine="708"/>
    </w:pPr>
    <w:rPr>
      <w:rFonts w:ascii="Arial" w:hAnsi="Arial"/>
      <w:sz w:val="22"/>
      <w:lang w:eastAsia="es-ES"/>
    </w:rPr>
  </w:style>
  <w:style w:type="character" w:customStyle="1" w:styleId="SangradetextonormalCar">
    <w:name w:val="Sangría de texto normal Car"/>
    <w:basedOn w:val="Fuentedeprrafopredeter"/>
    <w:link w:val="Sangradetextonormal"/>
    <w:uiPriority w:val="99"/>
    <w:rsid w:val="00C47EE9"/>
    <w:rPr>
      <w:rFonts w:ascii="Arial" w:hAnsi="Arial"/>
      <w:sz w:val="22"/>
      <w:lang w:val="es-ES_tradnl"/>
    </w:rPr>
  </w:style>
  <w:style w:type="paragraph" w:styleId="Textoindependiente2">
    <w:name w:val="Body Text 2"/>
    <w:basedOn w:val="Normal"/>
    <w:link w:val="Textoindependiente2Car"/>
    <w:uiPriority w:val="99"/>
    <w:unhideWhenUsed/>
    <w:rsid w:val="00C47EE9"/>
    <w:pPr>
      <w:spacing w:after="0" w:line="309" w:lineRule="auto"/>
      <w:ind w:firstLine="0"/>
    </w:pPr>
    <w:rPr>
      <w:rFonts w:ascii="Arial" w:hAnsi="Arial"/>
      <w:lang w:eastAsia="es-ES"/>
    </w:rPr>
  </w:style>
  <w:style w:type="character" w:customStyle="1" w:styleId="Textoindependiente2Car">
    <w:name w:val="Texto independiente 2 Car"/>
    <w:basedOn w:val="Fuentedeprrafopredeter"/>
    <w:link w:val="Textoindependiente2"/>
    <w:uiPriority w:val="99"/>
    <w:rsid w:val="00C47EE9"/>
    <w:rPr>
      <w:rFonts w:ascii="Arial" w:hAnsi="Arial"/>
      <w:lang w:val="es-ES_tradnl"/>
    </w:rPr>
  </w:style>
  <w:style w:type="paragraph" w:styleId="Textoindependiente3">
    <w:name w:val="Body Text 3"/>
    <w:basedOn w:val="Normal"/>
    <w:link w:val="Textoindependiente3Car"/>
    <w:unhideWhenUsed/>
    <w:rsid w:val="00C47EE9"/>
    <w:pPr>
      <w:spacing w:after="0" w:line="309" w:lineRule="auto"/>
      <w:ind w:firstLine="0"/>
    </w:pPr>
    <w:rPr>
      <w:sz w:val="18"/>
      <w:lang w:eastAsia="es-ES"/>
    </w:rPr>
  </w:style>
  <w:style w:type="character" w:customStyle="1" w:styleId="Textoindependiente3Car">
    <w:name w:val="Texto independiente 3 Car"/>
    <w:basedOn w:val="Fuentedeprrafopredeter"/>
    <w:link w:val="Textoindependiente3"/>
    <w:rsid w:val="00C47EE9"/>
    <w:rPr>
      <w:sz w:val="18"/>
      <w:lang w:val="es-ES_tradnl"/>
    </w:rPr>
  </w:style>
  <w:style w:type="paragraph" w:styleId="Sangra2detindependiente">
    <w:name w:val="Body Text Indent 2"/>
    <w:basedOn w:val="Normal"/>
    <w:link w:val="Sangra2detindependienteCar"/>
    <w:uiPriority w:val="99"/>
    <w:unhideWhenUsed/>
    <w:rsid w:val="00C47EE9"/>
    <w:pPr>
      <w:spacing w:after="0" w:line="309" w:lineRule="auto"/>
      <w:ind w:left="426" w:firstLine="0"/>
    </w:pPr>
    <w:rPr>
      <w:rFonts w:ascii="Arial" w:hAnsi="Arial"/>
      <w:lang w:eastAsia="es-ES"/>
    </w:rPr>
  </w:style>
  <w:style w:type="character" w:customStyle="1" w:styleId="Sangra2detindependienteCar">
    <w:name w:val="Sangría 2 de t. independiente Car"/>
    <w:basedOn w:val="Fuentedeprrafopredeter"/>
    <w:link w:val="Sangra2detindependiente"/>
    <w:uiPriority w:val="99"/>
    <w:rsid w:val="00C47EE9"/>
    <w:rPr>
      <w:rFonts w:ascii="Arial" w:hAnsi="Arial"/>
      <w:lang w:val="es-ES_tradnl"/>
    </w:rPr>
  </w:style>
  <w:style w:type="paragraph" w:styleId="Sangra3detindependiente">
    <w:name w:val="Body Text Indent 3"/>
    <w:basedOn w:val="Normal"/>
    <w:link w:val="Sangra3detindependienteCar"/>
    <w:uiPriority w:val="99"/>
    <w:unhideWhenUsed/>
    <w:rsid w:val="00C47EE9"/>
    <w:pPr>
      <w:spacing w:after="0" w:line="309" w:lineRule="auto"/>
      <w:ind w:left="426" w:firstLine="0"/>
    </w:pPr>
    <w:rPr>
      <w:rFonts w:ascii="Arial" w:hAnsi="Arial"/>
      <w:sz w:val="22"/>
      <w:lang w:eastAsia="es-ES"/>
    </w:rPr>
  </w:style>
  <w:style w:type="character" w:customStyle="1" w:styleId="Sangra3detindependienteCar">
    <w:name w:val="Sangría 3 de t. independiente Car"/>
    <w:basedOn w:val="Fuentedeprrafopredeter"/>
    <w:link w:val="Sangra3detindependiente"/>
    <w:uiPriority w:val="99"/>
    <w:rsid w:val="00C47EE9"/>
    <w:rPr>
      <w:rFonts w:ascii="Arial" w:hAnsi="Arial"/>
      <w:sz w:val="22"/>
      <w:lang w:val="es-ES_tradnl"/>
    </w:rPr>
  </w:style>
  <w:style w:type="paragraph" w:styleId="Mapadeldocumento">
    <w:name w:val="Document Map"/>
    <w:basedOn w:val="Normal"/>
    <w:link w:val="MapadeldocumentoCar"/>
    <w:unhideWhenUsed/>
    <w:rsid w:val="00C47EE9"/>
    <w:pPr>
      <w:shd w:val="clear" w:color="auto" w:fill="000080"/>
      <w:spacing w:after="0"/>
      <w:ind w:firstLine="0"/>
      <w:jc w:val="left"/>
    </w:pPr>
    <w:rPr>
      <w:rFonts w:ascii="Tahoma" w:hAnsi="Tahoma"/>
      <w:lang w:eastAsia="es-ES"/>
    </w:rPr>
  </w:style>
  <w:style w:type="character" w:customStyle="1" w:styleId="MapadeldocumentoCar">
    <w:name w:val="Mapa del documento Car"/>
    <w:basedOn w:val="Fuentedeprrafopredeter"/>
    <w:link w:val="Mapadeldocumento"/>
    <w:uiPriority w:val="99"/>
    <w:rsid w:val="00C47EE9"/>
    <w:rPr>
      <w:rFonts w:ascii="Tahoma" w:hAnsi="Tahoma"/>
      <w:shd w:val="clear" w:color="auto" w:fill="000080"/>
      <w:lang w:val="es-ES_tradnl"/>
    </w:rPr>
  </w:style>
  <w:style w:type="character" w:customStyle="1" w:styleId="TextodegloboCar">
    <w:name w:val="Texto de globo Car"/>
    <w:link w:val="Textodeglobo"/>
    <w:uiPriority w:val="99"/>
    <w:semiHidden/>
    <w:rsid w:val="00C47EE9"/>
    <w:rPr>
      <w:rFonts w:ascii="Tahoma" w:hAnsi="Tahoma" w:cs="Tahoma"/>
      <w:sz w:val="16"/>
      <w:szCs w:val="16"/>
      <w:lang w:val="es-ES_tradnl" w:eastAsia="en-US"/>
    </w:rPr>
  </w:style>
  <w:style w:type="paragraph" w:customStyle="1" w:styleId="ML">
    <w:name w:val="M/L"/>
    <w:basedOn w:val="Normal"/>
    <w:uiPriority w:val="99"/>
    <w:rsid w:val="00C47EE9"/>
    <w:pPr>
      <w:spacing w:after="0" w:line="309" w:lineRule="auto"/>
      <w:ind w:left="-851" w:firstLine="0"/>
    </w:pPr>
    <w:rPr>
      <w:rFonts w:ascii="Arial" w:hAnsi="Arial"/>
      <w:b/>
      <w:caps/>
      <w:sz w:val="28"/>
      <w:lang w:eastAsia="es-ES"/>
    </w:rPr>
  </w:style>
  <w:style w:type="paragraph" w:customStyle="1" w:styleId="c20">
    <w:name w:val="c20"/>
    <w:basedOn w:val="Normal"/>
    <w:uiPriority w:val="99"/>
    <w:rsid w:val="00C47EE9"/>
    <w:pPr>
      <w:spacing w:before="100" w:beforeAutospacing="1" w:after="100" w:afterAutospacing="1"/>
      <w:ind w:firstLine="0"/>
      <w:jc w:val="left"/>
    </w:pPr>
    <w:rPr>
      <w:sz w:val="24"/>
      <w:szCs w:val="24"/>
      <w:lang w:val="es-ES" w:eastAsia="es-ES"/>
    </w:rPr>
  </w:style>
  <w:style w:type="paragraph" w:customStyle="1" w:styleId="AVIEJO">
    <w:name w:val="A.VIEJO"/>
    <w:basedOn w:val="Normal"/>
    <w:uiPriority w:val="99"/>
    <w:rsid w:val="00C47EE9"/>
    <w:pPr>
      <w:widowControl w:val="0"/>
      <w:overflowPunct w:val="0"/>
      <w:autoSpaceDE w:val="0"/>
      <w:autoSpaceDN w:val="0"/>
      <w:adjustRightInd w:val="0"/>
      <w:spacing w:after="0"/>
      <w:ind w:left="709" w:firstLine="0"/>
    </w:pPr>
    <w:rPr>
      <w:rFonts w:ascii="Arial" w:hAnsi="Arial"/>
      <w:i/>
      <w:noProof/>
      <w:color w:val="008080"/>
      <w:sz w:val="17"/>
      <w:lang w:val="es-ES" w:eastAsia="es-ES"/>
    </w:rPr>
  </w:style>
  <w:style w:type="paragraph" w:customStyle="1" w:styleId="a">
    <w:name w:val="a"/>
    <w:basedOn w:val="Normal"/>
    <w:rsid w:val="00C47EE9"/>
    <w:pPr>
      <w:spacing w:before="100" w:beforeAutospacing="1" w:after="100" w:afterAutospacing="1"/>
      <w:ind w:firstLine="0"/>
      <w:jc w:val="left"/>
    </w:pPr>
    <w:rPr>
      <w:sz w:val="24"/>
      <w:szCs w:val="24"/>
      <w:lang w:val="es-ES" w:eastAsia="es-ES"/>
    </w:rPr>
  </w:style>
  <w:style w:type="character" w:customStyle="1" w:styleId="rubrica">
    <w:name w:val="rubrica"/>
    <w:rsid w:val="00C47EE9"/>
  </w:style>
  <w:style w:type="character" w:customStyle="1" w:styleId="highlight">
    <w:name w:val="highlight"/>
    <w:rsid w:val="00C47EE9"/>
  </w:style>
  <w:style w:type="paragraph" w:customStyle="1" w:styleId="PARA">
    <w:name w:val="PARA"/>
    <w:basedOn w:val="Normal"/>
    <w:rsid w:val="00C47EE9"/>
    <w:pPr>
      <w:spacing w:after="0" w:line="240" w:lineRule="atLeast"/>
      <w:ind w:firstLine="0"/>
      <w:jc w:val="left"/>
    </w:pPr>
    <w:rPr>
      <w:rFonts w:ascii="Arial" w:hAnsi="Arial"/>
      <w:lang w:val="en-GB" w:eastAsia="es-ES"/>
    </w:rPr>
  </w:style>
  <w:style w:type="paragraph" w:styleId="Textonotaalfinal">
    <w:name w:val="endnote text"/>
    <w:basedOn w:val="Normal"/>
    <w:link w:val="TextonotaalfinalCar"/>
    <w:rsid w:val="00C47EE9"/>
  </w:style>
  <w:style w:type="character" w:customStyle="1" w:styleId="TextonotaalfinalCar">
    <w:name w:val="Texto nota al final Car"/>
    <w:basedOn w:val="Fuentedeprrafopredeter"/>
    <w:link w:val="Textonotaalfinal"/>
    <w:rsid w:val="00C47EE9"/>
    <w:rPr>
      <w:lang w:val="es-ES_tradnl" w:eastAsia="en-US"/>
    </w:rPr>
  </w:style>
  <w:style w:type="character" w:styleId="Refdenotaalfinal">
    <w:name w:val="endnote reference"/>
    <w:rsid w:val="00C47EE9"/>
    <w:rPr>
      <w:vertAlign w:val="superscript"/>
    </w:rPr>
  </w:style>
  <w:style w:type="numbering" w:customStyle="1" w:styleId="Sinlista1">
    <w:name w:val="Sin lista1"/>
    <w:next w:val="Sinlista"/>
    <w:uiPriority w:val="99"/>
    <w:semiHidden/>
    <w:unhideWhenUsed/>
    <w:rsid w:val="00C47EE9"/>
  </w:style>
  <w:style w:type="table" w:customStyle="1" w:styleId="Tablaconcuadrcula1">
    <w:name w:val="Tabla con cuadrícula1"/>
    <w:basedOn w:val="Tablanormal"/>
    <w:next w:val="Tablaconcuadrcula"/>
    <w:uiPriority w:val="59"/>
    <w:rsid w:val="00C4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ghligh1">
    <w:name w:val="hithighligh1"/>
    <w:rsid w:val="00C47EE9"/>
    <w:rPr>
      <w:shd w:val="clear" w:color="auto" w:fill="FCFE7C"/>
    </w:rPr>
  </w:style>
  <w:style w:type="paragraph" w:customStyle="1" w:styleId="anadir1">
    <w:name w:val="anadir1"/>
    <w:basedOn w:val="Normal"/>
    <w:rsid w:val="00C47EE9"/>
    <w:pPr>
      <w:spacing w:after="240"/>
      <w:ind w:right="240" w:firstLine="0"/>
      <w:jc w:val="right"/>
    </w:pPr>
    <w:rPr>
      <w:sz w:val="22"/>
      <w:szCs w:val="22"/>
      <w:lang w:val="es-ES" w:eastAsia="es-ES"/>
    </w:rPr>
  </w:style>
  <w:style w:type="character" w:customStyle="1" w:styleId="textoplanoCar">
    <w:name w:val="texto plano Car"/>
    <w:link w:val="textoplano"/>
    <w:locked/>
    <w:rsid w:val="00C47EE9"/>
    <w:rPr>
      <w:rFonts w:ascii="Arial" w:hAnsi="Arial" w:cs="Arial"/>
      <w:color w:val="000000"/>
      <w:sz w:val="19"/>
      <w:lang w:eastAsia="en-US"/>
    </w:rPr>
  </w:style>
  <w:style w:type="paragraph" w:customStyle="1" w:styleId="textoplano">
    <w:name w:val="texto plano"/>
    <w:basedOn w:val="Normal"/>
    <w:link w:val="textoplanoCar"/>
    <w:qFormat/>
    <w:rsid w:val="00C47EE9"/>
    <w:pPr>
      <w:spacing w:before="60" w:after="100" w:line="240" w:lineRule="exact"/>
      <w:ind w:left="2971" w:firstLine="0"/>
      <w:textboxTightWrap w:val="allLines"/>
    </w:pPr>
    <w:rPr>
      <w:rFonts w:ascii="Arial" w:hAnsi="Arial" w:cs="Arial"/>
      <w:color w:val="000000"/>
      <w:sz w:val="19"/>
      <w:lang w:val="es-ES"/>
    </w:rPr>
  </w:style>
  <w:style w:type="paragraph" w:customStyle="1" w:styleId="norma">
    <w:name w:val="norma"/>
    <w:basedOn w:val="Normal"/>
    <w:rsid w:val="00C47EE9"/>
    <w:pPr>
      <w:spacing w:after="0"/>
      <w:ind w:firstLine="0"/>
      <w:jc w:val="left"/>
    </w:pPr>
    <w:rPr>
      <w:sz w:val="24"/>
      <w:szCs w:val="24"/>
      <w:lang w:val="es-ES" w:eastAsia="es-ES"/>
    </w:rPr>
  </w:style>
  <w:style w:type="table" w:styleId="Tablaconcolumnas1">
    <w:name w:val="Table Columns 1"/>
    <w:basedOn w:val="Tablanormal"/>
    <w:rsid w:val="00C47EE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C47E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uadrcula11">
    <w:name w:val="Tabla con cuadrícula11"/>
    <w:basedOn w:val="Tablanormal"/>
    <w:next w:val="Tablaconcuadrcula"/>
    <w:uiPriority w:val="59"/>
    <w:rsid w:val="00C47E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C47EE9"/>
    <w:rPr>
      <w:sz w:val="16"/>
      <w:szCs w:val="16"/>
    </w:rPr>
  </w:style>
  <w:style w:type="paragraph" w:styleId="Textocomentario">
    <w:name w:val="annotation text"/>
    <w:basedOn w:val="Normal"/>
    <w:link w:val="TextocomentarioCar"/>
    <w:rsid w:val="00C47EE9"/>
  </w:style>
  <w:style w:type="character" w:customStyle="1" w:styleId="TextocomentarioCar">
    <w:name w:val="Texto comentario Car"/>
    <w:basedOn w:val="Fuentedeprrafopredeter"/>
    <w:link w:val="Textocomentario"/>
    <w:rsid w:val="00C47EE9"/>
    <w:rPr>
      <w:lang w:val="es-ES_tradnl" w:eastAsia="en-US"/>
    </w:rPr>
  </w:style>
  <w:style w:type="paragraph" w:styleId="Asuntodelcomentario">
    <w:name w:val="annotation subject"/>
    <w:basedOn w:val="Textocomentario"/>
    <w:next w:val="Textocomentario"/>
    <w:link w:val="AsuntodelcomentarioCar"/>
    <w:rsid w:val="00C47EE9"/>
    <w:rPr>
      <w:b/>
      <w:bCs/>
    </w:rPr>
  </w:style>
  <w:style w:type="character" w:customStyle="1" w:styleId="AsuntodelcomentarioCar">
    <w:name w:val="Asunto del comentario Car"/>
    <w:basedOn w:val="TextocomentarioCar"/>
    <w:link w:val="Asuntodelcomentario"/>
    <w:rsid w:val="00C47EE9"/>
    <w:rPr>
      <w:b/>
      <w:bCs/>
      <w:lang w:val="es-ES_tradnl" w:eastAsia="en-US"/>
    </w:rPr>
  </w:style>
  <w:style w:type="paragraph" w:customStyle="1" w:styleId="tabla10">
    <w:name w:val="tabla10"/>
    <w:rsid w:val="00C47EE9"/>
    <w:pPr>
      <w:tabs>
        <w:tab w:val="left" w:pos="567"/>
        <w:tab w:val="left" w:pos="1134"/>
      </w:tabs>
      <w:snapToGrid w:val="0"/>
    </w:pPr>
    <w:rPr>
      <w:rFonts w:ascii="CG Times" w:hAnsi="CG Times"/>
      <w:color w:val="000000"/>
    </w:rPr>
  </w:style>
  <w:style w:type="character" w:customStyle="1" w:styleId="corchete-llamada1">
    <w:name w:val="corchete-llamada1"/>
    <w:basedOn w:val="Fuentedeprrafopredeter"/>
    <w:rsid w:val="00C47EE9"/>
    <w:rPr>
      <w:vanish/>
      <w:webHidden w:val="0"/>
      <w:specVanish w:val="0"/>
    </w:rPr>
  </w:style>
  <w:style w:type="table" w:styleId="Sombreadoclaro">
    <w:name w:val="Light Shading"/>
    <w:aliases w:val="tabla informe"/>
    <w:basedOn w:val="Tablanormal"/>
    <w:uiPriority w:val="60"/>
    <w:rsid w:val="00C47EE9"/>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paragraph" w:styleId="Textosinformato">
    <w:name w:val="Plain Text"/>
    <w:basedOn w:val="Normal"/>
    <w:link w:val="TextosinformatoCar"/>
    <w:uiPriority w:val="99"/>
    <w:unhideWhenUsed/>
    <w:rsid w:val="00C47EE9"/>
    <w:pPr>
      <w:spacing w:after="0"/>
      <w:ind w:firstLine="0"/>
      <w:jc w:val="left"/>
    </w:pPr>
    <w:rPr>
      <w:rFonts w:ascii="Calibri" w:eastAsiaTheme="minorHAnsi" w:hAnsi="Calibri" w:cstheme="minorBidi"/>
      <w:sz w:val="22"/>
      <w:szCs w:val="21"/>
      <w:lang w:val="es-ES"/>
    </w:rPr>
  </w:style>
  <w:style w:type="character" w:customStyle="1" w:styleId="TextosinformatoCar">
    <w:name w:val="Texto sin formato Car"/>
    <w:basedOn w:val="Fuentedeprrafopredeter"/>
    <w:link w:val="Textosinformato"/>
    <w:uiPriority w:val="99"/>
    <w:rsid w:val="00C47EE9"/>
    <w:rPr>
      <w:rFonts w:ascii="Calibri" w:eastAsiaTheme="minorHAnsi" w:hAnsi="Calibri" w:cstheme="minorBidi"/>
      <w:sz w:val="22"/>
      <w:szCs w:val="21"/>
      <w:lang w:eastAsia="en-US"/>
    </w:rPr>
  </w:style>
  <w:style w:type="table" w:customStyle="1" w:styleId="Tablaconcuadrcula2">
    <w:name w:val="Tabla con cuadrícula2"/>
    <w:basedOn w:val="Tablanormal"/>
    <w:next w:val="Tablaconcuadrcula"/>
    <w:uiPriority w:val="59"/>
    <w:rsid w:val="00C47EE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uentedeprrafopredeter"/>
    <w:rsid w:val="00C47EE9"/>
  </w:style>
  <w:style w:type="character" w:customStyle="1" w:styleId="apple-converted-space">
    <w:name w:val="apple-converted-space"/>
    <w:basedOn w:val="Fuentedeprrafopredeter"/>
    <w:rsid w:val="00C47EE9"/>
  </w:style>
  <w:style w:type="table" w:customStyle="1" w:styleId="Tablaconcuadrcula3">
    <w:name w:val="Tabla con cuadrícula3"/>
    <w:basedOn w:val="Tablanormal"/>
    <w:next w:val="Tablaconcuadrcula"/>
    <w:uiPriority w:val="59"/>
    <w:rsid w:val="00C47E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C47EE9"/>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caption" w:uiPriority="99" w:qFormat="1"/>
    <w:lsdException w:name="Title" w:uiPriority="10" w:qFormat="1"/>
    <w:lsdException w:name="Body Text Indent" w:uiPriority="99"/>
    <w:lsdException w:name="Subtitle" w:uiPriority="11" w:qFormat="1"/>
    <w:lsdException w:name="Body Text 2" w:uiPriority="99"/>
    <w:lsdException w:name="Body Text Indent 2" w:uiPriority="99"/>
    <w:lsdException w:name="Body Text Indent 3" w:uiPriority="99"/>
    <w:lsdException w:name="Hyperlink" w:uiPriority="99"/>
    <w:lsdException w:name="Strong" w:uiPriority="22" w:qFormat="1"/>
    <w:lsdException w:name="Emphasis" w:uiPriority="99"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C47EE9"/>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6">
    <w:name w:val="heading 6"/>
    <w:basedOn w:val="Normal"/>
    <w:next w:val="Normal"/>
    <w:link w:val="Ttulo6Car"/>
    <w:unhideWhenUsed/>
    <w:qFormat/>
    <w:rsid w:val="00C47EE9"/>
    <w:pPr>
      <w:spacing w:before="240" w:after="60"/>
      <w:outlineLvl w:val="5"/>
    </w:pPr>
    <w:rPr>
      <w:rFonts w:ascii="Calibri" w:hAnsi="Calibri"/>
      <w:b/>
      <w:bCs/>
      <w:sz w:val="22"/>
      <w:szCs w:val="22"/>
    </w:rPr>
  </w:style>
  <w:style w:type="paragraph" w:styleId="Ttulo7">
    <w:name w:val="heading 7"/>
    <w:basedOn w:val="Normal"/>
    <w:next w:val="Normal"/>
    <w:link w:val="Ttulo7Car"/>
    <w:uiPriority w:val="99"/>
    <w:qFormat/>
    <w:rsid w:val="00C47EE9"/>
    <w:pPr>
      <w:keepNext/>
      <w:spacing w:after="0"/>
      <w:ind w:firstLine="0"/>
      <w:jc w:val="center"/>
      <w:outlineLvl w:val="6"/>
    </w:pPr>
    <w:rPr>
      <w:sz w:val="52"/>
      <w:lang w:val="es-ES" w:eastAsia="es-ES"/>
    </w:rPr>
  </w:style>
  <w:style w:type="paragraph" w:styleId="Ttulo8">
    <w:name w:val="heading 8"/>
    <w:basedOn w:val="Normal"/>
    <w:next w:val="Normal"/>
    <w:link w:val="Ttulo8Car"/>
    <w:uiPriority w:val="99"/>
    <w:semiHidden/>
    <w:unhideWhenUsed/>
    <w:qFormat/>
    <w:rsid w:val="00C47EE9"/>
    <w:pPr>
      <w:keepNext/>
      <w:snapToGrid w:val="0"/>
      <w:spacing w:after="0"/>
      <w:ind w:firstLine="0"/>
      <w:jc w:val="center"/>
      <w:outlineLvl w:val="7"/>
    </w:pPr>
    <w:rPr>
      <w:rFonts w:ascii="Arial" w:hAnsi="Arial"/>
      <w:color w:val="000000"/>
      <w:sz w:val="16"/>
      <w:u w:val="single"/>
      <w:lang w:val="es-ES" w:eastAsia="es-ES"/>
    </w:rPr>
  </w:style>
  <w:style w:type="paragraph" w:styleId="Ttulo9">
    <w:name w:val="heading 9"/>
    <w:basedOn w:val="Normal"/>
    <w:next w:val="Normal"/>
    <w:link w:val="Ttulo9Car"/>
    <w:uiPriority w:val="99"/>
    <w:semiHidden/>
    <w:unhideWhenUsed/>
    <w:qFormat/>
    <w:rsid w:val="00C47EE9"/>
    <w:pPr>
      <w:keepNext/>
      <w:snapToGrid w:val="0"/>
      <w:spacing w:after="0"/>
      <w:ind w:firstLine="0"/>
      <w:jc w:val="center"/>
      <w:outlineLvl w:val="8"/>
    </w:pPr>
    <w:rPr>
      <w:rFonts w:ascii="Arial" w:hAnsi="Arial"/>
      <w:b/>
      <w:color w:val="00000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link w:val="recomenCar"/>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CB3A5E"/>
    <w:rPr>
      <w:rFonts w:ascii="Arial" w:hAnsi="Arial"/>
      <w:b/>
      <w:color w:val="000000"/>
      <w:kern w:val="28"/>
      <w:sz w:val="25"/>
      <w:szCs w:val="26"/>
      <w:lang w:val="es-ES_tradnl" w:eastAsia="en-US"/>
    </w:rPr>
  </w:style>
  <w:style w:type="character" w:customStyle="1" w:styleId="atitulo2Car">
    <w:name w:val="atitulo2 Car"/>
    <w:link w:val="atitulo2"/>
    <w:locked/>
    <w:rsid w:val="0028205D"/>
    <w:rPr>
      <w:rFonts w:ascii="Arial" w:hAnsi="Arial"/>
      <w:bCs/>
      <w:iCs/>
      <w:color w:val="000000"/>
      <w:spacing w:val="10"/>
      <w:kern w:val="28"/>
      <w:sz w:val="25"/>
      <w:szCs w:val="26"/>
      <w:lang w:val="es-ES_tradnl" w:eastAsia="en-US"/>
    </w:rPr>
  </w:style>
  <w:style w:type="character" w:customStyle="1" w:styleId="atitulo3Car">
    <w:name w:val="atitulo3 Car"/>
    <w:link w:val="atitulo3"/>
    <w:rsid w:val="0028205D"/>
    <w:rPr>
      <w:rFonts w:ascii="Arial" w:hAnsi="Arial"/>
      <w:i/>
      <w:iCs/>
      <w:color w:val="000000"/>
      <w:spacing w:val="10"/>
      <w:kern w:val="28"/>
      <w:sz w:val="25"/>
      <w:szCs w:val="26"/>
      <w:lang w:val="es-ES_tradnl" w:eastAsia="en-US"/>
    </w:rPr>
  </w:style>
  <w:style w:type="paragraph" w:styleId="Textonotapie">
    <w:name w:val="footnote text"/>
    <w:basedOn w:val="Normal"/>
    <w:link w:val="TextonotapieCar"/>
    <w:rsid w:val="0006619D"/>
  </w:style>
  <w:style w:type="character" w:customStyle="1" w:styleId="TextonotapieCar">
    <w:name w:val="Texto nota pie Car"/>
    <w:basedOn w:val="Fuentedeprrafopredeter"/>
    <w:link w:val="Textonotapie"/>
    <w:rsid w:val="0006619D"/>
    <w:rPr>
      <w:lang w:val="es-ES_tradnl" w:eastAsia="en-US"/>
    </w:rPr>
  </w:style>
  <w:style w:type="character" w:styleId="Refdenotaalpie">
    <w:name w:val="footnote reference"/>
    <w:rsid w:val="0006619D"/>
    <w:rPr>
      <w:vertAlign w:val="superscript"/>
    </w:rPr>
  </w:style>
  <w:style w:type="paragraph" w:styleId="Prrafodelista">
    <w:name w:val="List Paragraph"/>
    <w:basedOn w:val="Normal"/>
    <w:uiPriority w:val="34"/>
    <w:qFormat/>
    <w:rsid w:val="00C47EE9"/>
    <w:pPr>
      <w:ind w:left="720"/>
      <w:contextualSpacing/>
    </w:pPr>
  </w:style>
  <w:style w:type="character" w:customStyle="1" w:styleId="Ttulo4Car">
    <w:name w:val="Título 4 Car"/>
    <w:basedOn w:val="Fuentedeprrafopredeter"/>
    <w:link w:val="Ttulo4"/>
    <w:uiPriority w:val="99"/>
    <w:rsid w:val="00C47EE9"/>
    <w:rPr>
      <w:b/>
      <w:bCs/>
      <w:sz w:val="28"/>
      <w:szCs w:val="28"/>
      <w:lang w:val="es-ES_tradnl" w:eastAsia="en-US"/>
    </w:rPr>
  </w:style>
  <w:style w:type="character" w:customStyle="1" w:styleId="Ttulo6Car">
    <w:name w:val="Título 6 Car"/>
    <w:basedOn w:val="Fuentedeprrafopredeter"/>
    <w:link w:val="Ttulo6"/>
    <w:rsid w:val="00C47EE9"/>
    <w:rPr>
      <w:rFonts w:ascii="Calibri" w:hAnsi="Calibri"/>
      <w:b/>
      <w:bCs/>
      <w:sz w:val="22"/>
      <w:szCs w:val="22"/>
      <w:lang w:val="es-ES_tradnl" w:eastAsia="en-US"/>
    </w:rPr>
  </w:style>
  <w:style w:type="character" w:customStyle="1" w:styleId="Ttulo7Car">
    <w:name w:val="Título 7 Car"/>
    <w:basedOn w:val="Fuentedeprrafopredeter"/>
    <w:link w:val="Ttulo7"/>
    <w:uiPriority w:val="99"/>
    <w:rsid w:val="00C47EE9"/>
    <w:rPr>
      <w:sz w:val="52"/>
    </w:rPr>
  </w:style>
  <w:style w:type="character" w:customStyle="1" w:styleId="Ttulo8Car">
    <w:name w:val="Título 8 Car"/>
    <w:basedOn w:val="Fuentedeprrafopredeter"/>
    <w:link w:val="Ttulo8"/>
    <w:uiPriority w:val="99"/>
    <w:semiHidden/>
    <w:rsid w:val="00C47EE9"/>
    <w:rPr>
      <w:rFonts w:ascii="Arial" w:hAnsi="Arial"/>
      <w:color w:val="000000"/>
      <w:sz w:val="16"/>
      <w:u w:val="single"/>
    </w:rPr>
  </w:style>
  <w:style w:type="character" w:customStyle="1" w:styleId="Ttulo9Car">
    <w:name w:val="Título 9 Car"/>
    <w:basedOn w:val="Fuentedeprrafopredeter"/>
    <w:link w:val="Ttulo9"/>
    <w:uiPriority w:val="99"/>
    <w:semiHidden/>
    <w:rsid w:val="00C47EE9"/>
    <w:rPr>
      <w:rFonts w:ascii="Arial" w:hAnsi="Arial"/>
      <w:b/>
      <w:color w:val="000000"/>
    </w:rPr>
  </w:style>
  <w:style w:type="character" w:customStyle="1" w:styleId="Ttulo1Car">
    <w:name w:val="Título 1 Car"/>
    <w:basedOn w:val="Fuentedeprrafopredeter"/>
    <w:link w:val="Ttulo1"/>
    <w:uiPriority w:val="99"/>
    <w:rsid w:val="00C47EE9"/>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C47EE9"/>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C47EE9"/>
    <w:rPr>
      <w:rFonts w:ascii="Arial" w:hAnsi="Arial" w:cs="Arial"/>
      <w:b/>
      <w:bCs/>
      <w:szCs w:val="26"/>
      <w:lang w:val="es-ES_tradnl" w:eastAsia="en-US"/>
    </w:rPr>
  </w:style>
  <w:style w:type="character" w:customStyle="1" w:styleId="Ttulo5Car">
    <w:name w:val="Título 5 Car"/>
    <w:basedOn w:val="Fuentedeprrafopredeter"/>
    <w:link w:val="Ttulo5"/>
    <w:uiPriority w:val="99"/>
    <w:rsid w:val="00C47EE9"/>
    <w:rPr>
      <w:b/>
      <w:sz w:val="28"/>
      <w:lang w:eastAsia="en-US"/>
    </w:rPr>
  </w:style>
  <w:style w:type="paragraph" w:styleId="Ttulo">
    <w:name w:val="Title"/>
    <w:basedOn w:val="Normal"/>
    <w:next w:val="Normal"/>
    <w:link w:val="TtuloCar"/>
    <w:uiPriority w:val="10"/>
    <w:qFormat/>
    <w:rsid w:val="00C47E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47EE9"/>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C47EE9"/>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C47EE9"/>
    <w:rPr>
      <w:rFonts w:asciiTheme="majorHAnsi" w:eastAsiaTheme="majorEastAsia" w:hAnsiTheme="majorHAnsi" w:cstheme="majorBidi"/>
      <w:i/>
      <w:iCs/>
      <w:color w:val="4F81BD" w:themeColor="accent1"/>
      <w:spacing w:val="15"/>
      <w:sz w:val="24"/>
      <w:szCs w:val="24"/>
      <w:lang w:val="es-ES_tradnl" w:eastAsia="en-US"/>
    </w:rPr>
  </w:style>
  <w:style w:type="character" w:styleId="Textoennegrita">
    <w:name w:val="Strong"/>
    <w:basedOn w:val="Fuentedeprrafopredeter"/>
    <w:uiPriority w:val="22"/>
    <w:qFormat/>
    <w:rsid w:val="00C47EE9"/>
    <w:rPr>
      <w:rFonts w:cs="Times New Roman"/>
      <w:b/>
    </w:rPr>
  </w:style>
  <w:style w:type="character" w:styleId="nfasis">
    <w:name w:val="Emphasis"/>
    <w:basedOn w:val="Fuentedeprrafopredeter"/>
    <w:uiPriority w:val="99"/>
    <w:qFormat/>
    <w:rsid w:val="00C47EE9"/>
    <w:rPr>
      <w:rFonts w:cs="Times New Roman"/>
      <w:i/>
      <w:iCs/>
    </w:rPr>
  </w:style>
  <w:style w:type="paragraph" w:styleId="Cita">
    <w:name w:val="Quote"/>
    <w:basedOn w:val="Normal"/>
    <w:next w:val="Normal"/>
    <w:link w:val="CitaCar"/>
    <w:uiPriority w:val="29"/>
    <w:qFormat/>
    <w:rsid w:val="00C47EE9"/>
    <w:rPr>
      <w:i/>
      <w:iCs/>
      <w:color w:val="000000" w:themeColor="text1"/>
    </w:rPr>
  </w:style>
  <w:style w:type="character" w:customStyle="1" w:styleId="CitaCar">
    <w:name w:val="Cita Car"/>
    <w:basedOn w:val="Fuentedeprrafopredeter"/>
    <w:link w:val="Cita"/>
    <w:uiPriority w:val="29"/>
    <w:rsid w:val="00C47EE9"/>
    <w:rPr>
      <w:i/>
      <w:iCs/>
      <w:color w:val="000000" w:themeColor="text1"/>
      <w:lang w:val="es-ES_tradnl" w:eastAsia="en-US"/>
    </w:rPr>
  </w:style>
  <w:style w:type="character" w:styleId="nfasissutil">
    <w:name w:val="Subtle Emphasis"/>
    <w:basedOn w:val="Fuentedeprrafopredeter"/>
    <w:uiPriority w:val="19"/>
    <w:qFormat/>
    <w:rsid w:val="00C47EE9"/>
    <w:rPr>
      <w:i/>
      <w:iCs/>
      <w:color w:val="808080" w:themeColor="text1" w:themeTint="7F"/>
    </w:rPr>
  </w:style>
  <w:style w:type="character" w:styleId="nfasisintenso">
    <w:name w:val="Intense Emphasis"/>
    <w:basedOn w:val="Fuentedeprrafopredeter"/>
    <w:uiPriority w:val="21"/>
    <w:qFormat/>
    <w:rsid w:val="00C47EE9"/>
    <w:rPr>
      <w:b/>
      <w:bCs/>
      <w:i/>
      <w:iCs/>
      <w:color w:val="4F81BD" w:themeColor="accent1"/>
    </w:rPr>
  </w:style>
  <w:style w:type="character" w:styleId="Referenciasutil">
    <w:name w:val="Subtle Reference"/>
    <w:basedOn w:val="Fuentedeprrafopredeter"/>
    <w:uiPriority w:val="31"/>
    <w:qFormat/>
    <w:rsid w:val="00C47EE9"/>
    <w:rPr>
      <w:smallCaps/>
      <w:color w:val="C0504D" w:themeColor="accent2"/>
      <w:u w:val="single"/>
    </w:rPr>
  </w:style>
  <w:style w:type="character" w:styleId="Referenciaintensa">
    <w:name w:val="Intense Reference"/>
    <w:basedOn w:val="Fuentedeprrafopredeter"/>
    <w:uiPriority w:val="32"/>
    <w:qFormat/>
    <w:rsid w:val="00C47EE9"/>
    <w:rPr>
      <w:b/>
      <w:bCs/>
      <w:smallCaps/>
      <w:color w:val="C0504D" w:themeColor="accent2"/>
      <w:spacing w:val="5"/>
      <w:u w:val="single"/>
    </w:rPr>
  </w:style>
  <w:style w:type="character" w:customStyle="1" w:styleId="recomenCar">
    <w:name w:val="recomen Car"/>
    <w:link w:val="recomen"/>
    <w:rsid w:val="00C47EE9"/>
    <w:rPr>
      <w:i/>
      <w:spacing w:val="6"/>
      <w:sz w:val="26"/>
      <w:szCs w:val="24"/>
      <w:lang w:eastAsia="en-US"/>
    </w:rPr>
  </w:style>
  <w:style w:type="paragraph" w:customStyle="1" w:styleId="cuatitul">
    <w:name w:val="cuatitul"/>
    <w:basedOn w:val="Normal"/>
    <w:rsid w:val="00C47EE9"/>
    <w:pPr>
      <w:spacing w:after="60"/>
      <w:ind w:firstLine="0"/>
      <w:jc w:val="center"/>
    </w:pPr>
    <w:rPr>
      <w:rFonts w:ascii="GillSans" w:hAnsi="GillSans"/>
      <w:sz w:val="22"/>
      <w:lang w:eastAsia="es-ES"/>
    </w:rPr>
  </w:style>
  <w:style w:type="paragraph" w:customStyle="1" w:styleId="Tabla">
    <w:name w:val="Tabla"/>
    <w:basedOn w:val="Normal"/>
    <w:rsid w:val="00C47EE9"/>
    <w:pPr>
      <w:spacing w:after="0"/>
      <w:ind w:firstLine="0"/>
    </w:pPr>
    <w:rPr>
      <w:rFonts w:ascii="Arial" w:hAnsi="Arial"/>
      <w:sz w:val="16"/>
      <w:lang w:eastAsia="es-ES"/>
    </w:rPr>
  </w:style>
  <w:style w:type="table" w:styleId="Tablaelegante">
    <w:name w:val="Table Elegant"/>
    <w:basedOn w:val="Tablanormal"/>
    <w:rsid w:val="00C47EE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Textoindependiente">
    <w:name w:val="Body Text"/>
    <w:basedOn w:val="Normal"/>
    <w:link w:val="TextoindependienteCar"/>
    <w:rsid w:val="00C47EE9"/>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C47EE9"/>
    <w:rPr>
      <w:rFonts w:ascii="Arial" w:hAnsi="Arial"/>
      <w:sz w:val="24"/>
      <w:lang w:val="es-ES_tradnl"/>
    </w:rPr>
  </w:style>
  <w:style w:type="paragraph" w:customStyle="1" w:styleId="recomendaciones">
    <w:name w:val="recomendaciones"/>
    <w:rsid w:val="00C47EE9"/>
    <w:pPr>
      <w:spacing w:after="140"/>
      <w:ind w:left="1418" w:firstLine="284"/>
      <w:jc w:val="both"/>
    </w:pPr>
    <w:rPr>
      <w:rFonts w:ascii="ITCCentury Book" w:hAnsi="ITCCentury Book"/>
      <w:i/>
      <w:color w:val="000000"/>
      <w:sz w:val="24"/>
      <w:lang w:val="es-ES_tradnl"/>
    </w:rPr>
  </w:style>
  <w:style w:type="paragraph" w:customStyle="1" w:styleId="norma1">
    <w:name w:val="norma1"/>
    <w:basedOn w:val="Normal"/>
    <w:rsid w:val="00C47EE9"/>
    <w:pPr>
      <w:spacing w:after="240"/>
      <w:ind w:firstLine="0"/>
    </w:pPr>
    <w:rPr>
      <w:b/>
      <w:bCs/>
      <w:caps/>
      <w:sz w:val="24"/>
      <w:szCs w:val="24"/>
      <w:lang w:val="es-ES" w:eastAsia="es-ES"/>
    </w:rPr>
  </w:style>
  <w:style w:type="paragraph" w:customStyle="1" w:styleId="Default">
    <w:name w:val="Default"/>
    <w:rsid w:val="00C47EE9"/>
    <w:pPr>
      <w:autoSpaceDE w:val="0"/>
      <w:autoSpaceDN w:val="0"/>
      <w:adjustRightInd w:val="0"/>
    </w:pPr>
    <w:rPr>
      <w:rFonts w:ascii="Arial" w:hAnsi="Arial" w:cs="Arial"/>
      <w:color w:val="000000"/>
      <w:sz w:val="24"/>
      <w:szCs w:val="24"/>
    </w:rPr>
  </w:style>
  <w:style w:type="paragraph" w:customStyle="1" w:styleId="Pa9">
    <w:name w:val="Pa9"/>
    <w:basedOn w:val="Default"/>
    <w:next w:val="Default"/>
    <w:rsid w:val="00C47EE9"/>
    <w:pPr>
      <w:spacing w:line="201" w:lineRule="atLeast"/>
    </w:pPr>
    <w:rPr>
      <w:rFonts w:cs="Times New Roman"/>
      <w:color w:val="auto"/>
    </w:rPr>
  </w:style>
  <w:style w:type="character" w:customStyle="1" w:styleId="A5">
    <w:name w:val="A5"/>
    <w:rsid w:val="00C47EE9"/>
    <w:rPr>
      <w:rFonts w:cs="Arial"/>
      <w:color w:val="000000"/>
      <w:sz w:val="16"/>
      <w:szCs w:val="16"/>
    </w:rPr>
  </w:style>
  <w:style w:type="paragraph" w:customStyle="1" w:styleId="Estndar">
    <w:name w:val="Estándar"/>
    <w:rsid w:val="00C47EE9"/>
    <w:pPr>
      <w:snapToGrid w:val="0"/>
    </w:pPr>
    <w:rPr>
      <w:rFonts w:ascii="CG Omega" w:hAnsi="CG Omega"/>
      <w:color w:val="000000"/>
      <w:sz w:val="22"/>
    </w:rPr>
  </w:style>
  <w:style w:type="paragraph" w:styleId="NormalWeb">
    <w:name w:val="Normal (Web)"/>
    <w:basedOn w:val="Normal"/>
    <w:uiPriority w:val="99"/>
    <w:rsid w:val="00C47EE9"/>
    <w:pPr>
      <w:spacing w:before="100" w:beforeAutospacing="1" w:after="100" w:afterAutospacing="1"/>
      <w:ind w:firstLine="0"/>
    </w:pPr>
    <w:rPr>
      <w:rFonts w:ascii="Verdana" w:hAnsi="Verdana"/>
      <w:sz w:val="11"/>
      <w:szCs w:val="11"/>
      <w:lang w:val="es-ES" w:eastAsia="es-ES"/>
    </w:rPr>
  </w:style>
  <w:style w:type="paragraph" w:customStyle="1" w:styleId="Pa8">
    <w:name w:val="Pa8"/>
    <w:basedOn w:val="Default"/>
    <w:next w:val="Default"/>
    <w:uiPriority w:val="99"/>
    <w:rsid w:val="00C47EE9"/>
    <w:pPr>
      <w:spacing w:line="201" w:lineRule="atLeast"/>
    </w:pPr>
    <w:rPr>
      <w:rFonts w:cs="Times New Roman"/>
      <w:color w:val="auto"/>
    </w:rPr>
  </w:style>
  <w:style w:type="paragraph" w:customStyle="1" w:styleId="foral-f-parrafo-c">
    <w:name w:val="foral-f-parrafo-c"/>
    <w:basedOn w:val="Normal"/>
    <w:uiPriority w:val="99"/>
    <w:rsid w:val="00C47EE9"/>
    <w:pPr>
      <w:spacing w:after="240"/>
      <w:ind w:firstLine="0"/>
      <w:jc w:val="left"/>
    </w:pPr>
    <w:rPr>
      <w:sz w:val="24"/>
      <w:szCs w:val="24"/>
      <w:lang w:val="es-ES" w:eastAsia="es-ES"/>
    </w:rPr>
  </w:style>
  <w:style w:type="paragraph" w:customStyle="1" w:styleId="foral-f-parrafo-3lineas-t5-c">
    <w:name w:val="foral-f-parrafo-3lineas-t5-c"/>
    <w:basedOn w:val="Normal"/>
    <w:rsid w:val="00C47EE9"/>
    <w:pPr>
      <w:spacing w:after="240"/>
      <w:ind w:firstLine="0"/>
      <w:jc w:val="left"/>
    </w:pPr>
    <w:rPr>
      <w:sz w:val="24"/>
      <w:szCs w:val="24"/>
      <w:lang w:val="es-ES" w:eastAsia="es-ES"/>
    </w:rPr>
  </w:style>
  <w:style w:type="paragraph" w:customStyle="1" w:styleId="aaa">
    <w:name w:val="aaa"/>
    <w:basedOn w:val="Normal"/>
    <w:rsid w:val="00C47EE9"/>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lang w:eastAsia="es-ES"/>
    </w:rPr>
  </w:style>
  <w:style w:type="paragraph" w:customStyle="1" w:styleId="INF-TEXTO">
    <w:name w:val="INF-TEXTO"/>
    <w:rsid w:val="00C47EE9"/>
    <w:pPr>
      <w:tabs>
        <w:tab w:val="left" w:pos="992"/>
      </w:tabs>
      <w:spacing w:after="300" w:line="340" w:lineRule="exact"/>
      <w:ind w:firstLine="567"/>
      <w:jc w:val="both"/>
    </w:pPr>
    <w:rPr>
      <w:rFonts w:ascii="Arial" w:hAnsi="Arial"/>
      <w:sz w:val="24"/>
    </w:rPr>
  </w:style>
  <w:style w:type="paragraph" w:customStyle="1" w:styleId="ANUEVO">
    <w:name w:val="A.NUEVO"/>
    <w:basedOn w:val="Normal"/>
    <w:rsid w:val="00C47EE9"/>
    <w:pPr>
      <w:widowControl w:val="0"/>
      <w:overflowPunct w:val="0"/>
      <w:autoSpaceDE w:val="0"/>
      <w:autoSpaceDN w:val="0"/>
      <w:adjustRightInd w:val="0"/>
      <w:spacing w:after="0"/>
      <w:ind w:firstLine="0"/>
    </w:pPr>
    <w:rPr>
      <w:rFonts w:ascii="Arial" w:hAnsi="Arial"/>
      <w:i/>
      <w:color w:val="0000FF"/>
      <w:sz w:val="17"/>
      <w:lang w:val="es-ES" w:eastAsia="es-ES"/>
    </w:rPr>
  </w:style>
  <w:style w:type="character" w:styleId="Hipervnculovisitado">
    <w:name w:val="FollowedHyperlink"/>
    <w:rsid w:val="00C47EE9"/>
    <w:rPr>
      <w:color w:val="800080"/>
      <w:u w:val="single"/>
    </w:rPr>
  </w:style>
  <w:style w:type="paragraph" w:customStyle="1" w:styleId="xa1">
    <w:name w:val="xa1"/>
    <w:basedOn w:val="Normal"/>
    <w:rsid w:val="00C47EE9"/>
    <w:pPr>
      <w:spacing w:after="240"/>
      <w:ind w:left="200" w:right="50" w:firstLine="0"/>
    </w:pPr>
    <w:rPr>
      <w:sz w:val="24"/>
      <w:szCs w:val="24"/>
      <w:lang w:val="es-ES" w:eastAsia="es-ES"/>
    </w:rPr>
  </w:style>
  <w:style w:type="paragraph" w:customStyle="1" w:styleId="xl1">
    <w:name w:val="xl1"/>
    <w:basedOn w:val="Normal"/>
    <w:rsid w:val="00C47EE9"/>
    <w:pPr>
      <w:spacing w:after="240"/>
      <w:ind w:left="200" w:right="50" w:hanging="150"/>
    </w:pPr>
    <w:rPr>
      <w:sz w:val="24"/>
      <w:szCs w:val="24"/>
      <w:lang w:val="es-ES" w:eastAsia="es-ES"/>
    </w:rPr>
  </w:style>
  <w:style w:type="paragraph" w:customStyle="1" w:styleId="xl2">
    <w:name w:val="xl2"/>
    <w:basedOn w:val="Normal"/>
    <w:rsid w:val="00C47EE9"/>
    <w:pPr>
      <w:spacing w:after="240"/>
      <w:ind w:left="350" w:right="50" w:hanging="150"/>
    </w:pPr>
    <w:rPr>
      <w:sz w:val="24"/>
      <w:szCs w:val="24"/>
      <w:lang w:val="es-ES" w:eastAsia="es-ES"/>
    </w:rPr>
  </w:style>
  <w:style w:type="character" w:customStyle="1" w:styleId="searchterm2">
    <w:name w:val="searchterm2"/>
    <w:rsid w:val="00C47EE9"/>
    <w:rPr>
      <w:b/>
      <w:bCs/>
      <w:color w:val="000000"/>
      <w:shd w:val="clear" w:color="auto" w:fill="FFFFBF"/>
    </w:rPr>
  </w:style>
  <w:style w:type="paragraph" w:customStyle="1" w:styleId="Pa7">
    <w:name w:val="Pa7"/>
    <w:basedOn w:val="Default"/>
    <w:next w:val="Default"/>
    <w:uiPriority w:val="99"/>
    <w:rsid w:val="00C47EE9"/>
    <w:pPr>
      <w:spacing w:line="201" w:lineRule="atLeast"/>
    </w:pPr>
    <w:rPr>
      <w:rFonts w:cs="Times New Roman"/>
      <w:color w:val="auto"/>
    </w:rPr>
  </w:style>
  <w:style w:type="character" w:customStyle="1" w:styleId="PiedepginaCar">
    <w:name w:val="Pie de página Car"/>
    <w:link w:val="Piedepgina"/>
    <w:uiPriority w:val="99"/>
    <w:rsid w:val="00C47EE9"/>
    <w:rPr>
      <w:spacing w:val="6"/>
      <w:lang w:val="es-ES_tradnl" w:eastAsia="en-US"/>
    </w:rPr>
  </w:style>
  <w:style w:type="paragraph" w:customStyle="1" w:styleId="ParrafoClausulas">
    <w:name w:val="ParrafoClausulas"/>
    <w:basedOn w:val="Normal"/>
    <w:rsid w:val="00C47EE9"/>
    <w:pPr>
      <w:tabs>
        <w:tab w:val="left" w:pos="720"/>
        <w:tab w:val="center" w:pos="3888"/>
      </w:tabs>
      <w:spacing w:after="120" w:line="340" w:lineRule="atLeast"/>
      <w:ind w:firstLine="720"/>
    </w:pPr>
    <w:rPr>
      <w:rFonts w:ascii="Arial" w:hAnsi="Arial"/>
      <w:sz w:val="22"/>
      <w:lang w:eastAsia="es-ES"/>
    </w:rPr>
  </w:style>
  <w:style w:type="paragraph" w:customStyle="1" w:styleId="Cuadropequea9centradonegrita6">
    <w:name w:val="Cuadro pequeña 9 centrado negrita6"/>
    <w:basedOn w:val="Normal"/>
    <w:autoRedefine/>
    <w:rsid w:val="00C47EE9"/>
    <w:pPr>
      <w:tabs>
        <w:tab w:val="left" w:pos="851"/>
      </w:tabs>
      <w:autoSpaceDE w:val="0"/>
      <w:autoSpaceDN w:val="0"/>
      <w:adjustRightInd w:val="0"/>
      <w:spacing w:before="120" w:after="60"/>
      <w:ind w:firstLine="0"/>
      <w:jc w:val="center"/>
    </w:pPr>
    <w:rPr>
      <w:rFonts w:ascii="Arial" w:hAnsi="Arial" w:cs="Arial"/>
      <w:b/>
      <w:bCs/>
      <w:sz w:val="18"/>
      <w:lang w:val="es-ES" w:eastAsia="es-ES"/>
    </w:rPr>
  </w:style>
  <w:style w:type="paragraph" w:customStyle="1" w:styleId="Cuadropequea9centradonegrita31">
    <w:name w:val="Cuadro pequeña 9 centrado negrita31"/>
    <w:basedOn w:val="Normal"/>
    <w:autoRedefine/>
    <w:rsid w:val="00C47EE9"/>
    <w:pPr>
      <w:widowControl w:val="0"/>
      <w:tabs>
        <w:tab w:val="left" w:pos="851"/>
      </w:tabs>
      <w:autoSpaceDE w:val="0"/>
      <w:autoSpaceDN w:val="0"/>
      <w:adjustRightInd w:val="0"/>
      <w:spacing w:before="120" w:after="60"/>
      <w:ind w:firstLine="0"/>
      <w:jc w:val="center"/>
    </w:pPr>
    <w:rPr>
      <w:rFonts w:ascii="Arial" w:hAnsi="Arial" w:cs="Arial"/>
      <w:b/>
      <w:bCs/>
      <w:sz w:val="18"/>
      <w:lang w:val="es-MX" w:eastAsia="es-ES"/>
    </w:rPr>
  </w:style>
  <w:style w:type="paragraph" w:customStyle="1" w:styleId="Cuadropequea931">
    <w:name w:val="Cuadro pequeña 931"/>
    <w:basedOn w:val="Normal"/>
    <w:autoRedefine/>
    <w:rsid w:val="00C47EE9"/>
    <w:pPr>
      <w:widowControl w:val="0"/>
      <w:tabs>
        <w:tab w:val="left" w:pos="284"/>
        <w:tab w:val="num" w:pos="1610"/>
      </w:tabs>
      <w:autoSpaceDE w:val="0"/>
      <w:autoSpaceDN w:val="0"/>
      <w:adjustRightInd w:val="0"/>
      <w:spacing w:before="40" w:after="60"/>
      <w:ind w:firstLine="0"/>
      <w:jc w:val="left"/>
    </w:pPr>
    <w:rPr>
      <w:rFonts w:ascii="Arial" w:hAnsi="Arial" w:cs="Arial"/>
      <w:bCs/>
      <w:sz w:val="18"/>
      <w:lang w:val="es-ES" w:eastAsia="es-ES"/>
    </w:rPr>
  </w:style>
  <w:style w:type="character" w:customStyle="1" w:styleId="Cuadropequea9izda12Car">
    <w:name w:val="Cuadro pequeña 9 izda12 Car"/>
    <w:link w:val="Cuadropequea9izda12"/>
    <w:locked/>
    <w:rsid w:val="00C47EE9"/>
    <w:rPr>
      <w:rFonts w:ascii="Arial" w:hAnsi="Arial" w:cs="Arial"/>
      <w:b/>
      <w:bCs/>
      <w:sz w:val="18"/>
      <w:lang w:val="es-MX"/>
    </w:rPr>
  </w:style>
  <w:style w:type="paragraph" w:customStyle="1" w:styleId="Cuadropequea9izda12">
    <w:name w:val="Cuadro pequeña 9 izda12"/>
    <w:basedOn w:val="Normal"/>
    <w:link w:val="Cuadropequea9izda12Car"/>
    <w:autoRedefine/>
    <w:rsid w:val="00C47EE9"/>
    <w:pPr>
      <w:widowControl w:val="0"/>
      <w:tabs>
        <w:tab w:val="left" w:pos="851"/>
      </w:tabs>
      <w:autoSpaceDE w:val="0"/>
      <w:autoSpaceDN w:val="0"/>
      <w:adjustRightInd w:val="0"/>
      <w:spacing w:before="120" w:after="60"/>
      <w:ind w:firstLine="0"/>
      <w:jc w:val="left"/>
    </w:pPr>
    <w:rPr>
      <w:rFonts w:ascii="Arial" w:hAnsi="Arial" w:cs="Arial"/>
      <w:b/>
      <w:bCs/>
      <w:sz w:val="18"/>
      <w:lang w:val="es-MX" w:eastAsia="es-ES"/>
    </w:rPr>
  </w:style>
  <w:style w:type="paragraph" w:customStyle="1" w:styleId="Cuadropequea9dcha11">
    <w:name w:val="Cuadro pequeña 9 dcha11"/>
    <w:basedOn w:val="Normal"/>
    <w:autoRedefine/>
    <w:rsid w:val="00C47EE9"/>
    <w:pPr>
      <w:widowControl w:val="0"/>
      <w:tabs>
        <w:tab w:val="left" w:pos="851"/>
      </w:tabs>
      <w:autoSpaceDE w:val="0"/>
      <w:autoSpaceDN w:val="0"/>
      <w:adjustRightInd w:val="0"/>
      <w:spacing w:before="40" w:after="60"/>
      <w:ind w:firstLine="0"/>
      <w:jc w:val="right"/>
    </w:pPr>
    <w:rPr>
      <w:rFonts w:ascii="Arial" w:hAnsi="Arial" w:cs="Arial"/>
      <w:bCs/>
      <w:sz w:val="18"/>
      <w:lang w:val="es-MX" w:eastAsia="es-ES"/>
    </w:rPr>
  </w:style>
  <w:style w:type="paragraph" w:customStyle="1" w:styleId="Cuadropequea9negrita11">
    <w:name w:val="Cuadro pequeña 9 negrita11"/>
    <w:basedOn w:val="Normal"/>
    <w:rsid w:val="00C47EE9"/>
    <w:pPr>
      <w:widowControl w:val="0"/>
      <w:tabs>
        <w:tab w:val="left" w:pos="426"/>
        <w:tab w:val="right" w:pos="3686"/>
        <w:tab w:val="right" w:pos="4041"/>
        <w:tab w:val="right" w:pos="4820"/>
        <w:tab w:val="right" w:pos="5103"/>
        <w:tab w:val="right" w:pos="6237"/>
        <w:tab w:val="right" w:pos="7230"/>
        <w:tab w:val="right" w:pos="8505"/>
        <w:tab w:val="left" w:pos="8535"/>
        <w:tab w:val="right" w:pos="10773"/>
        <w:tab w:val="right" w:pos="11907"/>
        <w:tab w:val="right" w:pos="13041"/>
        <w:tab w:val="right" w:pos="14175"/>
        <w:tab w:val="right" w:pos="15168"/>
      </w:tabs>
      <w:autoSpaceDE w:val="0"/>
      <w:autoSpaceDN w:val="0"/>
      <w:adjustRightInd w:val="0"/>
      <w:snapToGrid w:val="0"/>
      <w:spacing w:before="40" w:after="60"/>
      <w:ind w:firstLine="0"/>
      <w:jc w:val="right"/>
    </w:pPr>
    <w:rPr>
      <w:rFonts w:ascii="Arial" w:hAnsi="Arial" w:cs="Arial"/>
      <w:b/>
      <w:bCs/>
      <w:color w:val="000000"/>
      <w:position w:val="6"/>
      <w:sz w:val="18"/>
      <w:lang w:val="es-MX" w:eastAsia="es-ES"/>
    </w:rPr>
  </w:style>
  <w:style w:type="character" w:customStyle="1" w:styleId="CuadropequeacentradonegritaCar6">
    <w:name w:val="Cuadro pequeña centrado negrita Car6"/>
    <w:rsid w:val="00C47EE9"/>
    <w:rPr>
      <w:rFonts w:ascii="Arial" w:hAnsi="Arial" w:cs="Arial" w:hint="default"/>
      <w:b/>
      <w:bCs w:val="0"/>
      <w:snapToGrid/>
      <w:position w:val="6"/>
      <w:sz w:val="18"/>
      <w:lang w:val="es-MX" w:eastAsia="es-ES" w:bidi="ar-SA"/>
    </w:rPr>
  </w:style>
  <w:style w:type="paragraph" w:customStyle="1" w:styleId="simple">
    <w:name w:val="simple"/>
    <w:basedOn w:val="Normal"/>
    <w:rsid w:val="00C47EE9"/>
    <w:pPr>
      <w:spacing w:before="100" w:beforeAutospacing="1" w:after="100" w:afterAutospacing="1"/>
      <w:ind w:firstLine="0"/>
      <w:jc w:val="left"/>
    </w:pPr>
    <w:rPr>
      <w:sz w:val="24"/>
      <w:szCs w:val="24"/>
      <w:lang w:val="es-ES" w:eastAsia="es-ES"/>
    </w:rPr>
  </w:style>
  <w:style w:type="character" w:customStyle="1" w:styleId="searchterm">
    <w:name w:val="searchterm"/>
    <w:rsid w:val="00C47EE9"/>
  </w:style>
  <w:style w:type="character" w:customStyle="1" w:styleId="EncabezadoCar">
    <w:name w:val="Encabezado Car"/>
    <w:link w:val="Encabezado"/>
    <w:rsid w:val="00C47EE9"/>
    <w:rPr>
      <w:bCs/>
      <w:caps/>
      <w:sz w:val="14"/>
      <w:szCs w:val="12"/>
      <w:lang w:val="es-ES_tradnl" w:eastAsia="en-US"/>
    </w:rPr>
  </w:style>
  <w:style w:type="paragraph" w:styleId="Sangradetextonormal">
    <w:name w:val="Body Text Indent"/>
    <w:basedOn w:val="Normal"/>
    <w:link w:val="SangradetextonormalCar"/>
    <w:uiPriority w:val="99"/>
    <w:unhideWhenUsed/>
    <w:rsid w:val="00C47EE9"/>
    <w:pPr>
      <w:spacing w:after="0" w:line="309" w:lineRule="auto"/>
      <w:ind w:firstLine="708"/>
    </w:pPr>
    <w:rPr>
      <w:rFonts w:ascii="Arial" w:hAnsi="Arial"/>
      <w:sz w:val="22"/>
      <w:lang w:eastAsia="es-ES"/>
    </w:rPr>
  </w:style>
  <w:style w:type="character" w:customStyle="1" w:styleId="SangradetextonormalCar">
    <w:name w:val="Sangría de texto normal Car"/>
    <w:basedOn w:val="Fuentedeprrafopredeter"/>
    <w:link w:val="Sangradetextonormal"/>
    <w:uiPriority w:val="99"/>
    <w:rsid w:val="00C47EE9"/>
    <w:rPr>
      <w:rFonts w:ascii="Arial" w:hAnsi="Arial"/>
      <w:sz w:val="22"/>
      <w:lang w:val="es-ES_tradnl"/>
    </w:rPr>
  </w:style>
  <w:style w:type="paragraph" w:styleId="Textoindependiente2">
    <w:name w:val="Body Text 2"/>
    <w:basedOn w:val="Normal"/>
    <w:link w:val="Textoindependiente2Car"/>
    <w:uiPriority w:val="99"/>
    <w:unhideWhenUsed/>
    <w:rsid w:val="00C47EE9"/>
    <w:pPr>
      <w:spacing w:after="0" w:line="309" w:lineRule="auto"/>
      <w:ind w:firstLine="0"/>
    </w:pPr>
    <w:rPr>
      <w:rFonts w:ascii="Arial" w:hAnsi="Arial"/>
      <w:lang w:eastAsia="es-ES"/>
    </w:rPr>
  </w:style>
  <w:style w:type="character" w:customStyle="1" w:styleId="Textoindependiente2Car">
    <w:name w:val="Texto independiente 2 Car"/>
    <w:basedOn w:val="Fuentedeprrafopredeter"/>
    <w:link w:val="Textoindependiente2"/>
    <w:uiPriority w:val="99"/>
    <w:rsid w:val="00C47EE9"/>
    <w:rPr>
      <w:rFonts w:ascii="Arial" w:hAnsi="Arial"/>
      <w:lang w:val="es-ES_tradnl"/>
    </w:rPr>
  </w:style>
  <w:style w:type="paragraph" w:styleId="Textoindependiente3">
    <w:name w:val="Body Text 3"/>
    <w:basedOn w:val="Normal"/>
    <w:link w:val="Textoindependiente3Car"/>
    <w:unhideWhenUsed/>
    <w:rsid w:val="00C47EE9"/>
    <w:pPr>
      <w:spacing w:after="0" w:line="309" w:lineRule="auto"/>
      <w:ind w:firstLine="0"/>
    </w:pPr>
    <w:rPr>
      <w:sz w:val="18"/>
      <w:lang w:eastAsia="es-ES"/>
    </w:rPr>
  </w:style>
  <w:style w:type="character" w:customStyle="1" w:styleId="Textoindependiente3Car">
    <w:name w:val="Texto independiente 3 Car"/>
    <w:basedOn w:val="Fuentedeprrafopredeter"/>
    <w:link w:val="Textoindependiente3"/>
    <w:rsid w:val="00C47EE9"/>
    <w:rPr>
      <w:sz w:val="18"/>
      <w:lang w:val="es-ES_tradnl"/>
    </w:rPr>
  </w:style>
  <w:style w:type="paragraph" w:styleId="Sangra2detindependiente">
    <w:name w:val="Body Text Indent 2"/>
    <w:basedOn w:val="Normal"/>
    <w:link w:val="Sangra2detindependienteCar"/>
    <w:uiPriority w:val="99"/>
    <w:unhideWhenUsed/>
    <w:rsid w:val="00C47EE9"/>
    <w:pPr>
      <w:spacing w:after="0" w:line="309" w:lineRule="auto"/>
      <w:ind w:left="426" w:firstLine="0"/>
    </w:pPr>
    <w:rPr>
      <w:rFonts w:ascii="Arial" w:hAnsi="Arial"/>
      <w:lang w:eastAsia="es-ES"/>
    </w:rPr>
  </w:style>
  <w:style w:type="character" w:customStyle="1" w:styleId="Sangra2detindependienteCar">
    <w:name w:val="Sangría 2 de t. independiente Car"/>
    <w:basedOn w:val="Fuentedeprrafopredeter"/>
    <w:link w:val="Sangra2detindependiente"/>
    <w:uiPriority w:val="99"/>
    <w:rsid w:val="00C47EE9"/>
    <w:rPr>
      <w:rFonts w:ascii="Arial" w:hAnsi="Arial"/>
      <w:lang w:val="es-ES_tradnl"/>
    </w:rPr>
  </w:style>
  <w:style w:type="paragraph" w:styleId="Sangra3detindependiente">
    <w:name w:val="Body Text Indent 3"/>
    <w:basedOn w:val="Normal"/>
    <w:link w:val="Sangra3detindependienteCar"/>
    <w:uiPriority w:val="99"/>
    <w:unhideWhenUsed/>
    <w:rsid w:val="00C47EE9"/>
    <w:pPr>
      <w:spacing w:after="0" w:line="309" w:lineRule="auto"/>
      <w:ind w:left="426" w:firstLine="0"/>
    </w:pPr>
    <w:rPr>
      <w:rFonts w:ascii="Arial" w:hAnsi="Arial"/>
      <w:sz w:val="22"/>
      <w:lang w:eastAsia="es-ES"/>
    </w:rPr>
  </w:style>
  <w:style w:type="character" w:customStyle="1" w:styleId="Sangra3detindependienteCar">
    <w:name w:val="Sangría 3 de t. independiente Car"/>
    <w:basedOn w:val="Fuentedeprrafopredeter"/>
    <w:link w:val="Sangra3detindependiente"/>
    <w:uiPriority w:val="99"/>
    <w:rsid w:val="00C47EE9"/>
    <w:rPr>
      <w:rFonts w:ascii="Arial" w:hAnsi="Arial"/>
      <w:sz w:val="22"/>
      <w:lang w:val="es-ES_tradnl"/>
    </w:rPr>
  </w:style>
  <w:style w:type="paragraph" w:styleId="Mapadeldocumento">
    <w:name w:val="Document Map"/>
    <w:basedOn w:val="Normal"/>
    <w:link w:val="MapadeldocumentoCar"/>
    <w:unhideWhenUsed/>
    <w:rsid w:val="00C47EE9"/>
    <w:pPr>
      <w:shd w:val="clear" w:color="auto" w:fill="000080"/>
      <w:spacing w:after="0"/>
      <w:ind w:firstLine="0"/>
      <w:jc w:val="left"/>
    </w:pPr>
    <w:rPr>
      <w:rFonts w:ascii="Tahoma" w:hAnsi="Tahoma"/>
      <w:lang w:eastAsia="es-ES"/>
    </w:rPr>
  </w:style>
  <w:style w:type="character" w:customStyle="1" w:styleId="MapadeldocumentoCar">
    <w:name w:val="Mapa del documento Car"/>
    <w:basedOn w:val="Fuentedeprrafopredeter"/>
    <w:link w:val="Mapadeldocumento"/>
    <w:uiPriority w:val="99"/>
    <w:rsid w:val="00C47EE9"/>
    <w:rPr>
      <w:rFonts w:ascii="Tahoma" w:hAnsi="Tahoma"/>
      <w:shd w:val="clear" w:color="auto" w:fill="000080"/>
      <w:lang w:val="es-ES_tradnl"/>
    </w:rPr>
  </w:style>
  <w:style w:type="character" w:customStyle="1" w:styleId="TextodegloboCar">
    <w:name w:val="Texto de globo Car"/>
    <w:link w:val="Textodeglobo"/>
    <w:uiPriority w:val="99"/>
    <w:semiHidden/>
    <w:rsid w:val="00C47EE9"/>
    <w:rPr>
      <w:rFonts w:ascii="Tahoma" w:hAnsi="Tahoma" w:cs="Tahoma"/>
      <w:sz w:val="16"/>
      <w:szCs w:val="16"/>
      <w:lang w:val="es-ES_tradnl" w:eastAsia="en-US"/>
    </w:rPr>
  </w:style>
  <w:style w:type="paragraph" w:customStyle="1" w:styleId="ML">
    <w:name w:val="M/L"/>
    <w:basedOn w:val="Normal"/>
    <w:uiPriority w:val="99"/>
    <w:rsid w:val="00C47EE9"/>
    <w:pPr>
      <w:spacing w:after="0" w:line="309" w:lineRule="auto"/>
      <w:ind w:left="-851" w:firstLine="0"/>
    </w:pPr>
    <w:rPr>
      <w:rFonts w:ascii="Arial" w:hAnsi="Arial"/>
      <w:b/>
      <w:caps/>
      <w:sz w:val="28"/>
      <w:lang w:eastAsia="es-ES"/>
    </w:rPr>
  </w:style>
  <w:style w:type="paragraph" w:customStyle="1" w:styleId="c20">
    <w:name w:val="c20"/>
    <w:basedOn w:val="Normal"/>
    <w:uiPriority w:val="99"/>
    <w:rsid w:val="00C47EE9"/>
    <w:pPr>
      <w:spacing w:before="100" w:beforeAutospacing="1" w:after="100" w:afterAutospacing="1"/>
      <w:ind w:firstLine="0"/>
      <w:jc w:val="left"/>
    </w:pPr>
    <w:rPr>
      <w:sz w:val="24"/>
      <w:szCs w:val="24"/>
      <w:lang w:val="es-ES" w:eastAsia="es-ES"/>
    </w:rPr>
  </w:style>
  <w:style w:type="paragraph" w:customStyle="1" w:styleId="AVIEJO">
    <w:name w:val="A.VIEJO"/>
    <w:basedOn w:val="Normal"/>
    <w:uiPriority w:val="99"/>
    <w:rsid w:val="00C47EE9"/>
    <w:pPr>
      <w:widowControl w:val="0"/>
      <w:overflowPunct w:val="0"/>
      <w:autoSpaceDE w:val="0"/>
      <w:autoSpaceDN w:val="0"/>
      <w:adjustRightInd w:val="0"/>
      <w:spacing w:after="0"/>
      <w:ind w:left="709" w:firstLine="0"/>
    </w:pPr>
    <w:rPr>
      <w:rFonts w:ascii="Arial" w:hAnsi="Arial"/>
      <w:i/>
      <w:noProof/>
      <w:color w:val="008080"/>
      <w:sz w:val="17"/>
      <w:lang w:val="es-ES" w:eastAsia="es-ES"/>
    </w:rPr>
  </w:style>
  <w:style w:type="paragraph" w:customStyle="1" w:styleId="a">
    <w:name w:val="a"/>
    <w:basedOn w:val="Normal"/>
    <w:rsid w:val="00C47EE9"/>
    <w:pPr>
      <w:spacing w:before="100" w:beforeAutospacing="1" w:after="100" w:afterAutospacing="1"/>
      <w:ind w:firstLine="0"/>
      <w:jc w:val="left"/>
    </w:pPr>
    <w:rPr>
      <w:sz w:val="24"/>
      <w:szCs w:val="24"/>
      <w:lang w:val="es-ES" w:eastAsia="es-ES"/>
    </w:rPr>
  </w:style>
  <w:style w:type="character" w:customStyle="1" w:styleId="rubrica">
    <w:name w:val="rubrica"/>
    <w:rsid w:val="00C47EE9"/>
  </w:style>
  <w:style w:type="character" w:customStyle="1" w:styleId="highlight">
    <w:name w:val="highlight"/>
    <w:rsid w:val="00C47EE9"/>
  </w:style>
  <w:style w:type="paragraph" w:customStyle="1" w:styleId="PARA">
    <w:name w:val="PARA"/>
    <w:basedOn w:val="Normal"/>
    <w:rsid w:val="00C47EE9"/>
    <w:pPr>
      <w:spacing w:after="0" w:line="240" w:lineRule="atLeast"/>
      <w:ind w:firstLine="0"/>
      <w:jc w:val="left"/>
    </w:pPr>
    <w:rPr>
      <w:rFonts w:ascii="Arial" w:hAnsi="Arial"/>
      <w:lang w:val="en-GB" w:eastAsia="es-ES"/>
    </w:rPr>
  </w:style>
  <w:style w:type="paragraph" w:styleId="Textonotaalfinal">
    <w:name w:val="endnote text"/>
    <w:basedOn w:val="Normal"/>
    <w:link w:val="TextonotaalfinalCar"/>
    <w:rsid w:val="00C47EE9"/>
  </w:style>
  <w:style w:type="character" w:customStyle="1" w:styleId="TextonotaalfinalCar">
    <w:name w:val="Texto nota al final Car"/>
    <w:basedOn w:val="Fuentedeprrafopredeter"/>
    <w:link w:val="Textonotaalfinal"/>
    <w:rsid w:val="00C47EE9"/>
    <w:rPr>
      <w:lang w:val="es-ES_tradnl" w:eastAsia="en-US"/>
    </w:rPr>
  </w:style>
  <w:style w:type="character" w:styleId="Refdenotaalfinal">
    <w:name w:val="endnote reference"/>
    <w:rsid w:val="00C47EE9"/>
    <w:rPr>
      <w:vertAlign w:val="superscript"/>
    </w:rPr>
  </w:style>
  <w:style w:type="numbering" w:customStyle="1" w:styleId="Sinlista1">
    <w:name w:val="Sin lista1"/>
    <w:next w:val="Sinlista"/>
    <w:uiPriority w:val="99"/>
    <w:semiHidden/>
    <w:unhideWhenUsed/>
    <w:rsid w:val="00C47EE9"/>
  </w:style>
  <w:style w:type="table" w:customStyle="1" w:styleId="Tablaconcuadrcula1">
    <w:name w:val="Tabla con cuadrícula1"/>
    <w:basedOn w:val="Tablanormal"/>
    <w:next w:val="Tablaconcuadrcula"/>
    <w:uiPriority w:val="59"/>
    <w:rsid w:val="00C47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ghligh1">
    <w:name w:val="hithighligh1"/>
    <w:rsid w:val="00C47EE9"/>
    <w:rPr>
      <w:shd w:val="clear" w:color="auto" w:fill="FCFE7C"/>
    </w:rPr>
  </w:style>
  <w:style w:type="paragraph" w:customStyle="1" w:styleId="anadir1">
    <w:name w:val="anadir1"/>
    <w:basedOn w:val="Normal"/>
    <w:rsid w:val="00C47EE9"/>
    <w:pPr>
      <w:spacing w:after="240"/>
      <w:ind w:right="240" w:firstLine="0"/>
      <w:jc w:val="right"/>
    </w:pPr>
    <w:rPr>
      <w:sz w:val="22"/>
      <w:szCs w:val="22"/>
      <w:lang w:val="es-ES" w:eastAsia="es-ES"/>
    </w:rPr>
  </w:style>
  <w:style w:type="character" w:customStyle="1" w:styleId="textoplanoCar">
    <w:name w:val="texto plano Car"/>
    <w:link w:val="textoplano"/>
    <w:locked/>
    <w:rsid w:val="00C47EE9"/>
    <w:rPr>
      <w:rFonts w:ascii="Arial" w:hAnsi="Arial" w:cs="Arial"/>
      <w:color w:val="000000"/>
      <w:sz w:val="19"/>
      <w:lang w:eastAsia="en-US"/>
    </w:rPr>
  </w:style>
  <w:style w:type="paragraph" w:customStyle="1" w:styleId="textoplano">
    <w:name w:val="texto plano"/>
    <w:basedOn w:val="Normal"/>
    <w:link w:val="textoplanoCar"/>
    <w:qFormat/>
    <w:rsid w:val="00C47EE9"/>
    <w:pPr>
      <w:spacing w:before="60" w:after="100" w:line="240" w:lineRule="exact"/>
      <w:ind w:left="2971" w:firstLine="0"/>
      <w:textboxTightWrap w:val="allLines"/>
    </w:pPr>
    <w:rPr>
      <w:rFonts w:ascii="Arial" w:hAnsi="Arial" w:cs="Arial"/>
      <w:color w:val="000000"/>
      <w:sz w:val="19"/>
      <w:lang w:val="es-ES"/>
    </w:rPr>
  </w:style>
  <w:style w:type="paragraph" w:customStyle="1" w:styleId="norma">
    <w:name w:val="norma"/>
    <w:basedOn w:val="Normal"/>
    <w:rsid w:val="00C47EE9"/>
    <w:pPr>
      <w:spacing w:after="0"/>
      <w:ind w:firstLine="0"/>
      <w:jc w:val="left"/>
    </w:pPr>
    <w:rPr>
      <w:sz w:val="24"/>
      <w:szCs w:val="24"/>
      <w:lang w:val="es-ES" w:eastAsia="es-ES"/>
    </w:rPr>
  </w:style>
  <w:style w:type="table" w:styleId="Tablaconcolumnas1">
    <w:name w:val="Table Columns 1"/>
    <w:basedOn w:val="Tablanormal"/>
    <w:rsid w:val="00C47EE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2">
    <w:name w:val="Table 3D effects 2"/>
    <w:basedOn w:val="Tablanormal"/>
    <w:rsid w:val="00C47E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uadrcula11">
    <w:name w:val="Tabla con cuadrícula11"/>
    <w:basedOn w:val="Tablanormal"/>
    <w:next w:val="Tablaconcuadrcula"/>
    <w:uiPriority w:val="59"/>
    <w:rsid w:val="00C47E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rsid w:val="00C47EE9"/>
    <w:rPr>
      <w:sz w:val="16"/>
      <w:szCs w:val="16"/>
    </w:rPr>
  </w:style>
  <w:style w:type="paragraph" w:styleId="Textocomentario">
    <w:name w:val="annotation text"/>
    <w:basedOn w:val="Normal"/>
    <w:link w:val="TextocomentarioCar"/>
    <w:rsid w:val="00C47EE9"/>
  </w:style>
  <w:style w:type="character" w:customStyle="1" w:styleId="TextocomentarioCar">
    <w:name w:val="Texto comentario Car"/>
    <w:basedOn w:val="Fuentedeprrafopredeter"/>
    <w:link w:val="Textocomentario"/>
    <w:rsid w:val="00C47EE9"/>
    <w:rPr>
      <w:lang w:val="es-ES_tradnl" w:eastAsia="en-US"/>
    </w:rPr>
  </w:style>
  <w:style w:type="paragraph" w:styleId="Asuntodelcomentario">
    <w:name w:val="annotation subject"/>
    <w:basedOn w:val="Textocomentario"/>
    <w:next w:val="Textocomentario"/>
    <w:link w:val="AsuntodelcomentarioCar"/>
    <w:rsid w:val="00C47EE9"/>
    <w:rPr>
      <w:b/>
      <w:bCs/>
    </w:rPr>
  </w:style>
  <w:style w:type="character" w:customStyle="1" w:styleId="AsuntodelcomentarioCar">
    <w:name w:val="Asunto del comentario Car"/>
    <w:basedOn w:val="TextocomentarioCar"/>
    <w:link w:val="Asuntodelcomentario"/>
    <w:rsid w:val="00C47EE9"/>
    <w:rPr>
      <w:b/>
      <w:bCs/>
      <w:lang w:val="es-ES_tradnl" w:eastAsia="en-US"/>
    </w:rPr>
  </w:style>
  <w:style w:type="paragraph" w:customStyle="1" w:styleId="tabla10">
    <w:name w:val="tabla10"/>
    <w:rsid w:val="00C47EE9"/>
    <w:pPr>
      <w:tabs>
        <w:tab w:val="left" w:pos="567"/>
        <w:tab w:val="left" w:pos="1134"/>
      </w:tabs>
      <w:snapToGrid w:val="0"/>
    </w:pPr>
    <w:rPr>
      <w:rFonts w:ascii="CG Times" w:hAnsi="CG Times"/>
      <w:color w:val="000000"/>
    </w:rPr>
  </w:style>
  <w:style w:type="character" w:customStyle="1" w:styleId="corchete-llamada1">
    <w:name w:val="corchete-llamada1"/>
    <w:basedOn w:val="Fuentedeprrafopredeter"/>
    <w:rsid w:val="00C47EE9"/>
    <w:rPr>
      <w:vanish/>
      <w:webHidden w:val="0"/>
      <w:specVanish w:val="0"/>
    </w:rPr>
  </w:style>
  <w:style w:type="table" w:styleId="Sombreadoclaro">
    <w:name w:val="Light Shading"/>
    <w:aliases w:val="tabla informe"/>
    <w:basedOn w:val="Tablanormal"/>
    <w:uiPriority w:val="60"/>
    <w:rsid w:val="00C47EE9"/>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paragraph" w:styleId="Textosinformato">
    <w:name w:val="Plain Text"/>
    <w:basedOn w:val="Normal"/>
    <w:link w:val="TextosinformatoCar"/>
    <w:uiPriority w:val="99"/>
    <w:unhideWhenUsed/>
    <w:rsid w:val="00C47EE9"/>
    <w:pPr>
      <w:spacing w:after="0"/>
      <w:ind w:firstLine="0"/>
      <w:jc w:val="left"/>
    </w:pPr>
    <w:rPr>
      <w:rFonts w:ascii="Calibri" w:eastAsiaTheme="minorHAnsi" w:hAnsi="Calibri" w:cstheme="minorBidi"/>
      <w:sz w:val="22"/>
      <w:szCs w:val="21"/>
      <w:lang w:val="es-ES"/>
    </w:rPr>
  </w:style>
  <w:style w:type="character" w:customStyle="1" w:styleId="TextosinformatoCar">
    <w:name w:val="Texto sin formato Car"/>
    <w:basedOn w:val="Fuentedeprrafopredeter"/>
    <w:link w:val="Textosinformato"/>
    <w:uiPriority w:val="99"/>
    <w:rsid w:val="00C47EE9"/>
    <w:rPr>
      <w:rFonts w:ascii="Calibri" w:eastAsiaTheme="minorHAnsi" w:hAnsi="Calibri" w:cstheme="minorBidi"/>
      <w:sz w:val="22"/>
      <w:szCs w:val="21"/>
      <w:lang w:eastAsia="en-US"/>
    </w:rPr>
  </w:style>
  <w:style w:type="table" w:customStyle="1" w:styleId="Tablaconcuadrcula2">
    <w:name w:val="Tabla con cuadrícula2"/>
    <w:basedOn w:val="Tablanormal"/>
    <w:next w:val="Tablaconcuadrcula"/>
    <w:uiPriority w:val="59"/>
    <w:rsid w:val="00C47EE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uentedeprrafopredeter"/>
    <w:rsid w:val="00C47EE9"/>
  </w:style>
  <w:style w:type="character" w:customStyle="1" w:styleId="apple-converted-space">
    <w:name w:val="apple-converted-space"/>
    <w:basedOn w:val="Fuentedeprrafopredeter"/>
    <w:rsid w:val="00C47EE9"/>
  </w:style>
  <w:style w:type="table" w:customStyle="1" w:styleId="Tablaconcuadrcula3">
    <w:name w:val="Tabla con cuadrícula3"/>
    <w:basedOn w:val="Tablanormal"/>
    <w:next w:val="Tablaconcuadrcula"/>
    <w:uiPriority w:val="59"/>
    <w:rsid w:val="00C47E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C47EE9"/>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02761">
      <w:bodyDiv w:val="1"/>
      <w:marLeft w:val="0"/>
      <w:marRight w:val="0"/>
      <w:marTop w:val="0"/>
      <w:marBottom w:val="0"/>
      <w:divBdr>
        <w:top w:val="none" w:sz="0" w:space="0" w:color="auto"/>
        <w:left w:val="none" w:sz="0" w:space="0" w:color="auto"/>
        <w:bottom w:val="none" w:sz="0" w:space="0" w:color="auto"/>
        <w:right w:val="none" w:sz="0" w:space="0" w:color="auto"/>
      </w:divBdr>
      <w:divsChild>
        <w:div w:id="1473523808">
          <w:marLeft w:val="0"/>
          <w:marRight w:val="0"/>
          <w:marTop w:val="0"/>
          <w:marBottom w:val="0"/>
          <w:divBdr>
            <w:top w:val="none" w:sz="0" w:space="0" w:color="auto"/>
            <w:left w:val="none" w:sz="0" w:space="0" w:color="auto"/>
            <w:bottom w:val="none" w:sz="0" w:space="0" w:color="auto"/>
            <w:right w:val="none" w:sz="0" w:space="0" w:color="auto"/>
          </w:divBdr>
          <w:divsChild>
            <w:div w:id="1716612249">
              <w:marLeft w:val="0"/>
              <w:marRight w:val="0"/>
              <w:marTop w:val="0"/>
              <w:marBottom w:val="0"/>
              <w:divBdr>
                <w:top w:val="none" w:sz="0" w:space="0" w:color="auto"/>
                <w:left w:val="none" w:sz="0" w:space="0" w:color="auto"/>
                <w:bottom w:val="none" w:sz="0" w:space="0" w:color="auto"/>
                <w:right w:val="none" w:sz="0" w:space="0" w:color="auto"/>
              </w:divBdr>
              <w:divsChild>
                <w:div w:id="705443653">
                  <w:marLeft w:val="0"/>
                  <w:marRight w:val="0"/>
                  <w:marTop w:val="0"/>
                  <w:marBottom w:val="0"/>
                  <w:divBdr>
                    <w:top w:val="none" w:sz="0" w:space="0" w:color="auto"/>
                    <w:left w:val="none" w:sz="0" w:space="0" w:color="auto"/>
                    <w:bottom w:val="none" w:sz="0" w:space="0" w:color="auto"/>
                    <w:right w:val="none" w:sz="0" w:space="0" w:color="auto"/>
                  </w:divBdr>
                  <w:divsChild>
                    <w:div w:id="1696341292">
                      <w:marLeft w:val="0"/>
                      <w:marRight w:val="0"/>
                      <w:marTop w:val="0"/>
                      <w:marBottom w:val="0"/>
                      <w:divBdr>
                        <w:top w:val="none" w:sz="0" w:space="0" w:color="auto"/>
                        <w:left w:val="none" w:sz="0" w:space="0" w:color="auto"/>
                        <w:bottom w:val="none" w:sz="0" w:space="0" w:color="auto"/>
                        <w:right w:val="none" w:sz="0" w:space="0" w:color="auto"/>
                      </w:divBdr>
                      <w:divsChild>
                        <w:div w:id="1419210442">
                          <w:marLeft w:val="0"/>
                          <w:marRight w:val="0"/>
                          <w:marTop w:val="0"/>
                          <w:marBottom w:val="0"/>
                          <w:divBdr>
                            <w:top w:val="none" w:sz="0" w:space="0" w:color="auto"/>
                            <w:left w:val="none" w:sz="0" w:space="0" w:color="auto"/>
                            <w:bottom w:val="none" w:sz="0" w:space="0" w:color="auto"/>
                            <w:right w:val="none" w:sz="0" w:space="0" w:color="auto"/>
                          </w:divBdr>
                          <w:divsChild>
                            <w:div w:id="1619919754">
                              <w:marLeft w:val="0"/>
                              <w:marRight w:val="0"/>
                              <w:marTop w:val="0"/>
                              <w:marBottom w:val="0"/>
                              <w:divBdr>
                                <w:top w:val="none" w:sz="0" w:space="0" w:color="auto"/>
                                <w:left w:val="none" w:sz="0" w:space="0" w:color="auto"/>
                                <w:bottom w:val="none" w:sz="0" w:space="0" w:color="auto"/>
                                <w:right w:val="none" w:sz="0" w:space="0" w:color="auto"/>
                              </w:divBdr>
                              <w:divsChild>
                                <w:div w:id="787092954">
                                  <w:marLeft w:val="0"/>
                                  <w:marRight w:val="0"/>
                                  <w:marTop w:val="0"/>
                                  <w:marBottom w:val="0"/>
                                  <w:divBdr>
                                    <w:top w:val="none" w:sz="0" w:space="0" w:color="auto"/>
                                    <w:left w:val="none" w:sz="0" w:space="0" w:color="auto"/>
                                    <w:bottom w:val="none" w:sz="0" w:space="0" w:color="auto"/>
                                    <w:right w:val="none" w:sz="0" w:space="0" w:color="auto"/>
                                  </w:divBdr>
                                  <w:divsChild>
                                    <w:div w:id="607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navarra.es/home_es/Gobierno+de+Navarra/Presupuesto/Cuentas/Cuentas+201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BD081-343F-42D8-A3DE-863B875ED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31640</Words>
  <Characters>174020</Characters>
  <Application>Microsoft Office Word</Application>
  <DocSecurity>0</DocSecurity>
  <Lines>1450</Lines>
  <Paragraphs>410</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205250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Elizalde Elizalde, Julia (Cámara de Comptos)</dc:creator>
  <cp:lastModifiedBy>Aranaz, Carlota</cp:lastModifiedBy>
  <cp:revision>2</cp:revision>
  <cp:lastPrinted>2018-11-15T09:02:00Z</cp:lastPrinted>
  <dcterms:created xsi:type="dcterms:W3CDTF">2018-12-04T08:08:00Z</dcterms:created>
  <dcterms:modified xsi:type="dcterms:W3CDTF">2018-12-04T08:08:00Z</dcterms:modified>
</cp:coreProperties>
</file>