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FC" w:rsidRPr="006204FC" w:rsidRDefault="006204FC" w:rsidP="006204FC">
      <w:pPr>
        <w:pStyle w:val="DICTA-TEXTO"/>
      </w:pPr>
      <w:bookmarkStart w:id="0" w:name="_GoBack"/>
      <w:bookmarkEnd w:id="0"/>
      <w:r w:rsidRPr="006204FC">
        <w:t>Nafarroako Parlamentuak, 2018ko abenduaren 13an egindako Osoko Bilku</w:t>
      </w:r>
      <w:r>
        <w:t>ran, honako foru lege hau one</w:t>
      </w:r>
      <w:r w:rsidRPr="006204FC">
        <w:t>tsi zuen: “Foru Legea, 2018ko gastuen aurrekontuan 35.546.085 euroko kreditu berezia ematekoa, urriaren 10eko 19/2018 Foru Legean aurreikusitako inbertsio finantzarioki jasangarriak egiteko”.</w:t>
      </w:r>
    </w:p>
    <w:p w:rsidR="006204FC" w:rsidRPr="006204FC" w:rsidRDefault="006204FC" w:rsidP="006204FC">
      <w:pPr>
        <w:pStyle w:val="DICTA-TEXTO"/>
      </w:pPr>
      <w:r>
        <w:t>Legebil</w:t>
      </w:r>
      <w:r w:rsidRPr="006204FC">
        <w:t>tzarreko Erregelamenduko 146. artikuluan ezarritakoa betez, argitara dadin agintzen da.</w:t>
      </w:r>
    </w:p>
    <w:p w:rsidR="006204FC" w:rsidRPr="006204FC" w:rsidRDefault="006204FC" w:rsidP="006204FC">
      <w:pPr>
        <w:pStyle w:val="DICTA-TEXTO"/>
      </w:pPr>
      <w:r w:rsidRPr="006204FC">
        <w:t>Iruñean, 2018ko abenduaren 13an</w:t>
      </w:r>
    </w:p>
    <w:p w:rsidR="006204FC" w:rsidRPr="006204FC" w:rsidRDefault="006204FC" w:rsidP="006204FC">
      <w:pPr>
        <w:pStyle w:val="DICTA-TEXTO"/>
      </w:pPr>
      <w:r w:rsidRPr="006204FC">
        <w:t xml:space="preserve">Lehendakaria: Ainhoa </w:t>
      </w:r>
      <w:proofErr w:type="spellStart"/>
      <w:r w:rsidRPr="006204FC">
        <w:t>Aznárez</w:t>
      </w:r>
      <w:proofErr w:type="spellEnd"/>
      <w:r w:rsidRPr="006204FC">
        <w:t xml:space="preserve"> </w:t>
      </w:r>
      <w:proofErr w:type="spellStart"/>
      <w:r w:rsidRPr="006204FC">
        <w:t>Igarza</w:t>
      </w:r>
      <w:proofErr w:type="spellEnd"/>
    </w:p>
    <w:p w:rsidR="00975A08" w:rsidRDefault="00244411" w:rsidP="00244411">
      <w:pPr>
        <w:pStyle w:val="DICTA-TEXTO"/>
        <w:jc w:val="center"/>
      </w:pPr>
      <w:r>
        <w:rPr>
          <w:b/>
          <w:sz w:val="28"/>
        </w:rPr>
        <w:t>Foru Legea, 2018ko gastuen aurrekontuan 35.546.085 euroko kreditu berezia ematekoa, urriaren 10eko 19/2018 Foru Legean aurreikusitako inbertsio finantzarioki jasangarriak egiteko”.</w:t>
      </w:r>
    </w:p>
    <w:p w:rsidR="006C3FC6" w:rsidRDefault="006C3FC6" w:rsidP="005179F9">
      <w:pPr>
        <w:widowControl w:val="0"/>
        <w:spacing w:line="380" w:lineRule="atLeast"/>
        <w:ind w:firstLine="3261"/>
        <w:rPr>
          <w:rFonts w:ascii="Arial" w:hAnsi="Arial" w:cs="Arial"/>
          <w:b/>
        </w:rPr>
      </w:pPr>
      <w:r>
        <w:rPr>
          <w:rFonts w:ascii="Arial" w:hAnsi="Arial"/>
          <w:b/>
        </w:rPr>
        <w:t>HITZAURREA</w:t>
      </w:r>
    </w:p>
    <w:p w:rsidR="00202B2C" w:rsidRPr="006204FC" w:rsidRDefault="00202B2C" w:rsidP="006C3FC6">
      <w:pPr>
        <w:widowControl w:val="0"/>
        <w:spacing w:line="380" w:lineRule="atLeast"/>
        <w:ind w:firstLine="709"/>
        <w:jc w:val="center"/>
        <w:rPr>
          <w:rFonts w:ascii="Arial" w:hAnsi="Arial" w:cs="Arial"/>
          <w:b/>
        </w:rPr>
      </w:pPr>
    </w:p>
    <w:p w:rsidR="006C3FC6" w:rsidRDefault="006C3FC6" w:rsidP="006C3FC6">
      <w:pPr>
        <w:pStyle w:val="DICTA-TEXTO"/>
      </w:pPr>
      <w:r>
        <w:t>Inbertsio Finantzarioki Jasangarriei buruzko Plana onetsi zen urriaren 10eko 19/2018 Foru Legearen bidez.</w:t>
      </w:r>
    </w:p>
    <w:p w:rsidR="006C3FC6" w:rsidRDefault="006C3FC6" w:rsidP="006C3FC6">
      <w:pPr>
        <w:pStyle w:val="DICTA-TEXTO"/>
      </w:pPr>
      <w:r>
        <w:t>Foru lege horren I. eta II. Eranskinetan adierazita daude zein diren inbertsio finantzarioki jasangarrien kontzeptuan egin beharreko jarduketak, eta lehentasuna ematen zaie, horien artean eta orain, Toki Inbertsioen Planekoei eta Banda Zabalaren Plan Zuzendarikoei.</w:t>
      </w:r>
    </w:p>
    <w:p w:rsidR="006C3FC6" w:rsidRDefault="006C3FC6" w:rsidP="006C3FC6">
      <w:pPr>
        <w:pStyle w:val="DICTA-TEXTO"/>
      </w:pPr>
      <w:r>
        <w:t>Ogasuneko Ministerioak nahitaezkoa den baimena eman duenez inbertsio horiek egiteko, bidezkoa da horien exekuzioari hasiera ematea 2018. urtea amaitu baino lehen.</w:t>
      </w:r>
    </w:p>
    <w:p w:rsidR="006C3FC6" w:rsidRDefault="006C3FC6" w:rsidP="006C3FC6">
      <w:pPr>
        <w:pStyle w:val="DICTA-TEXTO"/>
      </w:pPr>
      <w:r>
        <w:t>Horretarako, 2018ko Gastuen Aurrekontuan aurrekontu partida berriak sortzea proposatzen da, eta ondoren horiek 35.546.085 eurorekin hornitzea guztira, kreditu bereziaren bitartez.</w:t>
      </w:r>
    </w:p>
    <w:p w:rsidR="006C3FC6" w:rsidRDefault="006C3FC6" w:rsidP="006C3FC6">
      <w:pPr>
        <w:pStyle w:val="DICTA-TEXTO"/>
      </w:pPr>
      <w:r>
        <w:lastRenderedPageBreak/>
        <w:t>Nafarroako Ogasun Publikoari buruzko apirilaren 4ko 13/2007 Foru Legearen 48. artikuluak ezartzen du ezen, hurrengo ekitaldira arte berandutu ezin den gasturen bat aurrekontu indardunaren kargura egin behar bada eta aurrekontuan krediturik ez badago, Nafarroako Gobernuak, Ogasuneko eta Finantza Politikako kontseilariak proposaturik, foru lege proiektu bat bidaliko duela Nafarroako Parlamentura, kreditu berezi bat ematekoa.</w:t>
      </w:r>
    </w:p>
    <w:p w:rsidR="006C3FC6" w:rsidRDefault="006C3FC6" w:rsidP="006C3FC6">
      <w:pPr>
        <w:pStyle w:val="DICTA-TEXTO"/>
      </w:pPr>
      <w:r>
        <w:rPr>
          <w:b/>
        </w:rPr>
        <w:t>1. artikulua.</w:t>
      </w:r>
      <w:r>
        <w:t xml:space="preserve"> Aurrekontu partidak sortzea.</w:t>
      </w:r>
    </w:p>
    <w:p w:rsidR="00975A08" w:rsidRDefault="006C3FC6" w:rsidP="006C3FC6">
      <w:pPr>
        <w:pStyle w:val="DICTA-TEXTO"/>
      </w:pPr>
      <w:r>
        <w:t>Aurrekontu partida hauek sortzen dira 2018ko Gastuen Aurrekontuan, ondotik ematen diren kodeekin:</w:t>
      </w:r>
    </w:p>
    <w:tbl>
      <w:tblPr>
        <w:tblW w:w="7890" w:type="dxa"/>
        <w:tblInd w:w="-23" w:type="dxa"/>
        <w:tblCellMar>
          <w:left w:w="0" w:type="dxa"/>
          <w:right w:w="0" w:type="dxa"/>
        </w:tblCellMar>
        <w:tblLook w:val="00A0" w:firstRow="1" w:lastRow="0" w:firstColumn="1" w:lastColumn="0" w:noHBand="0" w:noVBand="0"/>
      </w:tblPr>
      <w:tblGrid>
        <w:gridCol w:w="961"/>
        <w:gridCol w:w="695"/>
        <w:gridCol w:w="583"/>
        <w:gridCol w:w="827"/>
        <w:gridCol w:w="4824"/>
      </w:tblGrid>
      <w:tr w:rsidR="006C3FC6" w:rsidRPr="006C3FC6" w:rsidTr="00732D73">
        <w:trPr>
          <w:trHeight w:val="402"/>
        </w:trPr>
        <w:tc>
          <w:tcPr>
            <w:tcW w:w="808" w:type="dxa"/>
            <w:tcBorders>
              <w:top w:val="single" w:sz="8" w:space="0" w:color="auto"/>
              <w:left w:val="single" w:sz="8" w:space="0" w:color="auto"/>
              <w:bottom w:val="single" w:sz="8" w:space="0" w:color="auto"/>
              <w:right w:val="single" w:sz="8" w:space="0" w:color="auto"/>
            </w:tcBorders>
            <w:shd w:val="clear" w:color="auto" w:fill="99CC00"/>
            <w:tcMar>
              <w:top w:w="0" w:type="dxa"/>
              <w:left w:w="70" w:type="dxa"/>
              <w:bottom w:w="0" w:type="dxa"/>
              <w:right w:w="70" w:type="dxa"/>
            </w:tcMar>
            <w:vAlign w:val="bottom"/>
          </w:tcPr>
          <w:p w:rsidR="006C3FC6" w:rsidRPr="006C3FC6" w:rsidRDefault="006C3FC6" w:rsidP="006C3FC6">
            <w:pPr>
              <w:widowControl w:val="0"/>
              <w:jc w:val="both"/>
              <w:rPr>
                <w:rFonts w:ascii="Arial" w:hAnsi="Arial" w:cs="Arial"/>
                <w:b/>
                <w:bCs/>
                <w:sz w:val="18"/>
                <w:szCs w:val="18"/>
              </w:rPr>
            </w:pPr>
            <w:r>
              <w:rPr>
                <w:rFonts w:ascii="Arial" w:hAnsi="Arial"/>
                <w:b/>
                <w:bCs/>
                <w:sz w:val="18"/>
                <w:szCs w:val="18"/>
              </w:rPr>
              <w:t>Proiektua</w:t>
            </w:r>
          </w:p>
        </w:tc>
        <w:tc>
          <w:tcPr>
            <w:tcW w:w="697" w:type="dxa"/>
            <w:tcBorders>
              <w:top w:val="single" w:sz="8" w:space="0" w:color="auto"/>
              <w:left w:val="nil"/>
              <w:bottom w:val="single" w:sz="8" w:space="0" w:color="auto"/>
              <w:right w:val="single" w:sz="8" w:space="0" w:color="auto"/>
            </w:tcBorders>
            <w:shd w:val="clear" w:color="auto" w:fill="99CC00"/>
            <w:tcMar>
              <w:top w:w="0" w:type="dxa"/>
              <w:left w:w="70" w:type="dxa"/>
              <w:bottom w:w="0" w:type="dxa"/>
              <w:right w:w="70" w:type="dxa"/>
            </w:tcMar>
            <w:vAlign w:val="bottom"/>
          </w:tcPr>
          <w:p w:rsidR="006C3FC6" w:rsidRPr="006C3FC6" w:rsidRDefault="006C3FC6" w:rsidP="006C3FC6">
            <w:pPr>
              <w:widowControl w:val="0"/>
              <w:jc w:val="both"/>
              <w:rPr>
                <w:rFonts w:ascii="Arial" w:hAnsi="Arial" w:cs="Arial"/>
                <w:b/>
                <w:bCs/>
                <w:sz w:val="18"/>
                <w:szCs w:val="18"/>
              </w:rPr>
            </w:pPr>
            <w:proofErr w:type="spellStart"/>
            <w:r>
              <w:rPr>
                <w:rFonts w:ascii="Arial" w:hAnsi="Arial"/>
                <w:b/>
                <w:bCs/>
                <w:sz w:val="18"/>
                <w:szCs w:val="18"/>
              </w:rPr>
              <w:t>Org</w:t>
            </w:r>
            <w:proofErr w:type="spellEnd"/>
          </w:p>
        </w:tc>
        <w:tc>
          <w:tcPr>
            <w:tcW w:w="585" w:type="dxa"/>
            <w:tcBorders>
              <w:top w:val="single" w:sz="8" w:space="0" w:color="auto"/>
              <w:left w:val="nil"/>
              <w:bottom w:val="single" w:sz="8" w:space="0" w:color="auto"/>
              <w:right w:val="single" w:sz="8" w:space="0" w:color="auto"/>
            </w:tcBorders>
            <w:shd w:val="clear" w:color="auto" w:fill="99CC00"/>
            <w:tcMar>
              <w:top w:w="0" w:type="dxa"/>
              <w:left w:w="70" w:type="dxa"/>
              <w:bottom w:w="0" w:type="dxa"/>
              <w:right w:w="70" w:type="dxa"/>
            </w:tcMar>
            <w:vAlign w:val="bottom"/>
          </w:tcPr>
          <w:p w:rsidR="006C3FC6" w:rsidRPr="006C3FC6" w:rsidRDefault="006C3FC6" w:rsidP="006C3FC6">
            <w:pPr>
              <w:widowControl w:val="0"/>
              <w:jc w:val="both"/>
              <w:rPr>
                <w:rFonts w:ascii="Arial" w:hAnsi="Arial" w:cs="Arial"/>
                <w:b/>
                <w:bCs/>
                <w:sz w:val="18"/>
                <w:szCs w:val="18"/>
              </w:rPr>
            </w:pPr>
            <w:r>
              <w:rPr>
                <w:rFonts w:ascii="Arial" w:hAnsi="Arial"/>
                <w:b/>
                <w:bCs/>
                <w:sz w:val="18"/>
                <w:szCs w:val="18"/>
              </w:rPr>
              <w:t>E</w:t>
            </w:r>
          </w:p>
        </w:tc>
        <w:tc>
          <w:tcPr>
            <w:tcW w:w="830" w:type="dxa"/>
            <w:tcBorders>
              <w:top w:val="single" w:sz="8" w:space="0" w:color="auto"/>
              <w:left w:val="nil"/>
              <w:bottom w:val="single" w:sz="8" w:space="0" w:color="auto"/>
              <w:right w:val="single" w:sz="8" w:space="0" w:color="auto"/>
            </w:tcBorders>
            <w:shd w:val="clear" w:color="auto" w:fill="99CC00"/>
            <w:tcMar>
              <w:top w:w="0" w:type="dxa"/>
              <w:left w:w="70" w:type="dxa"/>
              <w:bottom w:w="0" w:type="dxa"/>
              <w:right w:w="70" w:type="dxa"/>
            </w:tcMar>
            <w:vAlign w:val="bottom"/>
          </w:tcPr>
          <w:p w:rsidR="006C3FC6" w:rsidRPr="006C3FC6" w:rsidRDefault="006C3FC6" w:rsidP="006C3FC6">
            <w:pPr>
              <w:widowControl w:val="0"/>
              <w:jc w:val="both"/>
              <w:rPr>
                <w:rFonts w:ascii="Arial" w:hAnsi="Arial" w:cs="Arial"/>
                <w:b/>
                <w:bCs/>
                <w:sz w:val="18"/>
                <w:szCs w:val="18"/>
              </w:rPr>
            </w:pPr>
            <w:proofErr w:type="spellStart"/>
            <w:r>
              <w:rPr>
                <w:rFonts w:ascii="Arial" w:hAnsi="Arial"/>
                <w:b/>
                <w:bCs/>
                <w:sz w:val="18"/>
                <w:szCs w:val="18"/>
              </w:rPr>
              <w:t>Fun</w:t>
            </w:r>
            <w:proofErr w:type="spellEnd"/>
          </w:p>
        </w:tc>
        <w:tc>
          <w:tcPr>
            <w:tcW w:w="4970" w:type="dxa"/>
            <w:tcBorders>
              <w:top w:val="single" w:sz="8" w:space="0" w:color="auto"/>
              <w:left w:val="nil"/>
              <w:bottom w:val="single" w:sz="8" w:space="0" w:color="auto"/>
              <w:right w:val="single" w:sz="8" w:space="0" w:color="auto"/>
            </w:tcBorders>
            <w:shd w:val="clear" w:color="auto" w:fill="99CC00"/>
            <w:tcMar>
              <w:top w:w="0" w:type="dxa"/>
              <w:left w:w="70" w:type="dxa"/>
              <w:bottom w:w="0" w:type="dxa"/>
              <w:right w:w="70" w:type="dxa"/>
            </w:tcMar>
            <w:vAlign w:val="bottom"/>
          </w:tcPr>
          <w:p w:rsidR="006C3FC6" w:rsidRPr="006C3FC6" w:rsidRDefault="006C3FC6" w:rsidP="006C3FC6">
            <w:pPr>
              <w:widowControl w:val="0"/>
              <w:jc w:val="both"/>
              <w:rPr>
                <w:rFonts w:ascii="Arial" w:hAnsi="Arial" w:cs="Arial"/>
                <w:b/>
                <w:bCs/>
                <w:sz w:val="18"/>
                <w:szCs w:val="18"/>
              </w:rPr>
            </w:pPr>
            <w:r>
              <w:rPr>
                <w:rFonts w:ascii="Arial" w:hAnsi="Arial"/>
                <w:b/>
                <w:bCs/>
                <w:sz w:val="18"/>
                <w:szCs w:val="18"/>
              </w:rPr>
              <w:t>IZENA</w:t>
            </w:r>
          </w:p>
        </w:tc>
      </w:tr>
      <w:tr w:rsidR="006C3FC6" w:rsidRPr="006C3FC6" w:rsidTr="00732D73">
        <w:trPr>
          <w:trHeight w:val="402"/>
        </w:trPr>
        <w:tc>
          <w:tcPr>
            <w:tcW w:w="8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070005</w:t>
            </w:r>
          </w:p>
        </w:tc>
        <w:tc>
          <w:tcPr>
            <w:tcW w:w="697"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05530</w:t>
            </w:r>
          </w:p>
        </w:tc>
        <w:tc>
          <w:tcPr>
            <w:tcW w:w="585"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6013</w:t>
            </w:r>
          </w:p>
        </w:tc>
        <w:tc>
          <w:tcPr>
            <w:tcW w:w="83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center"/>
              <w:rPr>
                <w:rFonts w:ascii="Arial" w:hAnsi="Arial" w:cs="Arial"/>
                <w:sz w:val="18"/>
                <w:szCs w:val="18"/>
              </w:rPr>
            </w:pPr>
            <w:r>
              <w:rPr>
                <w:rFonts w:ascii="Arial" w:hAnsi="Arial"/>
                <w:sz w:val="18"/>
                <w:szCs w:val="18"/>
              </w:rPr>
              <w:t>467903</w:t>
            </w:r>
          </w:p>
        </w:tc>
        <w:tc>
          <w:tcPr>
            <w:tcW w:w="497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 xml:space="preserve">IFJ 19/2018 FL Banda Zabalaren Plan Zuzendaria </w:t>
            </w:r>
          </w:p>
        </w:tc>
      </w:tr>
      <w:tr w:rsidR="006C3FC6" w:rsidRPr="006C3FC6" w:rsidTr="00732D73">
        <w:trPr>
          <w:trHeight w:val="402"/>
        </w:trPr>
        <w:tc>
          <w:tcPr>
            <w:tcW w:w="8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781000</w:t>
            </w:r>
          </w:p>
        </w:tc>
        <w:tc>
          <w:tcPr>
            <w:tcW w:w="697"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78310</w:t>
            </w:r>
          </w:p>
        </w:tc>
        <w:tc>
          <w:tcPr>
            <w:tcW w:w="585"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7600</w:t>
            </w:r>
          </w:p>
        </w:tc>
        <w:tc>
          <w:tcPr>
            <w:tcW w:w="83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center"/>
              <w:rPr>
                <w:rFonts w:ascii="Arial" w:hAnsi="Arial" w:cs="Arial"/>
                <w:sz w:val="18"/>
                <w:szCs w:val="18"/>
              </w:rPr>
            </w:pPr>
            <w:r>
              <w:rPr>
                <w:rFonts w:ascii="Arial" w:hAnsi="Arial"/>
                <w:sz w:val="18"/>
                <w:szCs w:val="18"/>
              </w:rPr>
              <w:t>261611</w:t>
            </w:r>
          </w:p>
        </w:tc>
        <w:tc>
          <w:tcPr>
            <w:tcW w:w="497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IFJ 19/2018 FL Zoladura, sareekin</w:t>
            </w:r>
          </w:p>
        </w:tc>
      </w:tr>
      <w:tr w:rsidR="006C3FC6" w:rsidRPr="006C3FC6" w:rsidTr="00732D73">
        <w:trPr>
          <w:trHeight w:val="402"/>
        </w:trPr>
        <w:tc>
          <w:tcPr>
            <w:tcW w:w="8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781000</w:t>
            </w:r>
          </w:p>
        </w:tc>
        <w:tc>
          <w:tcPr>
            <w:tcW w:w="697"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78310</w:t>
            </w:r>
          </w:p>
        </w:tc>
        <w:tc>
          <w:tcPr>
            <w:tcW w:w="585"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7600</w:t>
            </w:r>
          </w:p>
        </w:tc>
        <w:tc>
          <w:tcPr>
            <w:tcW w:w="83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center"/>
              <w:rPr>
                <w:rFonts w:ascii="Arial" w:hAnsi="Arial" w:cs="Arial"/>
                <w:sz w:val="18"/>
                <w:szCs w:val="18"/>
              </w:rPr>
            </w:pPr>
            <w:r>
              <w:rPr>
                <w:rFonts w:ascii="Arial" w:hAnsi="Arial"/>
                <w:sz w:val="18"/>
                <w:szCs w:val="18"/>
              </w:rPr>
              <w:t>261612</w:t>
            </w:r>
          </w:p>
        </w:tc>
        <w:tc>
          <w:tcPr>
            <w:tcW w:w="497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IFJ 19/2018 FL Zoladura, sarerik gabe</w:t>
            </w:r>
          </w:p>
        </w:tc>
      </w:tr>
      <w:tr w:rsidR="006C3FC6" w:rsidRPr="006C3FC6" w:rsidTr="00732D73">
        <w:trPr>
          <w:trHeight w:val="570"/>
        </w:trPr>
        <w:tc>
          <w:tcPr>
            <w:tcW w:w="8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781000</w:t>
            </w:r>
          </w:p>
        </w:tc>
        <w:tc>
          <w:tcPr>
            <w:tcW w:w="697"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78310</w:t>
            </w:r>
          </w:p>
        </w:tc>
        <w:tc>
          <w:tcPr>
            <w:tcW w:w="585"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7600</w:t>
            </w:r>
          </w:p>
        </w:tc>
        <w:tc>
          <w:tcPr>
            <w:tcW w:w="83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center"/>
              <w:rPr>
                <w:rFonts w:ascii="Arial" w:hAnsi="Arial" w:cs="Arial"/>
                <w:sz w:val="18"/>
                <w:szCs w:val="18"/>
              </w:rPr>
            </w:pPr>
            <w:r>
              <w:rPr>
                <w:rFonts w:ascii="Arial" w:hAnsi="Arial"/>
                <w:sz w:val="18"/>
                <w:szCs w:val="18"/>
              </w:rPr>
              <w:t>261613</w:t>
            </w:r>
          </w:p>
        </w:tc>
        <w:tc>
          <w:tcPr>
            <w:tcW w:w="497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IFJ 19/2018 FL Udal ekipamenduak eraikuntzako araudi teknikora egokitzea</w:t>
            </w:r>
          </w:p>
        </w:tc>
      </w:tr>
      <w:tr w:rsidR="006C3FC6" w:rsidRPr="006C3FC6" w:rsidTr="00732D73">
        <w:trPr>
          <w:trHeight w:val="402"/>
        </w:trPr>
        <w:tc>
          <w:tcPr>
            <w:tcW w:w="8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781000</w:t>
            </w:r>
          </w:p>
        </w:tc>
        <w:tc>
          <w:tcPr>
            <w:tcW w:w="697"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78310</w:t>
            </w:r>
          </w:p>
        </w:tc>
        <w:tc>
          <w:tcPr>
            <w:tcW w:w="585"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7600</w:t>
            </w:r>
          </w:p>
        </w:tc>
        <w:tc>
          <w:tcPr>
            <w:tcW w:w="83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center"/>
              <w:rPr>
                <w:rFonts w:ascii="Arial" w:hAnsi="Arial" w:cs="Arial"/>
                <w:sz w:val="18"/>
                <w:szCs w:val="18"/>
              </w:rPr>
            </w:pPr>
            <w:r>
              <w:rPr>
                <w:rFonts w:ascii="Arial" w:hAnsi="Arial"/>
                <w:sz w:val="18"/>
                <w:szCs w:val="18"/>
              </w:rPr>
              <w:t>456104</w:t>
            </w:r>
          </w:p>
        </w:tc>
        <w:tc>
          <w:tcPr>
            <w:tcW w:w="497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IFJ 19/2018 FL Hornidurako, saneamenduko eta euri uretarako toki sareak</w:t>
            </w:r>
          </w:p>
        </w:tc>
      </w:tr>
      <w:tr w:rsidR="006C3FC6" w:rsidRPr="006C3FC6" w:rsidTr="00732D73">
        <w:trPr>
          <w:trHeight w:val="402"/>
        </w:trPr>
        <w:tc>
          <w:tcPr>
            <w:tcW w:w="8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781000</w:t>
            </w:r>
          </w:p>
        </w:tc>
        <w:tc>
          <w:tcPr>
            <w:tcW w:w="697"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78310</w:t>
            </w:r>
          </w:p>
        </w:tc>
        <w:tc>
          <w:tcPr>
            <w:tcW w:w="585"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7600</w:t>
            </w:r>
          </w:p>
        </w:tc>
        <w:tc>
          <w:tcPr>
            <w:tcW w:w="83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center"/>
              <w:rPr>
                <w:rFonts w:ascii="Arial" w:hAnsi="Arial" w:cs="Arial"/>
                <w:sz w:val="18"/>
                <w:szCs w:val="18"/>
              </w:rPr>
            </w:pPr>
            <w:r>
              <w:rPr>
                <w:rFonts w:ascii="Arial" w:hAnsi="Arial"/>
                <w:sz w:val="18"/>
                <w:szCs w:val="18"/>
              </w:rPr>
              <w:t>459104</w:t>
            </w:r>
          </w:p>
        </w:tc>
        <w:tc>
          <w:tcPr>
            <w:tcW w:w="497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IFJ 19/2018 FL Argiteria publikoa</w:t>
            </w:r>
          </w:p>
        </w:tc>
      </w:tr>
      <w:tr w:rsidR="006C3FC6" w:rsidRPr="006C3FC6" w:rsidTr="00732D73">
        <w:trPr>
          <w:trHeight w:val="402"/>
        </w:trPr>
        <w:tc>
          <w:tcPr>
            <w:tcW w:w="8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781000</w:t>
            </w:r>
          </w:p>
        </w:tc>
        <w:tc>
          <w:tcPr>
            <w:tcW w:w="697"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78310</w:t>
            </w:r>
          </w:p>
        </w:tc>
        <w:tc>
          <w:tcPr>
            <w:tcW w:w="585"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7600</w:t>
            </w:r>
          </w:p>
        </w:tc>
        <w:tc>
          <w:tcPr>
            <w:tcW w:w="83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center"/>
              <w:rPr>
                <w:rFonts w:ascii="Arial" w:hAnsi="Arial" w:cs="Arial"/>
                <w:sz w:val="18"/>
                <w:szCs w:val="18"/>
              </w:rPr>
            </w:pPr>
            <w:r>
              <w:rPr>
                <w:rFonts w:ascii="Arial" w:hAnsi="Arial"/>
                <w:sz w:val="18"/>
                <w:szCs w:val="18"/>
              </w:rPr>
              <w:t>45A203</w:t>
            </w:r>
          </w:p>
        </w:tc>
        <w:tc>
          <w:tcPr>
            <w:tcW w:w="4970" w:type="dxa"/>
            <w:tcBorders>
              <w:top w:val="nil"/>
              <w:left w:val="nil"/>
              <w:bottom w:val="single" w:sz="8" w:space="0" w:color="auto"/>
              <w:right w:val="single" w:sz="8" w:space="0" w:color="auto"/>
            </w:tcBorders>
            <w:tcMar>
              <w:top w:w="0" w:type="dxa"/>
              <w:left w:w="70" w:type="dxa"/>
              <w:bottom w:w="0" w:type="dxa"/>
              <w:right w:w="70" w:type="dxa"/>
            </w:tcMar>
            <w:vAlign w:val="center"/>
          </w:tcPr>
          <w:p w:rsidR="006C3FC6" w:rsidRPr="006C3FC6" w:rsidRDefault="006C3FC6" w:rsidP="006C3FC6">
            <w:pPr>
              <w:widowControl w:val="0"/>
              <w:jc w:val="both"/>
              <w:rPr>
                <w:rFonts w:ascii="Arial" w:hAnsi="Arial" w:cs="Arial"/>
                <w:sz w:val="18"/>
                <w:szCs w:val="18"/>
              </w:rPr>
            </w:pPr>
            <w:r>
              <w:rPr>
                <w:rFonts w:ascii="Arial" w:hAnsi="Arial"/>
                <w:sz w:val="18"/>
                <w:szCs w:val="18"/>
              </w:rPr>
              <w:t>IFJ FL/2018 Une oro biztanleak dituzten lekuetarako bideak eta biziguneen artekoak</w:t>
            </w:r>
          </w:p>
        </w:tc>
      </w:tr>
    </w:tbl>
    <w:p w:rsidR="00530B14" w:rsidRDefault="00530B14" w:rsidP="006C3FC6">
      <w:pPr>
        <w:pStyle w:val="DICTA-TEXTO"/>
        <w:rPr>
          <w:b/>
        </w:rPr>
      </w:pPr>
    </w:p>
    <w:p w:rsidR="006C3FC6" w:rsidRDefault="006C3FC6" w:rsidP="006C3FC6">
      <w:pPr>
        <w:pStyle w:val="DICTA-TEXTO"/>
      </w:pPr>
      <w:r>
        <w:rPr>
          <w:b/>
        </w:rPr>
        <w:t>2. artikulua.</w:t>
      </w:r>
      <w:r>
        <w:t xml:space="preserve"> Kreditu berezi bat ematea.</w:t>
      </w:r>
    </w:p>
    <w:p w:rsidR="006C3FC6" w:rsidRDefault="006C3FC6" w:rsidP="006C3FC6">
      <w:pPr>
        <w:pStyle w:val="DICTA-TEXTO"/>
      </w:pPr>
      <w:r>
        <w:t>Kreditu bat ematen da, 35.546.085 euroko zenbatekoa duena, zenbait jarduketa gauzatzeko, zeinak Inbertsio Finantzarioki Jasangarriei buruzko Plana onetsi zuen urriaren 10eko 19/2018 Foru Legetik eratorriak baitira, Toki Inbertsioen Planarekin eta Banda Zabalaren Plan Zuzendariarekin lotuta.</w:t>
      </w:r>
    </w:p>
    <w:p w:rsidR="00975A08" w:rsidRDefault="006C3FC6" w:rsidP="006C3FC6">
      <w:pPr>
        <w:pStyle w:val="DICTA-TEXTO"/>
      </w:pPr>
      <w:r>
        <w:t>Kreditu hori foru lege honen lehen artikuluan aipatzen diren aurrekontu partidei aplikatuko zaie, zenbateko hauekin:</w:t>
      </w:r>
    </w:p>
    <w:tbl>
      <w:tblPr>
        <w:tblW w:w="5000" w:type="pct"/>
        <w:tblCellMar>
          <w:left w:w="70" w:type="dxa"/>
          <w:right w:w="70" w:type="dxa"/>
        </w:tblCellMar>
        <w:tblLook w:val="00A0" w:firstRow="1" w:lastRow="0" w:firstColumn="1" w:lastColumn="0" w:noHBand="0" w:noVBand="0"/>
      </w:tblPr>
      <w:tblGrid>
        <w:gridCol w:w="961"/>
        <w:gridCol w:w="641"/>
        <w:gridCol w:w="541"/>
        <w:gridCol w:w="761"/>
        <w:gridCol w:w="4067"/>
        <w:gridCol w:w="1390"/>
      </w:tblGrid>
      <w:tr w:rsidR="006C3FC6" w:rsidRPr="006C3FC6" w:rsidTr="00BC2F2A">
        <w:trPr>
          <w:trHeight w:val="402"/>
        </w:trPr>
        <w:tc>
          <w:tcPr>
            <w:tcW w:w="443" w:type="pct"/>
            <w:tcBorders>
              <w:top w:val="single" w:sz="4" w:space="0" w:color="auto"/>
              <w:left w:val="single" w:sz="4" w:space="0" w:color="auto"/>
              <w:bottom w:val="single" w:sz="4" w:space="0" w:color="auto"/>
              <w:right w:val="single" w:sz="4" w:space="0" w:color="auto"/>
            </w:tcBorders>
            <w:shd w:val="clear" w:color="auto" w:fill="99CC00"/>
            <w:vAlign w:val="bottom"/>
          </w:tcPr>
          <w:p w:rsidR="006C3FC6" w:rsidRPr="006C3FC6" w:rsidRDefault="006C3FC6" w:rsidP="006C3FC6">
            <w:pPr>
              <w:rPr>
                <w:rFonts w:ascii="Arial" w:hAnsi="Arial" w:cs="Arial"/>
                <w:b/>
                <w:bCs/>
                <w:sz w:val="18"/>
                <w:szCs w:val="18"/>
              </w:rPr>
            </w:pPr>
            <w:r>
              <w:rPr>
                <w:rFonts w:ascii="Arial" w:hAnsi="Arial"/>
                <w:b/>
                <w:bCs/>
                <w:sz w:val="18"/>
                <w:szCs w:val="18"/>
              </w:rPr>
              <w:t>Proiektua</w:t>
            </w:r>
          </w:p>
        </w:tc>
        <w:tc>
          <w:tcPr>
            <w:tcW w:w="383" w:type="pct"/>
            <w:tcBorders>
              <w:top w:val="single" w:sz="4" w:space="0" w:color="auto"/>
              <w:left w:val="nil"/>
              <w:bottom w:val="single" w:sz="4" w:space="0" w:color="auto"/>
              <w:right w:val="single" w:sz="4" w:space="0" w:color="auto"/>
            </w:tcBorders>
            <w:shd w:val="clear" w:color="auto" w:fill="99CC00"/>
            <w:vAlign w:val="bottom"/>
          </w:tcPr>
          <w:p w:rsidR="006C3FC6" w:rsidRPr="006C3FC6" w:rsidRDefault="006C3FC6" w:rsidP="006C3FC6">
            <w:pPr>
              <w:rPr>
                <w:rFonts w:ascii="Arial" w:hAnsi="Arial" w:cs="Arial"/>
                <w:b/>
                <w:bCs/>
                <w:sz w:val="18"/>
                <w:szCs w:val="18"/>
              </w:rPr>
            </w:pPr>
            <w:proofErr w:type="spellStart"/>
            <w:r>
              <w:rPr>
                <w:rFonts w:ascii="Arial" w:hAnsi="Arial"/>
                <w:b/>
                <w:bCs/>
                <w:sz w:val="18"/>
                <w:szCs w:val="18"/>
              </w:rPr>
              <w:t>Org</w:t>
            </w:r>
            <w:proofErr w:type="spellEnd"/>
          </w:p>
        </w:tc>
        <w:tc>
          <w:tcPr>
            <w:tcW w:w="324" w:type="pct"/>
            <w:tcBorders>
              <w:top w:val="single" w:sz="4" w:space="0" w:color="auto"/>
              <w:left w:val="nil"/>
              <w:bottom w:val="single" w:sz="4" w:space="0" w:color="auto"/>
              <w:right w:val="single" w:sz="4" w:space="0" w:color="auto"/>
            </w:tcBorders>
            <w:shd w:val="clear" w:color="auto" w:fill="99CC00"/>
            <w:vAlign w:val="bottom"/>
          </w:tcPr>
          <w:p w:rsidR="006C3FC6" w:rsidRPr="006C3FC6" w:rsidRDefault="006C3FC6" w:rsidP="006C3FC6">
            <w:pPr>
              <w:rPr>
                <w:rFonts w:ascii="Arial" w:hAnsi="Arial" w:cs="Arial"/>
                <w:b/>
                <w:bCs/>
                <w:sz w:val="18"/>
                <w:szCs w:val="18"/>
              </w:rPr>
            </w:pPr>
            <w:r>
              <w:rPr>
                <w:rFonts w:ascii="Arial" w:hAnsi="Arial"/>
                <w:b/>
                <w:bCs/>
                <w:sz w:val="18"/>
                <w:szCs w:val="18"/>
              </w:rPr>
              <w:t>E</w:t>
            </w:r>
          </w:p>
        </w:tc>
        <w:tc>
          <w:tcPr>
            <w:tcW w:w="455" w:type="pct"/>
            <w:tcBorders>
              <w:top w:val="single" w:sz="4" w:space="0" w:color="auto"/>
              <w:left w:val="nil"/>
              <w:bottom w:val="single" w:sz="4" w:space="0" w:color="auto"/>
              <w:right w:val="single" w:sz="4" w:space="0" w:color="auto"/>
            </w:tcBorders>
            <w:shd w:val="clear" w:color="auto" w:fill="99CC00"/>
            <w:vAlign w:val="bottom"/>
          </w:tcPr>
          <w:p w:rsidR="006C3FC6" w:rsidRPr="006C3FC6" w:rsidRDefault="006C3FC6" w:rsidP="006C3FC6">
            <w:pPr>
              <w:rPr>
                <w:rFonts w:ascii="Arial" w:hAnsi="Arial" w:cs="Arial"/>
                <w:b/>
                <w:bCs/>
                <w:sz w:val="18"/>
                <w:szCs w:val="18"/>
              </w:rPr>
            </w:pPr>
            <w:proofErr w:type="spellStart"/>
            <w:r>
              <w:rPr>
                <w:rFonts w:ascii="Arial" w:hAnsi="Arial"/>
                <w:b/>
                <w:bCs/>
                <w:sz w:val="18"/>
                <w:szCs w:val="18"/>
              </w:rPr>
              <w:t>Fun</w:t>
            </w:r>
            <w:proofErr w:type="spellEnd"/>
          </w:p>
        </w:tc>
        <w:tc>
          <w:tcPr>
            <w:tcW w:w="2683" w:type="pct"/>
            <w:tcBorders>
              <w:top w:val="single" w:sz="4" w:space="0" w:color="auto"/>
              <w:left w:val="nil"/>
              <w:bottom w:val="single" w:sz="4" w:space="0" w:color="auto"/>
              <w:right w:val="single" w:sz="4" w:space="0" w:color="auto"/>
            </w:tcBorders>
            <w:shd w:val="clear" w:color="auto" w:fill="99CC00"/>
            <w:vAlign w:val="bottom"/>
          </w:tcPr>
          <w:p w:rsidR="006C3FC6" w:rsidRPr="006C3FC6" w:rsidRDefault="006C3FC6" w:rsidP="006C3FC6">
            <w:pPr>
              <w:rPr>
                <w:rFonts w:ascii="Arial" w:hAnsi="Arial" w:cs="Arial"/>
                <w:b/>
                <w:bCs/>
                <w:sz w:val="18"/>
                <w:szCs w:val="18"/>
              </w:rPr>
            </w:pPr>
            <w:r>
              <w:rPr>
                <w:rFonts w:ascii="Arial" w:hAnsi="Arial"/>
                <w:b/>
                <w:bCs/>
                <w:sz w:val="18"/>
                <w:szCs w:val="18"/>
              </w:rPr>
              <w:t>IZENA</w:t>
            </w:r>
          </w:p>
        </w:tc>
        <w:tc>
          <w:tcPr>
            <w:tcW w:w="712" w:type="pct"/>
            <w:tcBorders>
              <w:top w:val="single" w:sz="4" w:space="0" w:color="auto"/>
              <w:left w:val="nil"/>
              <w:bottom w:val="single" w:sz="4" w:space="0" w:color="auto"/>
              <w:right w:val="single" w:sz="4" w:space="0" w:color="auto"/>
            </w:tcBorders>
            <w:shd w:val="clear" w:color="auto" w:fill="99CC00"/>
            <w:vAlign w:val="bottom"/>
          </w:tcPr>
          <w:p w:rsidR="006C3FC6" w:rsidRPr="006C3FC6" w:rsidRDefault="006C3FC6" w:rsidP="006C3FC6">
            <w:pPr>
              <w:jc w:val="center"/>
              <w:rPr>
                <w:rFonts w:ascii="Arial" w:hAnsi="Arial" w:cs="Arial"/>
                <w:b/>
                <w:bCs/>
                <w:sz w:val="18"/>
                <w:szCs w:val="18"/>
              </w:rPr>
            </w:pPr>
            <w:r>
              <w:rPr>
                <w:rFonts w:ascii="Arial" w:hAnsi="Arial"/>
                <w:b/>
                <w:bCs/>
                <w:sz w:val="18"/>
                <w:szCs w:val="18"/>
              </w:rPr>
              <w:t>ZENBATEKOA</w:t>
            </w:r>
          </w:p>
        </w:tc>
      </w:tr>
      <w:tr w:rsidR="006C3FC6" w:rsidRPr="006C3FC6" w:rsidTr="00BC2F2A">
        <w:trPr>
          <w:trHeight w:val="402"/>
        </w:trPr>
        <w:tc>
          <w:tcPr>
            <w:tcW w:w="443" w:type="pct"/>
            <w:tcBorders>
              <w:top w:val="nil"/>
              <w:left w:val="single" w:sz="4" w:space="0" w:color="auto"/>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lastRenderedPageBreak/>
              <w:t>070005</w:t>
            </w:r>
          </w:p>
        </w:tc>
        <w:tc>
          <w:tcPr>
            <w:tcW w:w="3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05530</w:t>
            </w:r>
          </w:p>
        </w:tc>
        <w:tc>
          <w:tcPr>
            <w:tcW w:w="324"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6013</w:t>
            </w:r>
          </w:p>
        </w:tc>
        <w:tc>
          <w:tcPr>
            <w:tcW w:w="455" w:type="pct"/>
            <w:tcBorders>
              <w:top w:val="nil"/>
              <w:left w:val="nil"/>
              <w:bottom w:val="single" w:sz="4" w:space="0" w:color="auto"/>
              <w:right w:val="single" w:sz="4" w:space="0" w:color="auto"/>
            </w:tcBorders>
            <w:vAlign w:val="center"/>
          </w:tcPr>
          <w:p w:rsidR="006C3FC6" w:rsidRPr="006C3FC6" w:rsidRDefault="006C3FC6" w:rsidP="006C3FC6">
            <w:pPr>
              <w:jc w:val="center"/>
              <w:rPr>
                <w:rFonts w:ascii="Arial" w:hAnsi="Arial" w:cs="Arial"/>
                <w:sz w:val="18"/>
                <w:szCs w:val="18"/>
              </w:rPr>
            </w:pPr>
            <w:r>
              <w:rPr>
                <w:rFonts w:ascii="Arial" w:hAnsi="Arial"/>
                <w:sz w:val="18"/>
                <w:szCs w:val="18"/>
              </w:rPr>
              <w:t>467903</w:t>
            </w:r>
          </w:p>
        </w:tc>
        <w:tc>
          <w:tcPr>
            <w:tcW w:w="26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 xml:space="preserve">IFJ 19/2018 FL Banda Zabalaren Plan Zuzendaria </w:t>
            </w:r>
          </w:p>
        </w:tc>
        <w:tc>
          <w:tcPr>
            <w:tcW w:w="712" w:type="pct"/>
            <w:tcBorders>
              <w:top w:val="nil"/>
              <w:left w:val="nil"/>
              <w:bottom w:val="single" w:sz="4" w:space="0" w:color="auto"/>
              <w:right w:val="single" w:sz="4" w:space="0" w:color="auto"/>
            </w:tcBorders>
            <w:noWrap/>
            <w:vAlign w:val="center"/>
          </w:tcPr>
          <w:p w:rsidR="006C3FC6" w:rsidRPr="006C3FC6" w:rsidRDefault="006C3FC6" w:rsidP="006C3FC6">
            <w:pPr>
              <w:jc w:val="right"/>
              <w:rPr>
                <w:rFonts w:ascii="Arial" w:hAnsi="Arial" w:cs="Arial"/>
                <w:sz w:val="18"/>
                <w:szCs w:val="18"/>
              </w:rPr>
            </w:pPr>
            <w:r>
              <w:rPr>
                <w:rFonts w:ascii="Arial" w:hAnsi="Arial"/>
                <w:sz w:val="18"/>
                <w:szCs w:val="18"/>
              </w:rPr>
              <w:t>9.840.000 €</w:t>
            </w:r>
          </w:p>
        </w:tc>
      </w:tr>
      <w:tr w:rsidR="006C3FC6" w:rsidRPr="006C3FC6" w:rsidTr="00BC2F2A">
        <w:trPr>
          <w:trHeight w:val="402"/>
        </w:trPr>
        <w:tc>
          <w:tcPr>
            <w:tcW w:w="443" w:type="pct"/>
            <w:tcBorders>
              <w:top w:val="nil"/>
              <w:left w:val="single" w:sz="4" w:space="0" w:color="auto"/>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781000</w:t>
            </w:r>
          </w:p>
        </w:tc>
        <w:tc>
          <w:tcPr>
            <w:tcW w:w="3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78310</w:t>
            </w:r>
          </w:p>
        </w:tc>
        <w:tc>
          <w:tcPr>
            <w:tcW w:w="324"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7600</w:t>
            </w:r>
          </w:p>
        </w:tc>
        <w:tc>
          <w:tcPr>
            <w:tcW w:w="455" w:type="pct"/>
            <w:tcBorders>
              <w:top w:val="nil"/>
              <w:left w:val="nil"/>
              <w:bottom w:val="single" w:sz="4" w:space="0" w:color="auto"/>
              <w:right w:val="single" w:sz="4" w:space="0" w:color="auto"/>
            </w:tcBorders>
            <w:vAlign w:val="center"/>
          </w:tcPr>
          <w:p w:rsidR="006C3FC6" w:rsidRPr="006C3FC6" w:rsidRDefault="006C3FC6" w:rsidP="006C3FC6">
            <w:pPr>
              <w:jc w:val="center"/>
              <w:rPr>
                <w:rFonts w:ascii="Arial" w:hAnsi="Arial" w:cs="Arial"/>
                <w:sz w:val="18"/>
                <w:szCs w:val="18"/>
              </w:rPr>
            </w:pPr>
            <w:r>
              <w:rPr>
                <w:rFonts w:ascii="Arial" w:hAnsi="Arial"/>
                <w:sz w:val="18"/>
                <w:szCs w:val="18"/>
              </w:rPr>
              <w:t>261611</w:t>
            </w:r>
          </w:p>
        </w:tc>
        <w:tc>
          <w:tcPr>
            <w:tcW w:w="26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IFJ 19/2018 FL 2018ko EAO Zoladura, sareekin</w:t>
            </w:r>
          </w:p>
        </w:tc>
        <w:tc>
          <w:tcPr>
            <w:tcW w:w="712" w:type="pct"/>
            <w:tcBorders>
              <w:top w:val="nil"/>
              <w:left w:val="nil"/>
              <w:bottom w:val="single" w:sz="4" w:space="0" w:color="auto"/>
              <w:right w:val="single" w:sz="4" w:space="0" w:color="auto"/>
            </w:tcBorders>
            <w:noWrap/>
            <w:vAlign w:val="center"/>
          </w:tcPr>
          <w:p w:rsidR="006C3FC6" w:rsidRPr="006C3FC6" w:rsidRDefault="006C3FC6" w:rsidP="006C3FC6">
            <w:pPr>
              <w:jc w:val="right"/>
              <w:rPr>
                <w:rFonts w:ascii="Arial" w:hAnsi="Arial" w:cs="Arial"/>
                <w:sz w:val="18"/>
                <w:szCs w:val="18"/>
              </w:rPr>
            </w:pPr>
            <w:r>
              <w:rPr>
                <w:rFonts w:ascii="Arial" w:hAnsi="Arial"/>
                <w:sz w:val="18"/>
                <w:szCs w:val="18"/>
              </w:rPr>
              <w:t>9.176.115 €</w:t>
            </w:r>
          </w:p>
        </w:tc>
      </w:tr>
      <w:tr w:rsidR="006C3FC6" w:rsidRPr="006C3FC6" w:rsidTr="00BC2F2A">
        <w:trPr>
          <w:trHeight w:val="402"/>
        </w:trPr>
        <w:tc>
          <w:tcPr>
            <w:tcW w:w="443" w:type="pct"/>
            <w:tcBorders>
              <w:top w:val="nil"/>
              <w:left w:val="single" w:sz="4" w:space="0" w:color="auto"/>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781000</w:t>
            </w:r>
          </w:p>
        </w:tc>
        <w:tc>
          <w:tcPr>
            <w:tcW w:w="3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78310</w:t>
            </w:r>
          </w:p>
        </w:tc>
        <w:tc>
          <w:tcPr>
            <w:tcW w:w="324"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7600</w:t>
            </w:r>
          </w:p>
        </w:tc>
        <w:tc>
          <w:tcPr>
            <w:tcW w:w="455" w:type="pct"/>
            <w:tcBorders>
              <w:top w:val="nil"/>
              <w:left w:val="nil"/>
              <w:bottom w:val="single" w:sz="4" w:space="0" w:color="auto"/>
              <w:right w:val="single" w:sz="4" w:space="0" w:color="auto"/>
            </w:tcBorders>
            <w:vAlign w:val="center"/>
          </w:tcPr>
          <w:p w:rsidR="006C3FC6" w:rsidRPr="006C3FC6" w:rsidRDefault="006C3FC6" w:rsidP="006C3FC6">
            <w:pPr>
              <w:jc w:val="center"/>
              <w:rPr>
                <w:rFonts w:ascii="Arial" w:hAnsi="Arial" w:cs="Arial"/>
                <w:sz w:val="18"/>
                <w:szCs w:val="18"/>
              </w:rPr>
            </w:pPr>
            <w:r>
              <w:rPr>
                <w:rFonts w:ascii="Arial" w:hAnsi="Arial"/>
                <w:sz w:val="18"/>
                <w:szCs w:val="18"/>
              </w:rPr>
              <w:t>261612</w:t>
            </w:r>
          </w:p>
        </w:tc>
        <w:tc>
          <w:tcPr>
            <w:tcW w:w="26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IFJ 19/2018 FL Zoladura, sarerik gabe</w:t>
            </w:r>
          </w:p>
        </w:tc>
        <w:tc>
          <w:tcPr>
            <w:tcW w:w="712" w:type="pct"/>
            <w:tcBorders>
              <w:top w:val="nil"/>
              <w:left w:val="nil"/>
              <w:bottom w:val="single" w:sz="4" w:space="0" w:color="auto"/>
              <w:right w:val="single" w:sz="4" w:space="0" w:color="auto"/>
            </w:tcBorders>
            <w:noWrap/>
            <w:vAlign w:val="center"/>
          </w:tcPr>
          <w:p w:rsidR="006C3FC6" w:rsidRPr="006C3FC6" w:rsidRDefault="006C3FC6" w:rsidP="006C3FC6">
            <w:pPr>
              <w:jc w:val="right"/>
              <w:rPr>
                <w:rFonts w:ascii="Arial" w:hAnsi="Arial" w:cs="Arial"/>
                <w:sz w:val="18"/>
                <w:szCs w:val="18"/>
              </w:rPr>
            </w:pPr>
            <w:r>
              <w:rPr>
                <w:rFonts w:ascii="Arial" w:hAnsi="Arial"/>
                <w:sz w:val="18"/>
                <w:szCs w:val="18"/>
              </w:rPr>
              <w:t>1.044.462 €</w:t>
            </w:r>
          </w:p>
        </w:tc>
      </w:tr>
      <w:tr w:rsidR="006C3FC6" w:rsidRPr="006C3FC6" w:rsidTr="00BC2F2A">
        <w:trPr>
          <w:trHeight w:val="570"/>
        </w:trPr>
        <w:tc>
          <w:tcPr>
            <w:tcW w:w="443" w:type="pct"/>
            <w:tcBorders>
              <w:top w:val="nil"/>
              <w:left w:val="single" w:sz="4" w:space="0" w:color="auto"/>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781000</w:t>
            </w:r>
          </w:p>
        </w:tc>
        <w:tc>
          <w:tcPr>
            <w:tcW w:w="3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78310</w:t>
            </w:r>
          </w:p>
        </w:tc>
        <w:tc>
          <w:tcPr>
            <w:tcW w:w="324"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7600</w:t>
            </w:r>
          </w:p>
        </w:tc>
        <w:tc>
          <w:tcPr>
            <w:tcW w:w="455" w:type="pct"/>
            <w:tcBorders>
              <w:top w:val="nil"/>
              <w:left w:val="nil"/>
              <w:bottom w:val="single" w:sz="4" w:space="0" w:color="auto"/>
              <w:right w:val="single" w:sz="4" w:space="0" w:color="auto"/>
            </w:tcBorders>
            <w:vAlign w:val="center"/>
          </w:tcPr>
          <w:p w:rsidR="006C3FC6" w:rsidRPr="006C3FC6" w:rsidRDefault="006C3FC6" w:rsidP="006C3FC6">
            <w:pPr>
              <w:jc w:val="center"/>
              <w:rPr>
                <w:rFonts w:ascii="Arial" w:hAnsi="Arial" w:cs="Arial"/>
                <w:sz w:val="18"/>
                <w:szCs w:val="18"/>
              </w:rPr>
            </w:pPr>
            <w:r>
              <w:rPr>
                <w:rFonts w:ascii="Arial" w:hAnsi="Arial"/>
                <w:sz w:val="18"/>
                <w:szCs w:val="18"/>
              </w:rPr>
              <w:t>261613</w:t>
            </w:r>
          </w:p>
        </w:tc>
        <w:tc>
          <w:tcPr>
            <w:tcW w:w="26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IFJ 19/2018 FL Udal ekipamenduak eraikuntzako araudi teknikora egokitzea</w:t>
            </w:r>
          </w:p>
        </w:tc>
        <w:tc>
          <w:tcPr>
            <w:tcW w:w="712" w:type="pct"/>
            <w:tcBorders>
              <w:top w:val="nil"/>
              <w:left w:val="nil"/>
              <w:bottom w:val="single" w:sz="4" w:space="0" w:color="auto"/>
              <w:right w:val="single" w:sz="4" w:space="0" w:color="auto"/>
            </w:tcBorders>
            <w:noWrap/>
            <w:vAlign w:val="center"/>
          </w:tcPr>
          <w:p w:rsidR="006C3FC6" w:rsidRPr="006C3FC6" w:rsidRDefault="006C3FC6" w:rsidP="006C3FC6">
            <w:pPr>
              <w:jc w:val="right"/>
              <w:rPr>
                <w:rFonts w:ascii="Arial" w:hAnsi="Arial" w:cs="Arial"/>
                <w:sz w:val="18"/>
                <w:szCs w:val="18"/>
              </w:rPr>
            </w:pPr>
            <w:r>
              <w:rPr>
                <w:rFonts w:ascii="Arial" w:hAnsi="Arial"/>
                <w:sz w:val="18"/>
                <w:szCs w:val="18"/>
              </w:rPr>
              <w:t>1.377.231 €</w:t>
            </w:r>
          </w:p>
        </w:tc>
      </w:tr>
      <w:tr w:rsidR="006C3FC6" w:rsidRPr="006C3FC6" w:rsidTr="00BC2F2A">
        <w:trPr>
          <w:trHeight w:val="402"/>
        </w:trPr>
        <w:tc>
          <w:tcPr>
            <w:tcW w:w="443" w:type="pct"/>
            <w:tcBorders>
              <w:top w:val="nil"/>
              <w:left w:val="single" w:sz="4" w:space="0" w:color="auto"/>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781000</w:t>
            </w:r>
          </w:p>
        </w:tc>
        <w:tc>
          <w:tcPr>
            <w:tcW w:w="3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78310</w:t>
            </w:r>
          </w:p>
        </w:tc>
        <w:tc>
          <w:tcPr>
            <w:tcW w:w="324"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7600</w:t>
            </w:r>
          </w:p>
        </w:tc>
        <w:tc>
          <w:tcPr>
            <w:tcW w:w="455" w:type="pct"/>
            <w:tcBorders>
              <w:top w:val="nil"/>
              <w:left w:val="nil"/>
              <w:bottom w:val="single" w:sz="4" w:space="0" w:color="auto"/>
              <w:right w:val="single" w:sz="4" w:space="0" w:color="auto"/>
            </w:tcBorders>
            <w:vAlign w:val="center"/>
          </w:tcPr>
          <w:p w:rsidR="006C3FC6" w:rsidRPr="006C3FC6" w:rsidRDefault="006C3FC6" w:rsidP="006C3FC6">
            <w:pPr>
              <w:jc w:val="center"/>
              <w:rPr>
                <w:rFonts w:ascii="Arial" w:hAnsi="Arial" w:cs="Arial"/>
                <w:sz w:val="18"/>
                <w:szCs w:val="18"/>
              </w:rPr>
            </w:pPr>
            <w:r>
              <w:rPr>
                <w:rFonts w:ascii="Arial" w:hAnsi="Arial"/>
                <w:sz w:val="18"/>
                <w:szCs w:val="18"/>
              </w:rPr>
              <w:t>456104</w:t>
            </w:r>
          </w:p>
        </w:tc>
        <w:tc>
          <w:tcPr>
            <w:tcW w:w="26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IFJ 19/2018 FL Hornidurako, saneamenduko eta euri uretarako toki sareak</w:t>
            </w:r>
          </w:p>
        </w:tc>
        <w:tc>
          <w:tcPr>
            <w:tcW w:w="712" w:type="pct"/>
            <w:tcBorders>
              <w:top w:val="nil"/>
              <w:left w:val="nil"/>
              <w:bottom w:val="single" w:sz="4" w:space="0" w:color="auto"/>
              <w:right w:val="single" w:sz="4" w:space="0" w:color="auto"/>
            </w:tcBorders>
            <w:noWrap/>
            <w:vAlign w:val="center"/>
          </w:tcPr>
          <w:p w:rsidR="006C3FC6" w:rsidRPr="006C3FC6" w:rsidRDefault="006C3FC6" w:rsidP="006C3FC6">
            <w:pPr>
              <w:jc w:val="right"/>
              <w:rPr>
                <w:rFonts w:ascii="Arial" w:hAnsi="Arial" w:cs="Arial"/>
                <w:sz w:val="18"/>
                <w:szCs w:val="18"/>
              </w:rPr>
            </w:pPr>
            <w:r>
              <w:rPr>
                <w:rFonts w:ascii="Arial" w:hAnsi="Arial"/>
                <w:sz w:val="18"/>
                <w:szCs w:val="18"/>
              </w:rPr>
              <w:t>10.342.486 €</w:t>
            </w:r>
          </w:p>
        </w:tc>
      </w:tr>
      <w:tr w:rsidR="006C3FC6" w:rsidRPr="006C3FC6" w:rsidTr="00BC2F2A">
        <w:trPr>
          <w:trHeight w:val="402"/>
        </w:trPr>
        <w:tc>
          <w:tcPr>
            <w:tcW w:w="443" w:type="pct"/>
            <w:tcBorders>
              <w:top w:val="nil"/>
              <w:left w:val="single" w:sz="4" w:space="0" w:color="auto"/>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781000</w:t>
            </w:r>
          </w:p>
        </w:tc>
        <w:tc>
          <w:tcPr>
            <w:tcW w:w="3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78310</w:t>
            </w:r>
          </w:p>
        </w:tc>
        <w:tc>
          <w:tcPr>
            <w:tcW w:w="324"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7600</w:t>
            </w:r>
          </w:p>
        </w:tc>
        <w:tc>
          <w:tcPr>
            <w:tcW w:w="455" w:type="pct"/>
            <w:tcBorders>
              <w:top w:val="nil"/>
              <w:left w:val="nil"/>
              <w:bottom w:val="single" w:sz="4" w:space="0" w:color="auto"/>
              <w:right w:val="single" w:sz="4" w:space="0" w:color="auto"/>
            </w:tcBorders>
            <w:vAlign w:val="center"/>
          </w:tcPr>
          <w:p w:rsidR="006C3FC6" w:rsidRPr="006C3FC6" w:rsidRDefault="006C3FC6" w:rsidP="006C3FC6">
            <w:pPr>
              <w:jc w:val="center"/>
              <w:rPr>
                <w:rFonts w:ascii="Arial" w:hAnsi="Arial" w:cs="Arial"/>
                <w:sz w:val="18"/>
                <w:szCs w:val="18"/>
              </w:rPr>
            </w:pPr>
            <w:r>
              <w:rPr>
                <w:rFonts w:ascii="Arial" w:hAnsi="Arial"/>
                <w:sz w:val="18"/>
                <w:szCs w:val="18"/>
              </w:rPr>
              <w:t>459104</w:t>
            </w:r>
          </w:p>
        </w:tc>
        <w:tc>
          <w:tcPr>
            <w:tcW w:w="26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IFJ 19/2018 FL Argiteria publikoa</w:t>
            </w:r>
          </w:p>
        </w:tc>
        <w:tc>
          <w:tcPr>
            <w:tcW w:w="712" w:type="pct"/>
            <w:tcBorders>
              <w:top w:val="nil"/>
              <w:left w:val="nil"/>
              <w:bottom w:val="single" w:sz="4" w:space="0" w:color="auto"/>
              <w:right w:val="single" w:sz="4" w:space="0" w:color="auto"/>
            </w:tcBorders>
            <w:noWrap/>
            <w:vAlign w:val="center"/>
          </w:tcPr>
          <w:p w:rsidR="006C3FC6" w:rsidRPr="006C3FC6" w:rsidRDefault="006C3FC6" w:rsidP="006C3FC6">
            <w:pPr>
              <w:jc w:val="right"/>
              <w:rPr>
                <w:rFonts w:ascii="Arial" w:hAnsi="Arial" w:cs="Arial"/>
                <w:sz w:val="18"/>
                <w:szCs w:val="18"/>
              </w:rPr>
            </w:pPr>
            <w:r>
              <w:rPr>
                <w:rFonts w:ascii="Arial" w:hAnsi="Arial"/>
                <w:sz w:val="18"/>
                <w:szCs w:val="18"/>
              </w:rPr>
              <w:t>3.162.913 €</w:t>
            </w:r>
          </w:p>
        </w:tc>
      </w:tr>
      <w:tr w:rsidR="006C3FC6" w:rsidRPr="006C3FC6" w:rsidTr="00BC2F2A">
        <w:trPr>
          <w:trHeight w:val="402"/>
        </w:trPr>
        <w:tc>
          <w:tcPr>
            <w:tcW w:w="443" w:type="pct"/>
            <w:tcBorders>
              <w:top w:val="nil"/>
              <w:left w:val="single" w:sz="4" w:space="0" w:color="auto"/>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781000</w:t>
            </w:r>
          </w:p>
        </w:tc>
        <w:tc>
          <w:tcPr>
            <w:tcW w:w="3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78310</w:t>
            </w:r>
          </w:p>
        </w:tc>
        <w:tc>
          <w:tcPr>
            <w:tcW w:w="324"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7600</w:t>
            </w:r>
          </w:p>
        </w:tc>
        <w:tc>
          <w:tcPr>
            <w:tcW w:w="455" w:type="pct"/>
            <w:tcBorders>
              <w:top w:val="nil"/>
              <w:left w:val="nil"/>
              <w:bottom w:val="single" w:sz="4" w:space="0" w:color="auto"/>
              <w:right w:val="single" w:sz="4" w:space="0" w:color="auto"/>
            </w:tcBorders>
            <w:vAlign w:val="center"/>
          </w:tcPr>
          <w:p w:rsidR="006C3FC6" w:rsidRPr="006C3FC6" w:rsidRDefault="006C3FC6" w:rsidP="006C3FC6">
            <w:pPr>
              <w:jc w:val="center"/>
              <w:rPr>
                <w:rFonts w:ascii="Arial" w:hAnsi="Arial" w:cs="Arial"/>
                <w:sz w:val="18"/>
                <w:szCs w:val="18"/>
              </w:rPr>
            </w:pPr>
            <w:r>
              <w:rPr>
                <w:rFonts w:ascii="Arial" w:hAnsi="Arial"/>
                <w:sz w:val="18"/>
                <w:szCs w:val="18"/>
              </w:rPr>
              <w:t>45A203</w:t>
            </w:r>
          </w:p>
        </w:tc>
        <w:tc>
          <w:tcPr>
            <w:tcW w:w="2683" w:type="pct"/>
            <w:tcBorders>
              <w:top w:val="nil"/>
              <w:left w:val="nil"/>
              <w:bottom w:val="single" w:sz="4" w:space="0" w:color="auto"/>
              <w:right w:val="single" w:sz="4" w:space="0" w:color="auto"/>
            </w:tcBorders>
            <w:vAlign w:val="center"/>
          </w:tcPr>
          <w:p w:rsidR="006C3FC6" w:rsidRPr="006C3FC6" w:rsidRDefault="006C3FC6" w:rsidP="006C3FC6">
            <w:pPr>
              <w:rPr>
                <w:rFonts w:ascii="Arial" w:hAnsi="Arial" w:cs="Arial"/>
                <w:sz w:val="18"/>
                <w:szCs w:val="18"/>
              </w:rPr>
            </w:pPr>
            <w:r>
              <w:rPr>
                <w:rFonts w:ascii="Arial" w:hAnsi="Arial"/>
                <w:sz w:val="18"/>
                <w:szCs w:val="18"/>
              </w:rPr>
              <w:t>IFJ 19/2018 FL Une oro biztanleak dituzten lekuetarako bideak eta biziguneen artekoak</w:t>
            </w:r>
          </w:p>
        </w:tc>
        <w:tc>
          <w:tcPr>
            <w:tcW w:w="712" w:type="pct"/>
            <w:tcBorders>
              <w:top w:val="nil"/>
              <w:left w:val="nil"/>
              <w:bottom w:val="single" w:sz="4" w:space="0" w:color="auto"/>
              <w:right w:val="single" w:sz="4" w:space="0" w:color="auto"/>
            </w:tcBorders>
            <w:noWrap/>
            <w:vAlign w:val="center"/>
          </w:tcPr>
          <w:p w:rsidR="006C3FC6" w:rsidRPr="006C3FC6" w:rsidRDefault="006C3FC6" w:rsidP="006C3FC6">
            <w:pPr>
              <w:jc w:val="right"/>
              <w:rPr>
                <w:rFonts w:ascii="Arial" w:hAnsi="Arial" w:cs="Arial"/>
                <w:sz w:val="18"/>
                <w:szCs w:val="18"/>
              </w:rPr>
            </w:pPr>
            <w:r>
              <w:rPr>
                <w:rFonts w:ascii="Arial" w:hAnsi="Arial"/>
                <w:sz w:val="18"/>
                <w:szCs w:val="18"/>
              </w:rPr>
              <w:t>602.878 €</w:t>
            </w:r>
          </w:p>
        </w:tc>
      </w:tr>
    </w:tbl>
    <w:p w:rsidR="00530B14" w:rsidRDefault="00530B14" w:rsidP="00BC2F2A">
      <w:pPr>
        <w:pStyle w:val="DICTA-TEXTO"/>
        <w:rPr>
          <w:b/>
        </w:rPr>
      </w:pPr>
    </w:p>
    <w:p w:rsidR="00BC2F2A" w:rsidRDefault="00BC2F2A" w:rsidP="00BC2F2A">
      <w:pPr>
        <w:pStyle w:val="DICTA-TEXTO"/>
      </w:pPr>
      <w:r>
        <w:rPr>
          <w:b/>
        </w:rPr>
        <w:t>3. artikulua.</w:t>
      </w:r>
      <w:r>
        <w:t xml:space="preserve"> Kreditu bereziaren finantzaketa.</w:t>
      </w:r>
    </w:p>
    <w:p w:rsidR="00BC2F2A" w:rsidRDefault="00BC2F2A" w:rsidP="00BC2F2A">
      <w:pPr>
        <w:pStyle w:val="DICTA-TEXTO"/>
      </w:pPr>
      <w:r>
        <w:t xml:space="preserve">Kreditu berezi hori finantzatuko da “Diruzaintzako </w:t>
      </w:r>
      <w:proofErr w:type="spellStart"/>
      <w:r>
        <w:t>gerakina</w:t>
      </w:r>
      <w:proofErr w:type="spellEnd"/>
      <w:r>
        <w:t>, gastu orokorrak” izeneko 110000 11100 8700 000002 aurrekontu partidaren kargura, 35.546.085 euroko zenbatekoarekin.</w:t>
      </w:r>
    </w:p>
    <w:p w:rsidR="00BC2F2A" w:rsidRDefault="00BC2F2A" w:rsidP="00BC2F2A">
      <w:pPr>
        <w:pStyle w:val="DICTA-TEXTO"/>
      </w:pPr>
      <w:r>
        <w:rPr>
          <w:b/>
        </w:rPr>
        <w:t>4. artikulua.</w:t>
      </w:r>
      <w:r>
        <w:t xml:space="preserve"> Gastuaren kontabilizazioa.</w:t>
      </w:r>
    </w:p>
    <w:p w:rsidR="00BC2F2A" w:rsidRDefault="00BC2F2A" w:rsidP="00BC2F2A">
      <w:pPr>
        <w:pStyle w:val="DICTA-TEXTO"/>
      </w:pPr>
      <w:r>
        <w:t>Kasuko gastu-baimena kontabilizatuko da 2018ko ekitaldiari egotziz inbertsio finantzarioki jasangarrien proiektuak finantzatzeko ezarritako kreditu osoa, foru lege honen babesean sortutako partidetan. Hori ez da oztopo izanen aurrekontu betebeharrak 2019ko ekitaldian aitortu ahal izateko.</w:t>
      </w:r>
    </w:p>
    <w:p w:rsidR="00183EBF" w:rsidRDefault="00BC2F2A" w:rsidP="00BC2F2A">
      <w:pPr>
        <w:pStyle w:val="DICTA-TEXTO"/>
      </w:pPr>
      <w:r>
        <w:t>Lehen xedapen gehigarria. Gaitzea.</w:t>
      </w:r>
    </w:p>
    <w:p w:rsidR="00BC2F2A" w:rsidRDefault="00BC2F2A" w:rsidP="00BC2F2A">
      <w:pPr>
        <w:pStyle w:val="DICTA-TEXTO"/>
      </w:pPr>
      <w:r>
        <w:t>Ahalmena ematen zaio Landa Garapeneko, Ingurumeneko eta Toki Administrazioko kontseilariari Inbertsio Finantzarioki Jasangarriei buruzko Plana onesten duen urriaren 10eko 19/2018 Foru Legearen II. eranskina aldatzeko. Aldaketa horiek ez dute ezein kasutan ekarriko foru lege horretan ezarritako zenbateko globalaren gehikuntzarik.</w:t>
      </w:r>
    </w:p>
    <w:p w:rsidR="00BC2F2A" w:rsidRDefault="00BC2F2A" w:rsidP="00BC2F2A">
      <w:pPr>
        <w:pStyle w:val="DICTA-TEXTO"/>
      </w:pPr>
      <w:r>
        <w:t>Bigarren xedapen gehigarria. Funts-mugimenduak.</w:t>
      </w:r>
    </w:p>
    <w:p w:rsidR="00BC2F2A" w:rsidRDefault="00BC2F2A" w:rsidP="00BC2F2A">
      <w:pPr>
        <w:pStyle w:val="DICTA-TEXTO"/>
      </w:pPr>
      <w:r>
        <w:t xml:space="preserve">Zilegi izanen da funts-mugimenduak egitea foru lege honek sortutakoak diren 781000 proiektuko partiden artean, eta ez zaizkie aplikatuko </w:t>
      </w:r>
      <w:r>
        <w:lastRenderedPageBreak/>
        <w:t>Nafarroako Ogasun Publikoari buruzko apirilaren 4ko 13/2007 Foru Legean ezarritako mugak.</w:t>
      </w:r>
    </w:p>
    <w:p w:rsidR="00BC2F2A" w:rsidRDefault="00BC2F2A" w:rsidP="00BC2F2A">
      <w:pPr>
        <w:pStyle w:val="DICTA-TEXTO"/>
      </w:pPr>
      <w:r>
        <w:rPr>
          <w:b/>
        </w:rPr>
        <w:t>Azken xedapen bakarra.</w:t>
      </w:r>
      <w:r>
        <w:t xml:space="preserve"> Indarra hartzea.</w:t>
      </w:r>
    </w:p>
    <w:p w:rsidR="00975A08" w:rsidRDefault="00BC2F2A" w:rsidP="00183EBF">
      <w:pPr>
        <w:pStyle w:val="DICTA-TEXTO"/>
      </w:pPr>
      <w:r>
        <w:t>Foru lege honek Nafarroako Aldizkari Ofizialean argitaratzen den egunean bertan hartuko du indarra.</w:t>
      </w:r>
    </w:p>
    <w:sectPr w:rsidR="00975A08" w:rsidSect="00B47B4F">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2951"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7BC" w:rsidRDefault="002647BC">
      <w:r>
        <w:separator/>
      </w:r>
    </w:p>
  </w:endnote>
  <w:endnote w:type="continuationSeparator" w:id="0">
    <w:p w:rsidR="002647BC" w:rsidRDefault="0026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EBF" w:rsidRDefault="00183E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EBF" w:rsidRDefault="00183EB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EBF" w:rsidRDefault="00183E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7BC" w:rsidRDefault="002647BC">
      <w:r>
        <w:separator/>
      </w:r>
    </w:p>
  </w:footnote>
  <w:footnote w:type="continuationSeparator" w:id="0">
    <w:p w:rsidR="002647BC" w:rsidRDefault="00264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EBF" w:rsidRDefault="00183E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183EBF" w:rsidRDefault="00975A08" w:rsidP="00183EB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B4F" w:rsidRDefault="00B47B4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F8"/>
    <w:rsid w:val="00066D4C"/>
    <w:rsid w:val="000E03C8"/>
    <w:rsid w:val="00183EBF"/>
    <w:rsid w:val="001D5B6E"/>
    <w:rsid w:val="001F68D4"/>
    <w:rsid w:val="00202B2C"/>
    <w:rsid w:val="00244411"/>
    <w:rsid w:val="002647BC"/>
    <w:rsid w:val="002C17CD"/>
    <w:rsid w:val="003041DC"/>
    <w:rsid w:val="00315E46"/>
    <w:rsid w:val="003401B5"/>
    <w:rsid w:val="003D475C"/>
    <w:rsid w:val="005179F9"/>
    <w:rsid w:val="00530B14"/>
    <w:rsid w:val="006204FC"/>
    <w:rsid w:val="0068429B"/>
    <w:rsid w:val="00695AF8"/>
    <w:rsid w:val="006C3FC6"/>
    <w:rsid w:val="007A447F"/>
    <w:rsid w:val="00824952"/>
    <w:rsid w:val="008C283B"/>
    <w:rsid w:val="00975A08"/>
    <w:rsid w:val="00B47B4F"/>
    <w:rsid w:val="00BC2F2A"/>
    <w:rsid w:val="00BD3900"/>
    <w:rsid w:val="00C54621"/>
    <w:rsid w:val="00CC7D1D"/>
    <w:rsid w:val="00D96C7B"/>
    <w:rsid w:val="00DE7E72"/>
    <w:rsid w:val="00EC61C4"/>
    <w:rsid w:val="00EF06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Revisin">
    <w:name w:val="Revision"/>
    <w:hidden/>
    <w:uiPriority w:val="99"/>
    <w:semiHidden/>
    <w:rsid w:val="002C17CD"/>
    <w:rPr>
      <w:sz w:val="24"/>
      <w:szCs w:val="24"/>
    </w:rPr>
  </w:style>
  <w:style w:type="paragraph" w:styleId="Textodeglobo">
    <w:name w:val="Balloon Text"/>
    <w:basedOn w:val="Normal"/>
    <w:link w:val="TextodegloboCar"/>
    <w:uiPriority w:val="99"/>
    <w:semiHidden/>
    <w:unhideWhenUsed/>
    <w:rsid w:val="002C17CD"/>
    <w:rPr>
      <w:rFonts w:ascii="Tahoma" w:hAnsi="Tahoma" w:cs="Tahoma"/>
      <w:sz w:val="16"/>
      <w:szCs w:val="16"/>
    </w:rPr>
  </w:style>
  <w:style w:type="character" w:customStyle="1" w:styleId="TextodegloboCar">
    <w:name w:val="Texto de globo Car"/>
    <w:basedOn w:val="Fuentedeprrafopredeter"/>
    <w:link w:val="Textodeglobo"/>
    <w:uiPriority w:val="99"/>
    <w:semiHidden/>
    <w:rsid w:val="002C17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Revisin">
    <w:name w:val="Revision"/>
    <w:hidden/>
    <w:uiPriority w:val="99"/>
    <w:semiHidden/>
    <w:rsid w:val="002C17CD"/>
    <w:rPr>
      <w:sz w:val="24"/>
      <w:szCs w:val="24"/>
    </w:rPr>
  </w:style>
  <w:style w:type="paragraph" w:styleId="Textodeglobo">
    <w:name w:val="Balloon Text"/>
    <w:basedOn w:val="Normal"/>
    <w:link w:val="TextodegloboCar"/>
    <w:uiPriority w:val="99"/>
    <w:semiHidden/>
    <w:unhideWhenUsed/>
    <w:rsid w:val="002C17CD"/>
    <w:rPr>
      <w:rFonts w:ascii="Tahoma" w:hAnsi="Tahoma" w:cs="Tahoma"/>
      <w:sz w:val="16"/>
      <w:szCs w:val="16"/>
    </w:rPr>
  </w:style>
  <w:style w:type="character" w:customStyle="1" w:styleId="TextodegloboCar">
    <w:name w:val="Texto de globo Car"/>
    <w:basedOn w:val="Fuentedeprrafopredeter"/>
    <w:link w:val="Textodeglobo"/>
    <w:uiPriority w:val="99"/>
    <w:semiHidden/>
    <w:rsid w:val="002C17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4236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4997</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2018-12-17T07:33:00Z</dcterms:created>
  <dcterms:modified xsi:type="dcterms:W3CDTF">2018-12-17T07:33:00Z</dcterms:modified>
</cp:coreProperties>
</file>