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enero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rotulación del edificio del colegio público “Joaquín Lizarraga” del Valle de Egüés,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enero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motivos por los que el Departamento de Educación, siendo conocedor del incumplimiento de la normativa vigente y responsable de su construcción, en cuanto a rotulación de edificios escolares públicos, no ha corregido la rotulación de la denominación más visible en el edificio del Colegio Público “Joaquín Lizarraga” del Valle de Egüés 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medidas y en qué plazos se van adoptar para cumplir la normativa al respecto?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15 de enero de 2019 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