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33" w:rsidRDefault="00565333" w:rsidP="0047380D">
      <w:pPr>
        <w:spacing w:before="240" w:line="360" w:lineRule="auto"/>
        <w:jc w:val="both"/>
        <w:rPr>
          <w:rFonts w:ascii="Arial" w:hAnsi="Arial" w:cs="Arial"/>
          <w:bCs/>
        </w:rPr>
      </w:pPr>
      <w:r>
        <w:rPr>
          <w:rFonts w:ascii="Arial" w:hAnsi="Arial"/>
          <w:bCs/>
        </w:rPr>
        <w:t>Urriaren 22a</w:t>
      </w:r>
    </w:p>
    <w:p w:rsidR="0047380D" w:rsidRDefault="0047380D" w:rsidP="0047380D">
      <w:pPr>
        <w:spacing w:before="240" w:line="360" w:lineRule="auto"/>
        <w:jc w:val="both"/>
        <w:rPr>
          <w:rFonts w:ascii="Arial" w:hAnsi="Arial" w:cs="Arial"/>
        </w:rPr>
      </w:pPr>
      <w:r>
        <w:rPr>
          <w:rFonts w:ascii="Arial" w:hAnsi="Arial"/>
        </w:rPr>
        <w:t xml:space="preserve">EH Bildu Nafarroa talde parlamentarioari atxikitako foru parlamentari </w:t>
      </w:r>
      <w:proofErr w:type="spellStart"/>
      <w:r>
        <w:rPr>
          <w:rFonts w:ascii="Arial" w:hAnsi="Arial"/>
        </w:rPr>
        <w:t>Maiorga</w:t>
      </w:r>
      <w:proofErr w:type="spellEnd"/>
      <w:r>
        <w:rPr>
          <w:rFonts w:ascii="Arial" w:hAnsi="Arial"/>
        </w:rPr>
        <w:t xml:space="preserve"> </w:t>
      </w:r>
      <w:proofErr w:type="spellStart"/>
      <w:r>
        <w:rPr>
          <w:rFonts w:ascii="Arial" w:hAnsi="Arial"/>
        </w:rPr>
        <w:t>Ramírez</w:t>
      </w:r>
      <w:proofErr w:type="spellEnd"/>
      <w:r>
        <w:rPr>
          <w:rFonts w:ascii="Arial" w:hAnsi="Arial"/>
        </w:rPr>
        <w:t xml:space="preserve"> Erro jaunak idatziz erantzuteko galdera bat egin du (9-18/PES-00189). Galdera hori 2018ko irailaren 13ko 3489. sarrera-zenbakiarekin erregistratu zen. Hona Nafarroako Gobernuko Ogasuneko eta Finantza Politikako kontseilariak horri buruz ematen dion informazioa:</w:t>
      </w:r>
    </w:p>
    <w:p w:rsidR="0047380D" w:rsidRDefault="0047380D" w:rsidP="0047380D">
      <w:pPr>
        <w:spacing w:line="360" w:lineRule="auto"/>
        <w:rPr>
          <w:rFonts w:ascii="Arial" w:hAnsi="Arial"/>
        </w:rPr>
      </w:pPr>
      <w:r>
        <w:rPr>
          <w:rFonts w:ascii="Arial" w:hAnsi="Arial"/>
        </w:rPr>
        <w:t xml:space="preserve">Nafarroako Gobernuko Finantza Politikarako Atalak eskatuta </w:t>
      </w:r>
      <w:proofErr w:type="spellStart"/>
      <w:r>
        <w:rPr>
          <w:rFonts w:ascii="Arial" w:hAnsi="Arial"/>
        </w:rPr>
        <w:t>Analistas</w:t>
      </w:r>
      <w:proofErr w:type="spellEnd"/>
      <w:r>
        <w:rPr>
          <w:rFonts w:ascii="Arial" w:hAnsi="Arial"/>
        </w:rPr>
        <w:t xml:space="preserve"> </w:t>
      </w:r>
      <w:proofErr w:type="spellStart"/>
      <w:r>
        <w:rPr>
          <w:rFonts w:ascii="Arial" w:hAnsi="Arial"/>
        </w:rPr>
        <w:t>Financieros</w:t>
      </w:r>
      <w:proofErr w:type="spellEnd"/>
      <w:r>
        <w:rPr>
          <w:rFonts w:ascii="Arial" w:hAnsi="Arial"/>
        </w:rPr>
        <w:t xml:space="preserve"> </w:t>
      </w:r>
      <w:proofErr w:type="spellStart"/>
      <w:r>
        <w:rPr>
          <w:rFonts w:ascii="Arial" w:hAnsi="Arial"/>
        </w:rPr>
        <w:t>Internacionales</w:t>
      </w:r>
      <w:proofErr w:type="spellEnd"/>
      <w:r>
        <w:rPr>
          <w:rFonts w:ascii="Arial" w:hAnsi="Arial"/>
        </w:rPr>
        <w:t xml:space="preserve"> SAk egin duen txostena erantsi dugu. </w:t>
      </w:r>
    </w:p>
    <w:p w:rsidR="0047380D" w:rsidRDefault="0047380D" w:rsidP="0047380D">
      <w:pPr>
        <w:spacing w:line="360" w:lineRule="auto"/>
        <w:jc w:val="both"/>
        <w:rPr>
          <w:rFonts w:ascii="Arial" w:hAnsi="Arial" w:cs="Arial"/>
          <w:bCs/>
        </w:rPr>
      </w:pPr>
      <w:r>
        <w:rPr>
          <w:rFonts w:ascii="Arial" w:hAnsi="Arial"/>
          <w:bCs/>
        </w:rPr>
        <w:t>Hori guztia jakinarazten dizut, Nafarroako Parlamentuko Erregelamenduaren 194. artikulua betez.</w:t>
      </w:r>
    </w:p>
    <w:p w:rsidR="0047380D" w:rsidRDefault="0047380D" w:rsidP="0047380D">
      <w:pPr>
        <w:rPr>
          <w:rFonts w:ascii="Arial" w:hAnsi="Arial" w:cs="Arial"/>
        </w:rPr>
      </w:pPr>
      <w:r>
        <w:rPr>
          <w:rFonts w:ascii="Arial" w:hAnsi="Arial"/>
        </w:rPr>
        <w:t>Iruñean, 2018ko urriaren 15ean</w:t>
      </w:r>
    </w:p>
    <w:p w:rsidR="0047380D" w:rsidRDefault="0047380D" w:rsidP="0047380D">
      <w:pPr>
        <w:spacing w:before="240" w:line="360" w:lineRule="auto"/>
        <w:jc w:val="center"/>
        <w:rPr>
          <w:rFonts w:ascii="Arial" w:hAnsi="Arial" w:cs="Arial"/>
          <w:bCs/>
        </w:rPr>
      </w:pPr>
      <w:r>
        <w:rPr>
          <w:rFonts w:ascii="Arial" w:hAnsi="Arial"/>
          <w:bCs/>
        </w:rPr>
        <w:t>Ogasuneko eta Finantza Politikako kontseilaria: Mikel Aranburu Urtasun</w:t>
      </w:r>
    </w:p>
    <w:p w:rsidR="0047380D" w:rsidRDefault="0047380D" w:rsidP="0047380D">
      <w:pPr>
        <w:spacing w:before="240" w:line="360" w:lineRule="auto"/>
        <w:jc w:val="center"/>
        <w:rPr>
          <w:rFonts w:ascii="Arial" w:hAnsi="Arial" w:cs="Arial"/>
          <w:bCs/>
        </w:rPr>
      </w:pPr>
      <w:r>
        <w:rPr>
          <w:rFonts w:ascii="Arial" w:hAnsi="Arial"/>
          <w:bCs/>
        </w:rPr>
        <w:t>ERANSKINA</w:t>
      </w:r>
    </w:p>
    <w:p w:rsidR="0017595B" w:rsidRDefault="0017595B" w:rsidP="0017595B">
      <w:pPr>
        <w:jc w:val="both"/>
        <w:rPr>
          <w:rFonts w:ascii="Arial" w:hAnsi="Arial" w:cs="Arial"/>
          <w:b/>
          <w:u w:val="single"/>
        </w:rPr>
      </w:pPr>
      <w:proofErr w:type="spellStart"/>
      <w:r>
        <w:rPr>
          <w:rFonts w:ascii="Arial" w:hAnsi="Arial"/>
          <w:b/>
          <w:u w:val="single"/>
        </w:rPr>
        <w:t>EBZk</w:t>
      </w:r>
      <w:proofErr w:type="spellEnd"/>
      <w:r>
        <w:rPr>
          <w:rFonts w:ascii="Arial" w:hAnsi="Arial"/>
          <w:b/>
          <w:u w:val="single"/>
        </w:rPr>
        <w:t xml:space="preserve"> moneta-politika gogorragoa egiteak Estatuko zorrean eta Nafarroako zorrean izanen lukeen inpaktua</w:t>
      </w:r>
    </w:p>
    <w:p w:rsidR="0017595B" w:rsidRDefault="0017595B" w:rsidP="0017595B">
      <w:pPr>
        <w:jc w:val="both"/>
        <w:rPr>
          <w:rFonts w:cs="Arial"/>
        </w:rPr>
      </w:pPr>
      <w:r>
        <w:t>2008ko krisi finantzarioak aldaketa bat ekarri zuen banku zentral nagusien moneta-politiketan; izan ere, neurri gehigarriak ezarri zituzten beren ohiko moneta-politikan.</w:t>
      </w:r>
    </w:p>
    <w:p w:rsidR="0017595B" w:rsidRDefault="0017595B" w:rsidP="0017595B">
      <w:pPr>
        <w:jc w:val="both"/>
        <w:rPr>
          <w:rFonts w:cs="Arial"/>
        </w:rPr>
      </w:pPr>
      <w:r>
        <w:t xml:space="preserve">Euroaren eremuan, krisi finantzarioak eztanda egin ondoren, </w:t>
      </w:r>
      <w:proofErr w:type="spellStart"/>
      <w:r>
        <w:t>EBZren</w:t>
      </w:r>
      <w:proofErr w:type="spellEnd"/>
      <w:r>
        <w:t xml:space="preserve"> jarduketak ez ziren izan Estatu Batuetako Fedek aurrera eramandakoak bezain irmoak, hasiera-hasieratik. Aktiboen erosketa-programak jada 2009an hasi baziren ere, CBBP1 deitutakoarekin, termino kuantitatiboetan Fedek hartutakoak baino sakontasun txikiagokoak izan ziren. Hala eta guztiz ere, </w:t>
      </w:r>
      <w:r>
        <w:rPr>
          <w:b/>
          <w:bCs/>
        </w:rPr>
        <w:t>euroaren eremuak 2012an bigarren atzeraldi bat pairatu zuen</w:t>
      </w:r>
      <w:r>
        <w:t xml:space="preserve">, zeinak </w:t>
      </w:r>
      <w:r>
        <w:rPr>
          <w:b/>
          <w:bCs/>
        </w:rPr>
        <w:t>neurri gehigarriak hartzeko beharra ekarri baitzuen</w:t>
      </w:r>
      <w:r>
        <w:t xml:space="preserve">. </w:t>
      </w:r>
      <w:r>
        <w:rPr>
          <w:b/>
          <w:bCs/>
        </w:rPr>
        <w:t xml:space="preserve">Hala eta guztiz ere, </w:t>
      </w:r>
      <w:proofErr w:type="spellStart"/>
      <w:r>
        <w:rPr>
          <w:b/>
          <w:bCs/>
        </w:rPr>
        <w:t>EBZren</w:t>
      </w:r>
      <w:proofErr w:type="spellEnd"/>
      <w:r>
        <w:rPr>
          <w:b/>
          <w:bCs/>
        </w:rPr>
        <w:t xml:space="preserve"> politikaren norabide-aldaketa handia ekarri zuen neurria</w:t>
      </w:r>
      <w:r>
        <w:t xml:space="preserve"> 2015eko urtarrileko bileran hartu zen. </w:t>
      </w:r>
      <w:proofErr w:type="spellStart"/>
      <w:r>
        <w:t>EBZk</w:t>
      </w:r>
      <w:proofErr w:type="spellEnd"/>
      <w:r>
        <w:t xml:space="preserve"> jarraitu zuen ikusten behera egiten zutela inflazioa gertatzeko aukerek, eta horrek arriskuan jartzen zuela inflazioa % 2rantz eramateko helburua betetzea, eta honako neurri hau hartu zen: </w:t>
      </w:r>
      <w:proofErr w:type="spellStart"/>
      <w:r>
        <w:t>EBZk</w:t>
      </w:r>
      <w:proofErr w:type="spellEnd"/>
      <w:r>
        <w:t xml:space="preserve"> zuzenean erosiko zuen euro eremuko gobernu zentralek, estatu-agentziek eta nazioz gaindiko erakundeek jaulkitako zor publikoa (aurrerago, neurri hori erakunde </w:t>
      </w:r>
      <w:proofErr w:type="spellStart"/>
      <w:r>
        <w:t>azpisubirauek</w:t>
      </w:r>
      <w:proofErr w:type="spellEnd"/>
      <w:r>
        <w:t xml:space="preserve"> jaulkitako zorrera ere zabaldu zuen). Programa horrek </w:t>
      </w:r>
      <w:proofErr w:type="spellStart"/>
      <w:r>
        <w:rPr>
          <w:i/>
        </w:rPr>
        <w:t>Public</w:t>
      </w:r>
      <w:proofErr w:type="spellEnd"/>
      <w:r>
        <w:rPr>
          <w:i/>
        </w:rPr>
        <w:t xml:space="preserve"> </w:t>
      </w:r>
      <w:proofErr w:type="spellStart"/>
      <w:r>
        <w:rPr>
          <w:i/>
        </w:rPr>
        <w:t>Secor</w:t>
      </w:r>
      <w:proofErr w:type="spellEnd"/>
      <w:r>
        <w:rPr>
          <w:i/>
        </w:rPr>
        <w:t xml:space="preserve"> </w:t>
      </w:r>
      <w:proofErr w:type="spellStart"/>
      <w:r>
        <w:rPr>
          <w:i/>
        </w:rPr>
        <w:t>Purchase</w:t>
      </w:r>
      <w:proofErr w:type="spellEnd"/>
      <w:r>
        <w:rPr>
          <w:i/>
        </w:rPr>
        <w:t xml:space="preserve"> </w:t>
      </w:r>
      <w:proofErr w:type="spellStart"/>
      <w:r>
        <w:rPr>
          <w:i/>
        </w:rPr>
        <w:t>Programme</w:t>
      </w:r>
      <w:proofErr w:type="spellEnd"/>
      <w:r>
        <w:rPr>
          <w:i/>
        </w:rPr>
        <w:t xml:space="preserve"> </w:t>
      </w:r>
      <w:r>
        <w:t xml:space="preserve">(PSPP) deitura hartu zuen. 2018ko maiatzeko datuekin, </w:t>
      </w:r>
      <w:proofErr w:type="spellStart"/>
      <w:r>
        <w:t>EBZko</w:t>
      </w:r>
      <w:proofErr w:type="spellEnd"/>
      <w:r>
        <w:t xml:space="preserve"> zor-erosketek 2 bilioi eurotik gorako bolumena zuten. Hori guztia konbinatu da </w:t>
      </w:r>
      <w:proofErr w:type="spellStart"/>
      <w:r>
        <w:t>EBZko</w:t>
      </w:r>
      <w:proofErr w:type="spellEnd"/>
      <w:r>
        <w:t xml:space="preserve"> erreferentziako interes-tasek behera egitearekin. Interes-tasa hori % 0ko mailan dago gaur egun.</w:t>
      </w:r>
    </w:p>
    <w:p w:rsidR="0017595B" w:rsidRDefault="004A5F34" w:rsidP="0017595B">
      <w:pPr>
        <w:jc w:val="both"/>
        <w:rPr>
          <w:rFonts w:cs="Arial"/>
        </w:rPr>
      </w:pPr>
      <w:r>
        <w:t>Neurri horiek ekarri dute zor publikoaren interes-tasak minimo historikoetara iristea, eta horretaz baliatu dira Europako altxorrak beren zorren zorroen batez besteko kostua gutxitzeko eta batez besteko bizitzak igotzeko. Egoera hori argi gertatu da Espainiako Altxorraren kasuan.</w:t>
      </w:r>
    </w:p>
    <w:p w:rsidR="00447F18" w:rsidRPr="00447F18" w:rsidRDefault="00447F18" w:rsidP="00447F18">
      <w:pPr>
        <w:pStyle w:val="Textodeclaves"/>
        <w:framePr w:hSpace="0" w:wrap="auto" w:vAnchor="margin" w:xAlign="left" w:yAlign="inline"/>
        <w:numPr>
          <w:ilvl w:val="0"/>
          <w:numId w:val="0"/>
        </w:numPr>
        <w:spacing w:line="240" w:lineRule="auto"/>
        <w:suppressOverlap w:val="0"/>
        <w:rPr>
          <w:rFonts w:asciiTheme="minorHAnsi" w:eastAsiaTheme="minorHAnsi" w:hAnsiTheme="minorHAnsi" w:cs="Arial"/>
          <w:sz w:val="22"/>
          <w:szCs w:val="22"/>
        </w:rPr>
      </w:pPr>
      <w:r>
        <w:rPr>
          <w:rFonts w:asciiTheme="minorHAnsi" w:hAnsiTheme="minorHAnsi"/>
          <w:sz w:val="22"/>
          <w:szCs w:val="22"/>
        </w:rPr>
        <w:t xml:space="preserve">Zor berriaren jaulkipenaren kostua % 0,70ekoa izan da 2018an. Jaulkipen-tasak zirkulazioan dagoen zorraren batez besteko kostua baino nabarmen txikiagoa izaten jarraitzen duenez, </w:t>
      </w:r>
      <w:r>
        <w:rPr>
          <w:rFonts w:asciiTheme="minorHAnsi" w:hAnsiTheme="minorHAnsi"/>
          <w:sz w:val="22"/>
          <w:szCs w:val="22"/>
        </w:rPr>
        <w:lastRenderedPageBreak/>
        <w:t>batez besteko kostu horrek txikitzen jarraitzen du, % 2,45era iristeraino (minimo historikoa).</w:t>
      </w:r>
    </w:p>
    <w:p w:rsidR="00447F18" w:rsidRPr="00447F18" w:rsidRDefault="00447F18" w:rsidP="00447F18">
      <w:pPr>
        <w:pStyle w:val="Textodeclaves"/>
        <w:framePr w:hSpace="0" w:wrap="auto" w:vAnchor="margin" w:xAlign="left" w:yAlign="inline"/>
        <w:numPr>
          <w:ilvl w:val="0"/>
          <w:numId w:val="0"/>
        </w:numPr>
        <w:spacing w:line="240" w:lineRule="auto"/>
        <w:suppressOverlap w:val="0"/>
        <w:rPr>
          <w:rFonts w:asciiTheme="minorHAnsi" w:eastAsiaTheme="minorHAnsi" w:hAnsiTheme="minorHAnsi" w:cs="Arial"/>
          <w:sz w:val="22"/>
          <w:szCs w:val="22"/>
        </w:rPr>
      </w:pPr>
      <w:r>
        <w:rPr>
          <w:rFonts w:asciiTheme="minorHAnsi" w:hAnsiTheme="minorHAnsi"/>
          <w:sz w:val="22"/>
          <w:szCs w:val="22"/>
        </w:rPr>
        <w:t xml:space="preserve">Halaber, kostuaren gutxitze horrekin batera batez besteko bizitzaren igoera gertatu da, eta horrekin </w:t>
      </w:r>
      <w:proofErr w:type="spellStart"/>
      <w:r>
        <w:rPr>
          <w:rFonts w:asciiTheme="minorHAnsi" w:hAnsiTheme="minorHAnsi"/>
          <w:sz w:val="22"/>
          <w:szCs w:val="22"/>
        </w:rPr>
        <w:t>birfinantzaketaren</w:t>
      </w:r>
      <w:proofErr w:type="spellEnd"/>
      <w:r>
        <w:rPr>
          <w:rFonts w:asciiTheme="minorHAnsi" w:hAnsiTheme="minorHAnsi"/>
          <w:sz w:val="22"/>
          <w:szCs w:val="22"/>
        </w:rPr>
        <w:t xml:space="preserve"> arriskua murriztu da eta Altxorra askoz hobeki prestatuta dago tentsio finantzarioak sortu ahal dituzten etorkizuneko gertakarietarako. Batez besteko bizitza 2018an 7,5 urtekoa izatera iritsi da (maximo historikoa).</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2"/>
        <w:gridCol w:w="4223"/>
      </w:tblGrid>
      <w:tr w:rsidR="00447F18" w:rsidRPr="00D32F8D" w:rsidTr="00231399">
        <w:trPr>
          <w:trHeight w:val="513"/>
        </w:trPr>
        <w:tc>
          <w:tcPr>
            <w:tcW w:w="4222" w:type="dxa"/>
          </w:tcPr>
          <w:p w:rsidR="00447F18" w:rsidRPr="00A17F0B" w:rsidRDefault="00447F18" w:rsidP="00231399">
            <w:pPr>
              <w:pStyle w:val="NormalWeb"/>
              <w:shd w:val="clear" w:color="auto" w:fill="FFFFFF"/>
              <w:spacing w:before="60" w:beforeAutospacing="0" w:after="0" w:afterAutospacing="0" w:line="240" w:lineRule="auto"/>
              <w:jc w:val="center"/>
              <w:rPr>
                <w:rFonts w:asciiTheme="minorHAnsi" w:hAnsiTheme="minorHAnsi" w:cs="Arial"/>
                <w:b/>
                <w:color w:val="000000" w:themeColor="text1"/>
                <w:sz w:val="20"/>
                <w:szCs w:val="20"/>
              </w:rPr>
            </w:pPr>
            <w:r w:rsidRPr="00A17F0B">
              <w:rPr>
                <w:rFonts w:asciiTheme="minorHAnsi" w:hAnsiTheme="minorHAnsi"/>
                <w:b/>
                <w:color w:val="000000" w:themeColor="text1"/>
                <w:sz w:val="20"/>
                <w:szCs w:val="20"/>
              </w:rPr>
              <w:t>Jaulkipen berriaren eta zirkulazioan den zorraren batez besteko jaulkipen-tasa (%)</w:t>
            </w:r>
          </w:p>
          <w:p w:rsidR="00447F18" w:rsidRDefault="00447F18" w:rsidP="00231399">
            <w:pPr>
              <w:pStyle w:val="NormalWeb"/>
              <w:shd w:val="clear" w:color="auto" w:fill="FFFFFF"/>
              <w:spacing w:before="60" w:beforeAutospacing="0" w:after="0" w:afterAutospacing="0" w:line="240" w:lineRule="auto"/>
              <w:jc w:val="center"/>
              <w:rPr>
                <w:rFonts w:ascii="Arial" w:hAnsi="Arial" w:cs="Arial"/>
                <w:b/>
                <w:color w:val="000000" w:themeColor="text1"/>
                <w:sz w:val="20"/>
                <w:szCs w:val="22"/>
              </w:rPr>
            </w:pPr>
            <w:r>
              <w:rPr>
                <w:rFonts w:ascii="Arial" w:hAnsi="Arial"/>
                <w:b/>
                <w:noProof/>
                <w:color w:val="000000" w:themeColor="text1"/>
                <w:sz w:val="20"/>
                <w:szCs w:val="22"/>
                <w:lang w:val="es-ES" w:eastAsia="es-ES"/>
              </w:rPr>
              <w:drawing>
                <wp:inline distT="0" distB="0" distL="0" distR="0" wp14:anchorId="58543439" wp14:editId="31644CE5">
                  <wp:extent cx="2543175" cy="20859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085975"/>
                          </a:xfrm>
                          <a:prstGeom prst="rect">
                            <a:avLst/>
                          </a:prstGeom>
                          <a:noFill/>
                          <a:ln>
                            <a:noFill/>
                          </a:ln>
                        </pic:spPr>
                      </pic:pic>
                    </a:graphicData>
                  </a:graphic>
                </wp:inline>
              </w:drawing>
            </w:r>
          </w:p>
          <w:p w:rsidR="00447F18" w:rsidRPr="00306A29" w:rsidRDefault="00447F18" w:rsidP="00A17F0B">
            <w:pPr>
              <w:pStyle w:val="NormalWeb"/>
              <w:shd w:val="clear" w:color="auto" w:fill="FFFFFF"/>
              <w:spacing w:before="0" w:beforeAutospacing="0" w:after="0" w:afterAutospacing="0" w:line="240" w:lineRule="auto"/>
              <w:rPr>
                <w:rFonts w:ascii="Arial" w:hAnsi="Arial" w:cs="Arial"/>
                <w:b/>
                <w:color w:val="000000" w:themeColor="text1"/>
                <w:sz w:val="20"/>
                <w:szCs w:val="22"/>
              </w:rPr>
            </w:pPr>
            <w:r>
              <w:rPr>
                <w:rFonts w:ascii="Arial" w:hAnsi="Arial"/>
                <w:color w:val="000000" w:themeColor="text1"/>
                <w:sz w:val="18"/>
                <w:szCs w:val="22"/>
              </w:rPr>
              <w:t xml:space="preserve">Iturria: </w:t>
            </w:r>
            <w:proofErr w:type="spellStart"/>
            <w:r>
              <w:rPr>
                <w:rFonts w:ascii="Arial" w:hAnsi="Arial"/>
                <w:color w:val="000000" w:themeColor="text1"/>
                <w:sz w:val="18"/>
                <w:szCs w:val="22"/>
              </w:rPr>
              <w:t>Afi</w:t>
            </w:r>
            <w:proofErr w:type="spellEnd"/>
            <w:r>
              <w:rPr>
                <w:rFonts w:ascii="Arial" w:hAnsi="Arial"/>
                <w:color w:val="000000" w:themeColor="text1"/>
                <w:sz w:val="18"/>
                <w:szCs w:val="22"/>
              </w:rPr>
              <w:t>, Tesoro</w:t>
            </w:r>
          </w:p>
        </w:tc>
        <w:tc>
          <w:tcPr>
            <w:tcW w:w="4223" w:type="dxa"/>
          </w:tcPr>
          <w:p w:rsidR="0047380D" w:rsidRPr="00A17F0B" w:rsidRDefault="00447F18" w:rsidP="00A17F0B">
            <w:pPr>
              <w:pStyle w:val="NormalWeb"/>
              <w:shd w:val="clear" w:color="auto" w:fill="FFFFFF"/>
              <w:spacing w:before="80" w:beforeAutospacing="0" w:after="0" w:afterAutospacing="0" w:line="240" w:lineRule="auto"/>
              <w:jc w:val="center"/>
              <w:rPr>
                <w:rFonts w:asciiTheme="minorHAnsi" w:hAnsiTheme="minorHAnsi" w:cs="Arial"/>
                <w:b/>
                <w:color w:val="000000" w:themeColor="text1"/>
                <w:sz w:val="20"/>
                <w:szCs w:val="20"/>
              </w:rPr>
            </w:pPr>
            <w:r w:rsidRPr="00A17F0B">
              <w:rPr>
                <w:rFonts w:asciiTheme="minorHAnsi" w:hAnsiTheme="minorHAnsi"/>
                <w:b/>
                <w:color w:val="000000" w:themeColor="text1"/>
                <w:sz w:val="20"/>
                <w:szCs w:val="20"/>
              </w:rPr>
              <w:t>Altxorraren zirkulazioan den zorraren batez besteko bizitza</w:t>
            </w:r>
          </w:p>
          <w:p w:rsidR="00447F18" w:rsidRDefault="00447F18" w:rsidP="00A17F0B">
            <w:pPr>
              <w:pStyle w:val="NormalWeb"/>
              <w:shd w:val="clear" w:color="auto" w:fill="FFFFFF"/>
              <w:spacing w:before="80" w:beforeAutospacing="0" w:after="0" w:afterAutospacing="0" w:line="240" w:lineRule="auto"/>
              <w:jc w:val="center"/>
              <w:rPr>
                <w:rFonts w:ascii="Arial" w:hAnsi="Arial" w:cs="Arial"/>
                <w:b/>
                <w:noProof/>
                <w:color w:val="000000" w:themeColor="text1"/>
                <w:sz w:val="20"/>
                <w:szCs w:val="22"/>
              </w:rPr>
            </w:pPr>
            <w:r>
              <w:rPr>
                <w:rFonts w:ascii="Arial" w:hAnsi="Arial"/>
                <w:b/>
                <w:noProof/>
                <w:color w:val="000000" w:themeColor="text1"/>
                <w:sz w:val="20"/>
                <w:szCs w:val="22"/>
                <w:lang w:val="es-ES" w:eastAsia="es-ES"/>
              </w:rPr>
              <w:drawing>
                <wp:inline distT="0" distB="0" distL="0" distR="0" wp14:anchorId="5A1AB1B7" wp14:editId="4D208E73">
                  <wp:extent cx="2428478" cy="200099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9331" cy="2009936"/>
                          </a:xfrm>
                          <a:prstGeom prst="rect">
                            <a:avLst/>
                          </a:prstGeom>
                          <a:noFill/>
                          <a:ln>
                            <a:noFill/>
                          </a:ln>
                        </pic:spPr>
                      </pic:pic>
                    </a:graphicData>
                  </a:graphic>
                </wp:inline>
              </w:drawing>
            </w:r>
          </w:p>
          <w:p w:rsidR="00447F18" w:rsidRPr="00C11A1B" w:rsidRDefault="00447F18" w:rsidP="00A17F0B">
            <w:pPr>
              <w:pStyle w:val="NormalWeb"/>
              <w:shd w:val="clear" w:color="auto" w:fill="FFFFFF"/>
              <w:spacing w:before="80" w:beforeAutospacing="0" w:after="0" w:afterAutospacing="0" w:line="240" w:lineRule="auto"/>
              <w:rPr>
                <w:rFonts w:ascii="Arial" w:hAnsi="Arial" w:cs="Arial"/>
                <w:color w:val="000000" w:themeColor="text1"/>
                <w:sz w:val="18"/>
                <w:szCs w:val="22"/>
              </w:rPr>
            </w:pPr>
            <w:r>
              <w:rPr>
                <w:rFonts w:ascii="Arial" w:hAnsi="Arial"/>
                <w:color w:val="000000" w:themeColor="text1"/>
                <w:sz w:val="18"/>
                <w:szCs w:val="22"/>
              </w:rPr>
              <w:t xml:space="preserve">Iturria: </w:t>
            </w:r>
            <w:proofErr w:type="spellStart"/>
            <w:r>
              <w:rPr>
                <w:rFonts w:ascii="Arial" w:hAnsi="Arial"/>
                <w:color w:val="000000" w:themeColor="text1"/>
                <w:sz w:val="18"/>
                <w:szCs w:val="22"/>
              </w:rPr>
              <w:t>Afi</w:t>
            </w:r>
            <w:proofErr w:type="spellEnd"/>
            <w:r>
              <w:rPr>
                <w:rFonts w:ascii="Arial" w:hAnsi="Arial"/>
                <w:color w:val="000000" w:themeColor="text1"/>
                <w:sz w:val="18"/>
                <w:szCs w:val="22"/>
              </w:rPr>
              <w:t>, Tesoro</w:t>
            </w:r>
          </w:p>
        </w:tc>
      </w:tr>
    </w:tbl>
    <w:p w:rsidR="00A17F0B" w:rsidRDefault="00A17F0B" w:rsidP="0017595B">
      <w:pPr>
        <w:jc w:val="both"/>
      </w:pPr>
    </w:p>
    <w:p w:rsidR="00C47678" w:rsidRDefault="00C47678" w:rsidP="0017595B">
      <w:pPr>
        <w:jc w:val="both"/>
        <w:rPr>
          <w:rFonts w:cs="Arial"/>
        </w:rPr>
      </w:pPr>
      <w:r>
        <w:t>Altxorrerako gertatu den egoera hori Nafarroako Gobernuaren kasurako ere errepikatu da; horrek, halaber, bere kreditu-kalitate jasoa dela eta, aprobetxatu du bere burua finantzatzeko oso aldekoak diren interes-tasekin, eta bere zorroaren batez besteko bizitza luzatzeko.</w:t>
      </w:r>
    </w:p>
    <w:p w:rsidR="00C47678" w:rsidRDefault="00C47678" w:rsidP="0017595B">
      <w:pPr>
        <w:jc w:val="both"/>
        <w:rPr>
          <w:rFonts w:cs="Arial"/>
        </w:rPr>
      </w:pPr>
      <w:r>
        <w:t xml:space="preserve">Hala eta guztiz ere, 2019an inflexio-puntu batean gaude, zeren eta ziklo ekonomikoak aldeko bilakaera izaten jarraitzen badu, EBZ bere moneta-politika gogortzen hasiko baita. Une hauetan espero da </w:t>
      </w:r>
      <w:proofErr w:type="spellStart"/>
      <w:r>
        <w:t>EBZk</w:t>
      </w:r>
      <w:proofErr w:type="spellEnd"/>
      <w:r>
        <w:t xml:space="preserve"> 2019ko urtarriletik zor-erosketa garbiak egiteari uztea</w:t>
      </w:r>
      <w:r>
        <w:rPr>
          <w:rStyle w:val="Refdenotaalpie"/>
          <w:rFonts w:cs="Arial"/>
        </w:rPr>
        <w:footnoteReference w:id="1"/>
      </w:r>
      <w:r>
        <w:t>, eta oso litekeena da 2019. urtearen amaierarako erreferentziako interes-tasa igotzen hastea. Bi neurri horiek ondorioa izanen da zor publikoaren interes-tasek gora eginen dutela, eta horrek, azkenean, talka eginen du bai Altxorraren, bai Nafarroako Gobernuaren finantzaketa-kostuarekin.</w:t>
      </w:r>
    </w:p>
    <w:p w:rsidR="00447F18" w:rsidRDefault="00C47678" w:rsidP="0017595B">
      <w:pPr>
        <w:jc w:val="both"/>
        <w:rPr>
          <w:rFonts w:cs="Arial"/>
        </w:rPr>
      </w:pPr>
      <w:r>
        <w:t>Halere, egia da horrek ez lukeela inpaktu nabarmenik eduki beharko bi erakundeen interesen zaman. Interes tasak gora egiten hasita ere, oso litekeena da igoera hori oso pixkanaka egitea, eta datozen urteetan jaulkipenaren kostuak zorraren batez besteko kostua baino txikiagoa izaten jarraituko duenez, azken horrek gutxitzen jarraituko du, bai Altxorreko kasuan, bai Nafarroako kasuan ere.</w:t>
      </w:r>
      <w:bookmarkStart w:id="0" w:name="_GoBack"/>
      <w:bookmarkEnd w:id="0"/>
    </w:p>
    <w:p w:rsidR="0047380D" w:rsidRDefault="00C47678" w:rsidP="0017595B">
      <w:pPr>
        <w:jc w:val="both"/>
        <w:rPr>
          <w:rFonts w:cs="Arial"/>
        </w:rPr>
      </w:pPr>
      <w:r>
        <w:t>Gainera, bi erakundeek bere zor gehiena interes-tasa finkoarekin dute; hori dela eta, zorraren zatirik handienak ez ditu pairatuko interes-tasen goranzko mugimendu horiek.</w:t>
      </w:r>
    </w:p>
    <w:p w:rsidR="00447F18" w:rsidRPr="004A5F34" w:rsidRDefault="00447F18" w:rsidP="0017595B">
      <w:pPr>
        <w:jc w:val="both"/>
        <w:rPr>
          <w:rFonts w:cs="Arial"/>
        </w:rPr>
      </w:pPr>
    </w:p>
    <w:sectPr w:rsidR="00447F18" w:rsidRPr="004A5F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78" w:rsidRDefault="00C47678" w:rsidP="00C47678">
      <w:pPr>
        <w:spacing w:after="0" w:line="240" w:lineRule="auto"/>
      </w:pPr>
      <w:r>
        <w:separator/>
      </w:r>
    </w:p>
  </w:endnote>
  <w:endnote w:type="continuationSeparator" w:id="0">
    <w:p w:rsidR="00C47678" w:rsidRDefault="00C47678" w:rsidP="00C4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78" w:rsidRDefault="00C47678" w:rsidP="00C47678">
      <w:pPr>
        <w:spacing w:after="0" w:line="240" w:lineRule="auto"/>
      </w:pPr>
      <w:r>
        <w:separator/>
      </w:r>
    </w:p>
  </w:footnote>
  <w:footnote w:type="continuationSeparator" w:id="0">
    <w:p w:rsidR="00C47678" w:rsidRDefault="00C47678" w:rsidP="00C47678">
      <w:pPr>
        <w:spacing w:after="0" w:line="240" w:lineRule="auto"/>
      </w:pPr>
      <w:r>
        <w:continuationSeparator/>
      </w:r>
    </w:p>
  </w:footnote>
  <w:footnote w:id="1">
    <w:p w:rsidR="00C47678" w:rsidRDefault="00C47678">
      <w:pPr>
        <w:pStyle w:val="Textonotapie"/>
      </w:pPr>
      <w:r>
        <w:rPr>
          <w:rStyle w:val="Refdenotaalpie"/>
        </w:rPr>
        <w:footnoteRef/>
      </w:r>
      <w:r>
        <w:t xml:space="preserve"> </w:t>
      </w:r>
      <w:proofErr w:type="spellStart"/>
      <w:r>
        <w:t>EBZk</w:t>
      </w:r>
      <w:proofErr w:type="spellEnd"/>
      <w:r>
        <w:t xml:space="preserve"> jarraituko du zorren muga-eguneratzeak berrinbertitzen, baina jada ez du balantzea handituko erosketa garbien bitartez.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B2E"/>
    <w:multiLevelType w:val="hybridMultilevel"/>
    <w:tmpl w:val="EC9E0ADA"/>
    <w:lvl w:ilvl="0" w:tplc="86D2B33E">
      <w:start w:val="1"/>
      <w:numFmt w:val="bullet"/>
      <w:pStyle w:val="Textodeclaves"/>
      <w:lvlText w:val=""/>
      <w:lvlJc w:val="left"/>
      <w:pPr>
        <w:ind w:left="1068" w:hanging="360"/>
      </w:pPr>
      <w:rPr>
        <w:rFonts w:ascii="Wingdings" w:hAnsi="Wingdings" w:hint="default"/>
        <w:color w:val="D84519"/>
        <w:sz w:val="28"/>
        <w:szCs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nsid w:val="4D382CEA"/>
    <w:multiLevelType w:val="hybridMultilevel"/>
    <w:tmpl w:val="A6FEF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5B"/>
    <w:rsid w:val="0017595B"/>
    <w:rsid w:val="002925C8"/>
    <w:rsid w:val="00447F18"/>
    <w:rsid w:val="0047380D"/>
    <w:rsid w:val="004A5F34"/>
    <w:rsid w:val="004B2464"/>
    <w:rsid w:val="00565333"/>
    <w:rsid w:val="006360F5"/>
    <w:rsid w:val="00A17F0B"/>
    <w:rsid w:val="00AE6362"/>
    <w:rsid w:val="00C47678"/>
    <w:rsid w:val="00D13917"/>
    <w:rsid w:val="00EB7732"/>
    <w:rsid w:val="00F43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laves">
    <w:name w:val="Texto de claves"/>
    <w:basedOn w:val="Normal"/>
    <w:qFormat/>
    <w:rsid w:val="00447F18"/>
    <w:pPr>
      <w:framePr w:hSpace="141" w:wrap="around" w:vAnchor="text" w:hAnchor="text" w:x="68" w:y="1"/>
      <w:widowControl w:val="0"/>
      <w:numPr>
        <w:numId w:val="1"/>
      </w:numPr>
      <w:tabs>
        <w:tab w:val="left" w:pos="2500"/>
      </w:tabs>
      <w:spacing w:before="60" w:after="60" w:line="240" w:lineRule="exact"/>
      <w:suppressOverlap/>
      <w:jc w:val="both"/>
    </w:pPr>
    <w:rPr>
      <w:rFonts w:ascii="Arial" w:eastAsia="Times New Roman" w:hAnsi="Arial" w:cs="Times New Roman"/>
      <w:sz w:val="18"/>
      <w:szCs w:val="20"/>
    </w:rPr>
  </w:style>
  <w:style w:type="paragraph" w:styleId="NormalWeb">
    <w:name w:val="Normal (Web)"/>
    <w:basedOn w:val="Normal"/>
    <w:uiPriority w:val="99"/>
    <w:rsid w:val="00447F18"/>
    <w:pPr>
      <w:spacing w:before="100" w:beforeAutospacing="1" w:after="100" w:afterAutospacing="1" w:line="240" w:lineRule="exact"/>
    </w:pPr>
    <w:rPr>
      <w:rFonts w:ascii="Times New Roman" w:eastAsia="Times New Roman" w:hAnsi="Times New Roman" w:cs="Times New Roman"/>
      <w:sz w:val="24"/>
      <w:szCs w:val="24"/>
    </w:rPr>
  </w:style>
  <w:style w:type="table" w:styleId="Tablaconcuadrcula">
    <w:name w:val="Table Grid"/>
    <w:basedOn w:val="Tablanormal"/>
    <w:rsid w:val="0044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6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678"/>
    <w:rPr>
      <w:sz w:val="20"/>
      <w:szCs w:val="20"/>
    </w:rPr>
  </w:style>
  <w:style w:type="character" w:styleId="Refdenotaalpie">
    <w:name w:val="footnote reference"/>
    <w:basedOn w:val="Fuentedeprrafopredeter"/>
    <w:uiPriority w:val="99"/>
    <w:semiHidden/>
    <w:unhideWhenUsed/>
    <w:rsid w:val="00C47678"/>
    <w:rPr>
      <w:vertAlign w:val="superscript"/>
    </w:rPr>
  </w:style>
  <w:style w:type="paragraph" w:styleId="Textodeglobo">
    <w:name w:val="Balloon Text"/>
    <w:basedOn w:val="Normal"/>
    <w:link w:val="TextodegloboCar"/>
    <w:uiPriority w:val="99"/>
    <w:semiHidden/>
    <w:unhideWhenUsed/>
    <w:rsid w:val="004738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laves">
    <w:name w:val="Texto de claves"/>
    <w:basedOn w:val="Normal"/>
    <w:qFormat/>
    <w:rsid w:val="00447F18"/>
    <w:pPr>
      <w:framePr w:hSpace="141" w:wrap="around" w:vAnchor="text" w:hAnchor="text" w:x="68" w:y="1"/>
      <w:widowControl w:val="0"/>
      <w:numPr>
        <w:numId w:val="1"/>
      </w:numPr>
      <w:tabs>
        <w:tab w:val="left" w:pos="2500"/>
      </w:tabs>
      <w:spacing w:before="60" w:after="60" w:line="240" w:lineRule="exact"/>
      <w:suppressOverlap/>
      <w:jc w:val="both"/>
    </w:pPr>
    <w:rPr>
      <w:rFonts w:ascii="Arial" w:eastAsia="Times New Roman" w:hAnsi="Arial" w:cs="Times New Roman"/>
      <w:sz w:val="18"/>
      <w:szCs w:val="20"/>
    </w:rPr>
  </w:style>
  <w:style w:type="paragraph" w:styleId="NormalWeb">
    <w:name w:val="Normal (Web)"/>
    <w:basedOn w:val="Normal"/>
    <w:uiPriority w:val="99"/>
    <w:rsid w:val="00447F18"/>
    <w:pPr>
      <w:spacing w:before="100" w:beforeAutospacing="1" w:after="100" w:afterAutospacing="1" w:line="240" w:lineRule="exact"/>
    </w:pPr>
    <w:rPr>
      <w:rFonts w:ascii="Times New Roman" w:eastAsia="Times New Roman" w:hAnsi="Times New Roman" w:cs="Times New Roman"/>
      <w:sz w:val="24"/>
      <w:szCs w:val="24"/>
    </w:rPr>
  </w:style>
  <w:style w:type="table" w:styleId="Tablaconcuadrcula">
    <w:name w:val="Table Grid"/>
    <w:basedOn w:val="Tablanormal"/>
    <w:rsid w:val="0044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6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678"/>
    <w:rPr>
      <w:sz w:val="20"/>
      <w:szCs w:val="20"/>
    </w:rPr>
  </w:style>
  <w:style w:type="character" w:styleId="Refdenotaalpie">
    <w:name w:val="footnote reference"/>
    <w:basedOn w:val="Fuentedeprrafopredeter"/>
    <w:uiPriority w:val="99"/>
    <w:semiHidden/>
    <w:unhideWhenUsed/>
    <w:rsid w:val="00C47678"/>
    <w:rPr>
      <w:vertAlign w:val="superscript"/>
    </w:rPr>
  </w:style>
  <w:style w:type="paragraph" w:styleId="Textodeglobo">
    <w:name w:val="Balloon Text"/>
    <w:basedOn w:val="Normal"/>
    <w:link w:val="TextodegloboCar"/>
    <w:uiPriority w:val="99"/>
    <w:semiHidden/>
    <w:unhideWhenUsed/>
    <w:rsid w:val="004738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D699E-B4AD-4BD6-8BC0-08CBED54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Jimenez Albert</dc:creator>
  <cp:lastModifiedBy>Iñaki De Santiago</cp:lastModifiedBy>
  <cp:revision>3</cp:revision>
  <dcterms:created xsi:type="dcterms:W3CDTF">2019-01-30T08:24:00Z</dcterms:created>
  <dcterms:modified xsi:type="dcterms:W3CDTF">2019-01-30T08:32:00Z</dcterms:modified>
</cp:coreProperties>
</file>