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evolución de la situación económico-financiera del Consorcio de Residuos de Navarra desde 2015 hasta ahora y la previsión futura sobre su continuidad o desaparición, formulada por el Ilmo. Sr. D. Mariano Herrero Ibáñez.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Mariano Herrero lbáñez, miembro de las Cortes de Navarra, adscrito al Grupo Parlamentario Unión del Pueblo Navarro (UPN), al amparo de lo dispuesto en Reglamento de la Cámara, solicita a la Consejera de Desarrollo Rural, Medio Ambiente y Administración Local del Gobierno de Navarra respuesta oral en el Pleno a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¿Cómo ha evolucionado la situación económico-financiera del Consorcio de Residuos de Navarra desde 2015 hasta ahora y cuál es su estado a 31 de diciembre de 2018; así como la previsión futura sobre su continuidad o desaparición?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febrero de 2019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El Parlamentario Foral: Mariano Herrero lbáñez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