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relación institucional con las empresas Fotón y Unitec y el impulso de la fabricación de vehículos eléctricos,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relación institucional con las empresas Fotón y Unitec en el sentido de impulsar la fabricación de vehículos eléctricos este parlamentario desea conocer: </w:t>
      </w:r>
    </w:p>
    <w:p>
      <w:pPr>
        <w:pStyle w:val="0"/>
        <w:suppressAutoHyphens w:val="false"/>
        <w:rPr>
          <w:rStyle w:val="1"/>
        </w:rPr>
      </w:pPr>
      <w:r>
        <w:rPr>
          <w:rStyle w:val="1"/>
        </w:rPr>
        <w:t xml:space="preserve">• Los recursos invertidos y destinados a dicho proyecto por SODENA y el Gobierno de Navarra a través de ayudas regladas. </w:t>
      </w:r>
    </w:p>
    <w:p>
      <w:pPr>
        <w:pStyle w:val="0"/>
        <w:suppressAutoHyphens w:val="false"/>
        <w:rPr>
          <w:rStyle w:val="1"/>
        </w:rPr>
      </w:pPr>
      <w:r>
        <w:rPr>
          <w:rStyle w:val="1"/>
        </w:rPr>
        <w:t xml:space="preserve">• Así mismo sería de interés conocer la información que dispone el Gobierno de Navarra sobre los recursos invertidos y destinados a dicho proyecto por parte de la Mancomunidad de Pamplona y Ayuntamiento de Tafalla. </w:t>
      </w:r>
    </w:p>
    <w:p>
      <w:pPr>
        <w:pStyle w:val="0"/>
        <w:suppressAutoHyphens w:val="false"/>
        <w:rPr>
          <w:rStyle w:val="1"/>
        </w:rPr>
      </w:pPr>
      <w:r>
        <w:rPr>
          <w:rStyle w:val="1"/>
        </w:rPr>
        <w:t xml:space="preserve">En lruñea, a 21 de febrero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