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BD7" w:rsidRDefault="000E4BD7" w:rsidP="000E4BD7">
      <w:pPr>
        <w:pStyle w:val="Textoindependiente"/>
        <w:spacing w:after="0" w:line="360" w:lineRule="auto"/>
        <w:rPr>
          <w:sz w:val="22"/>
          <w:szCs w:val="22"/>
          <w:rFonts w:cs="Arial"/>
        </w:rPr>
      </w:pPr>
      <w:r>
        <w:t xml:space="preserve">EH Bildu Nafarroa talde parlamentarioari atxikitako foru parlamentari </w:t>
      </w:r>
      <w:bookmarkStart w:id="0" w:name="Listadesplegable5"/>
      <w:r>
        <w:t xml:space="preserve">Maiorga Ramírez Erro</w:t>
      </w:r>
      <w:r>
        <w:rPr>
          <w:sz w:val="22"/>
          <w:szCs w:val="22"/>
        </w:rPr>
        <w:t xml:space="preserve"> </w:t>
      </w:r>
      <w:bookmarkEnd w:id="0"/>
      <w:r>
        <w:t xml:space="preserve"> jaunak honako galdera hau egin du (</w:t>
      </w:r>
      <w:r>
        <w:rPr>
          <w:b/>
        </w:rPr>
        <w:t xml:space="preserve">9-19-/PES-00017)</w:t>
      </w:r>
      <w:r>
        <w:t xml:space="preserve">: “Nafarroako Gobernuak Nafarroako herrietako populazio-galerari buruz egin duen azterlana dela eta, honako hau jakin nahi dut: ondorio nagusien eta berehala jarduteko atzeman diren beharrizanen zerrenda. Orobat, azterlan osoa igortzea eskatzen dut.” Hona Landa Garapeneko, Ingurumeneko eta Toki Administrazioko kontseilariaren erantzuna:</w:t>
      </w:r>
    </w:p>
    <w:p w:rsidR="000E4BD7" w:rsidRDefault="000E4BD7" w:rsidP="000E4BD7">
      <w:pPr>
        <w:pStyle w:val="Textoindependiente"/>
        <w:spacing w:after="0" w:line="360" w:lineRule="auto"/>
        <w:rPr>
          <w:sz w:val="22"/>
          <w:szCs w:val="22"/>
          <w:rFonts w:cs="Arial"/>
        </w:rPr>
      </w:pPr>
    </w:p>
    <w:p w:rsidR="006C0A38" w:rsidRDefault="000E4BD7" w:rsidP="000E4BD7">
      <w:pPr>
        <w:pStyle w:val="Textoindependiente"/>
        <w:spacing w:after="0" w:line="360" w:lineRule="auto"/>
        <w:rPr>
          <w:sz w:val="22"/>
          <w:szCs w:val="22"/>
          <w:rFonts w:cs="Arial"/>
        </w:rPr>
      </w:pPr>
    </w:p>
    <w:p w:rsidR="006C0A38" w:rsidRDefault="006C0A38" w:rsidP="006C0A38">
      <w:pPr>
        <w:autoSpaceDE w:val="0"/>
        <w:autoSpaceDN w:val="0"/>
        <w:adjustRightInd w:val="0"/>
        <w:spacing w:after="240"/>
        <w:rPr>
          <w:sz w:val="22"/>
          <w:szCs w:val="22"/>
          <w:rFonts w:ascii="ArialMT" w:eastAsiaTheme="minorHAnsi" w:hAnsi="ArialMT" w:cs="ArialMT"/>
        </w:rPr>
      </w:pPr>
      <w:r>
        <w:rPr>
          <w:sz w:val="22"/>
          <w:szCs w:val="22"/>
          <w:rFonts w:ascii="ArialMT" w:hAnsi="ArialMT"/>
        </w:rPr>
        <w:t xml:space="preserve">EGINDAKO GALDERA:</w:t>
      </w:r>
    </w:p>
    <w:p w:rsidR="006C0A38" w:rsidRDefault="006C0A38" w:rsidP="006C0A38">
      <w:pPr>
        <w:autoSpaceDE w:val="0"/>
        <w:autoSpaceDN w:val="0"/>
        <w:adjustRightInd w:val="0"/>
        <w:rPr>
          <w:b/>
          <w:bCs/>
          <w:sz w:val="22"/>
          <w:szCs w:val="22"/>
          <w:rFonts w:ascii="Arial-BoldMT" w:eastAsiaTheme="minorHAnsi" w:hAnsi="Arial-BoldMT" w:cs="Arial-BoldMT"/>
        </w:rPr>
      </w:pPr>
      <w:r>
        <w:rPr>
          <w:b/>
          <w:bCs/>
          <w:sz w:val="22"/>
          <w:szCs w:val="22"/>
          <w:rFonts w:ascii="Arial-BoldMT" w:hAnsi="Arial-BoldMT"/>
        </w:rPr>
        <w:t xml:space="preserve">Ondorio nagusien eta berehala jarduteko atzeman diren beharrizanen zerrenda.</w:t>
      </w:r>
    </w:p>
    <w:p w:rsidR="006C0A38" w:rsidRDefault="006C0A38" w:rsidP="006C0A38">
      <w:pPr>
        <w:pStyle w:val="Textoindependiente"/>
        <w:spacing w:after="0" w:line="360" w:lineRule="auto"/>
        <w:rPr>
          <w:sz w:val="22"/>
          <w:szCs w:val="22"/>
          <w:rFonts w:cs="Arial"/>
        </w:rPr>
      </w:pPr>
      <w:r>
        <w:rPr>
          <w:sz w:val="22"/>
          <w:szCs w:val="22"/>
          <w:rFonts w:ascii="ArialMT" w:hAnsi="ArialMT"/>
        </w:rPr>
        <w:t xml:space="preserve">ERANTZUNA</w:t>
      </w:r>
    </w:p>
    <w:p w:rsidR="000E4BD7" w:rsidRPr="00AA4C9C" w:rsidRDefault="000E4BD7" w:rsidP="000E4BD7">
      <w:pPr>
        <w:pStyle w:val="Textoindependiente"/>
        <w:spacing w:after="0" w:line="360" w:lineRule="auto"/>
        <w:rPr>
          <w:b/>
          <w:sz w:val="22"/>
          <w:szCs w:val="22"/>
          <w:rFonts w:cs="Arial"/>
        </w:rPr>
      </w:pPr>
      <w:r>
        <w:rPr>
          <w:b/>
          <w:sz w:val="22"/>
          <w:szCs w:val="22"/>
        </w:rPr>
        <w:t xml:space="preserve">ESPARRUA.</w:t>
      </w:r>
    </w:p>
    <w:p w:rsidR="000E4BD7" w:rsidRPr="00AA4C9C" w:rsidRDefault="000E4BD7" w:rsidP="000E4BD7">
      <w:pPr>
        <w:pStyle w:val="Textoindependiente"/>
        <w:spacing w:after="0" w:line="360" w:lineRule="auto"/>
        <w:rPr>
          <w:sz w:val="22"/>
          <w:szCs w:val="22"/>
          <w:rFonts w:cs="Arial"/>
        </w:rPr>
      </w:pPr>
      <w:r>
        <w:rPr>
          <w:sz w:val="22"/>
          <w:szCs w:val="22"/>
        </w:rPr>
        <w:t xml:space="preserve">Landa Garapeneko, Ingurumeneko eta Toki Administrazioko Departamentua “Nafarroan hutsik dauden herriei buruzko azterlana” prestatzen ari da; horren baitan, hasierako fase gisa, Nafarroako Gobernuko Lurralde Azterlanen Institutuak 1986an egin zuen “Hutsik dauden eta huste-prozesuan dauden herriak” azterlanean jasotako inbentarioa gaurkotu da.</w:t>
      </w:r>
    </w:p>
    <w:p w:rsidR="006C0A38" w:rsidRDefault="000E4BD7" w:rsidP="000E4BD7">
      <w:pPr>
        <w:pStyle w:val="Textoindependiente"/>
        <w:spacing w:after="0" w:line="360" w:lineRule="auto"/>
        <w:rPr>
          <w:sz w:val="22"/>
          <w:szCs w:val="22"/>
          <w:rFonts w:cs="Arial"/>
        </w:rPr>
      </w:pPr>
    </w:p>
    <w:p w:rsidR="000E4BD7" w:rsidRPr="00AA4C9C" w:rsidRDefault="000E4BD7" w:rsidP="000E4BD7">
      <w:pPr>
        <w:pStyle w:val="Textoindependiente"/>
        <w:spacing w:after="0" w:line="360" w:lineRule="auto"/>
        <w:rPr>
          <w:b/>
          <w:sz w:val="22"/>
          <w:szCs w:val="22"/>
          <w:rFonts w:cs="Arial"/>
        </w:rPr>
      </w:pPr>
      <w:r>
        <w:rPr>
          <w:b/>
          <w:sz w:val="22"/>
          <w:szCs w:val="22"/>
        </w:rPr>
        <w:t xml:space="preserve">XEDEA.</w:t>
      </w:r>
    </w:p>
    <w:p w:rsidR="006C0A38" w:rsidRDefault="000E4BD7" w:rsidP="000E4BD7">
      <w:pPr>
        <w:pStyle w:val="Textoindependiente"/>
        <w:spacing w:after="0" w:line="360" w:lineRule="auto"/>
        <w:rPr>
          <w:sz w:val="22"/>
          <w:szCs w:val="22"/>
          <w:rFonts w:cs="Arial"/>
        </w:rPr>
      </w:pPr>
      <w:r>
        <w:rPr>
          <w:sz w:val="22"/>
          <w:szCs w:val="22"/>
        </w:rPr>
        <w:t xml:space="preserve">Azterlan honen xedea da inbentario horretan jasotako datuak gaurkotzea eta bertan ageri diren herrien egoera ezagutzea, erabakiak hartzeko oinarri gisa, Nafarroako geografiako herrien ondare kultural, historiko eta etnografikoa aitortzeko politiketan, hutsik egon edo hutsik geratzeko arriskua dagoen kasuetan.</w:t>
      </w:r>
    </w:p>
    <w:p w:rsidR="006C0A38" w:rsidRDefault="000E4BD7" w:rsidP="000E4BD7">
      <w:pPr>
        <w:pStyle w:val="Textoindependiente"/>
        <w:spacing w:after="0" w:line="360" w:lineRule="auto"/>
        <w:rPr>
          <w:sz w:val="22"/>
          <w:szCs w:val="22"/>
          <w:rFonts w:cs="Arial"/>
        </w:rPr>
      </w:pPr>
      <w:r>
        <w:rPr>
          <w:sz w:val="22"/>
          <w:szCs w:val="22"/>
        </w:rPr>
        <w:t xml:space="preserve">86ko azterlana bi fasetan egin zen; lehendabizikoan, herrien inbentarioa ageria da (lau aletan zatitua); bigarrenean, berriz, analisiak, proposamenak eta eranskinak. Bada azken dokumentu bat: laburpena.</w:t>
      </w:r>
    </w:p>
    <w:p w:rsidR="000E4BD7" w:rsidRPr="00AA4C9C" w:rsidRDefault="000E4BD7" w:rsidP="000E4BD7">
      <w:pPr>
        <w:pStyle w:val="Textoindependiente"/>
        <w:spacing w:after="0" w:line="360" w:lineRule="auto"/>
        <w:rPr>
          <w:sz w:val="22"/>
          <w:szCs w:val="22"/>
          <w:rFonts w:cs="Arial"/>
        </w:rPr>
      </w:pPr>
      <w:r>
        <w:rPr>
          <w:sz w:val="22"/>
          <w:szCs w:val="22"/>
        </w:rPr>
        <w:t xml:space="preserve">Inbentarioan, udalaren azalpen orokor bat egiten da, bai eta aztertutako herri bakoitzaren monografia bat ere.</w:t>
      </w:r>
      <w:r>
        <w:rPr>
          <w:sz w:val="22"/>
          <w:szCs w:val="22"/>
        </w:rPr>
        <w:t xml:space="preserve"> </w:t>
      </w:r>
      <w:r>
        <w:rPr>
          <w:sz w:val="22"/>
          <w:szCs w:val="22"/>
        </w:rPr>
        <w:t xml:space="preserve">Gaurkotzeko, herri guztietara egin da bisita, biztanleei elkarrizketak egin zaizkie, eta egoeraren analisi teknikoa egin da.</w:t>
      </w:r>
      <w:r>
        <w:rPr>
          <w:sz w:val="22"/>
          <w:szCs w:val="22"/>
        </w:rPr>
        <w:t xml:space="preserve"> </w:t>
      </w:r>
      <w:r>
        <w:rPr>
          <w:sz w:val="22"/>
          <w:szCs w:val="22"/>
        </w:rPr>
        <w:t xml:space="preserve">Monografia berri bat egin da herri bakoitzeko.</w:t>
      </w:r>
    </w:p>
    <w:p w:rsidR="006C0A38" w:rsidRDefault="000E4BD7" w:rsidP="000E4BD7">
      <w:pPr>
        <w:pStyle w:val="Textoindependiente"/>
        <w:spacing w:after="0" w:line="360" w:lineRule="auto"/>
        <w:rPr>
          <w:sz w:val="22"/>
          <w:szCs w:val="22"/>
          <w:rFonts w:cs="Arial"/>
        </w:rPr>
      </w:pPr>
      <w:r>
        <w:rPr>
          <w:sz w:val="22"/>
          <w:szCs w:val="22"/>
        </w:rPr>
        <w:t xml:space="preserve">Azterlanean, 86an aztertutako herrien egungo egoera aztertzen da banan-banan, hirigintzaren ikuspuntutik bereziki: jabetza, biztanleria, okupazioa, eraikuntza, sarbideen egoera eta oinarrizko gainontzeko hirigintza-zerbitzuak, indarrean den hirigintza-planeamendua gehituta (lurraldekoa nahiz udalekoa), albo batera utzita arkitektura-ondareari, paisaiari, natur baliabideei eta abarrei buruzko beste alderdi batzuk, zeinak berariazko analisien xede izan baitaitezke betiere.</w:t>
      </w:r>
    </w:p>
    <w:p w:rsidR="000E4BD7" w:rsidRPr="00AA4C9C" w:rsidRDefault="000E4BD7" w:rsidP="000E4BD7">
      <w:pPr>
        <w:pStyle w:val="Textoindependiente"/>
        <w:spacing w:after="0" w:line="360" w:lineRule="auto"/>
        <w:rPr>
          <w:b/>
          <w:sz w:val="22"/>
          <w:szCs w:val="22"/>
          <w:rFonts w:cs="Arial"/>
        </w:rPr>
      </w:pPr>
      <w:r>
        <w:rPr>
          <w:b/>
          <w:sz w:val="22"/>
          <w:szCs w:val="22"/>
        </w:rPr>
        <w:t xml:space="preserve">ESPARRUA.</w:t>
      </w:r>
    </w:p>
    <w:p w:rsidR="006C0A38" w:rsidRDefault="000E4BD7" w:rsidP="000E4BD7">
      <w:pPr>
        <w:pStyle w:val="Textoindependiente"/>
        <w:spacing w:after="0" w:line="360" w:lineRule="auto"/>
        <w:rPr>
          <w:sz w:val="22"/>
          <w:szCs w:val="22"/>
          <w:rFonts w:cs="Arial"/>
        </w:rPr>
      </w:pPr>
      <w:r>
        <w:rPr>
          <w:sz w:val="22"/>
          <w:szCs w:val="22"/>
        </w:rPr>
        <w:t xml:space="preserve">Gaurkotutako inbentarioak Nafarroako 24 herritako 80 monografia jasotzen ditu, gehien-gehienak Nafarroako Pirinioaurreko haranetakoak: Erroibar, Artzibar, Longida, Urraulgoiti, Urraulbeiti eta Erromantzatua, bai eta horiekin muga egiten duten herriak ere, Pirinioaurrearen eta Iruñerriaren artean: Esteribar, Lizoain, Izagaondoa eta Ibargoiti, Izko hegoaldeko Leotz eta Ezporogi, eta Untziti, Elortz, Aranguren eta Eguesibarko zenbait gune ere bai, Iruñetik hurbilago.</w:t>
      </w:r>
    </w:p>
    <w:p w:rsidR="006C0A38" w:rsidRDefault="000E4BD7" w:rsidP="000E4BD7">
      <w:pPr>
        <w:pStyle w:val="Textoindependiente"/>
        <w:spacing w:after="0" w:line="360" w:lineRule="auto"/>
        <w:rPr>
          <w:sz w:val="22"/>
          <w:szCs w:val="22"/>
          <w:rFonts w:cs="Arial"/>
        </w:rPr>
      </w:pPr>
      <w:r>
        <w:rPr>
          <w:sz w:val="22"/>
          <w:szCs w:val="22"/>
        </w:rPr>
        <w:t xml:space="preserve">Inbentarioan –eta hortaz, gaurkotzean– orobat sartu dira hiriburuaren ipar-mendebaldeko herrietako beste gune batzuk:</w:t>
      </w:r>
      <w:r>
        <w:rPr>
          <w:sz w:val="22"/>
          <w:szCs w:val="22"/>
        </w:rPr>
        <w:t xml:space="preserve"> </w:t>
      </w:r>
      <w:r>
        <w:rPr>
          <w:sz w:val="22"/>
          <w:szCs w:val="22"/>
        </w:rPr>
        <w:t xml:space="preserve">Ezkabarte, Olaibar, Txulapain eta Itza.</w:t>
      </w:r>
      <w:r>
        <w:rPr>
          <w:sz w:val="22"/>
          <w:szCs w:val="22"/>
        </w:rPr>
        <w:t xml:space="preserve"> </w:t>
      </w:r>
      <w:r>
        <w:rPr>
          <w:sz w:val="22"/>
          <w:szCs w:val="22"/>
        </w:rPr>
        <w:t xml:space="preserve">Eta Iruñaren hego-mendebaldeko herrietakoak ere bai, Estellerriko bidean: Zizur, Girgillao, Gesalatz eta Etaiu.</w:t>
      </w:r>
    </w:p>
    <w:p w:rsidR="006C0A38" w:rsidRDefault="000E4BD7" w:rsidP="000E4BD7">
      <w:pPr>
        <w:pStyle w:val="Textoindependiente"/>
        <w:spacing w:after="0" w:line="360" w:lineRule="auto"/>
        <w:rPr>
          <w:sz w:val="22"/>
          <w:szCs w:val="22"/>
          <w:rFonts w:cs="Arial"/>
        </w:rPr>
      </w:pPr>
      <w:r>
        <w:rPr>
          <w:sz w:val="22"/>
          <w:szCs w:val="22"/>
        </w:rPr>
        <w:t xml:space="preserve">Finean, azterlana ez da Nafarroa osoan hutsik dauden edo hutsik geratzeko arriskuan dauden herri guztiei buruzkoa, ez; 86ko azterlaneko inbentarioan ageri ziren herrien egoera aztertzera mugatu da. Herri horiek honako baldintza hauetako bat betetzen zuten garai batean:</w:t>
      </w:r>
    </w:p>
    <w:p w:rsidR="006C0A38" w:rsidRDefault="000E4BD7" w:rsidP="000E4BD7">
      <w:pPr>
        <w:pStyle w:val="Textoindependiente"/>
        <w:spacing w:after="0" w:line="360" w:lineRule="auto"/>
        <w:rPr>
          <w:sz w:val="22"/>
          <w:szCs w:val="22"/>
          <w:rFonts w:cs="Arial"/>
        </w:rPr>
      </w:pPr>
      <w:r>
        <w:rPr>
          <w:sz w:val="22"/>
          <w:szCs w:val="22"/>
        </w:rPr>
        <w:t xml:space="preserve">Tutoretzapeko kontzejuak izatea (hutsik zeudenak edo hutsik ez zeudenak), hutsik zeuden guneak (tutoretzapekoak edo ez) eta hutsik geratzeko bidean zeudenak izatea (azken 20 urteotan biztanleen % 80tik gora galdutakoak).</w:t>
      </w:r>
    </w:p>
    <w:p w:rsidR="000E4BD7" w:rsidRDefault="000E4BD7" w:rsidP="000E4BD7">
      <w:pPr>
        <w:pStyle w:val="Textoindependiente"/>
        <w:spacing w:after="0" w:line="360" w:lineRule="auto"/>
        <w:rPr>
          <w:sz w:val="22"/>
          <w:szCs w:val="22"/>
          <w:rFonts w:cs="Arial"/>
        </w:rPr>
      </w:pPr>
      <w:r>
        <w:rPr>
          <w:sz w:val="22"/>
          <w:szCs w:val="22"/>
        </w:rPr>
        <w:t xml:space="preserve">Hona inbentarioaren gaurkotzean sartutako herriak:</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1.</w:t>
      </w:r>
      <w:r>
        <w:rPr>
          <w:sz w:val="22"/>
          <w:szCs w:val="22"/>
        </w:rPr>
        <w:t xml:space="preserve"> </w:t>
      </w:r>
      <w:r>
        <w:rPr>
          <w:sz w:val="22"/>
          <w:szCs w:val="22"/>
        </w:rPr>
        <w:t xml:space="preserve">Erromantzatua:</w:t>
      </w:r>
      <w:r>
        <w:rPr>
          <w:sz w:val="22"/>
          <w:szCs w:val="22"/>
        </w:rPr>
        <w:t xml:space="preserve"> </w:t>
      </w:r>
      <w:r>
        <w:rPr>
          <w:sz w:val="22"/>
          <w:szCs w:val="22"/>
        </w:rPr>
        <w:t xml:space="preserve">Berroia, Isu, Napal, Orradre, Usun.</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2.</w:t>
      </w:r>
      <w:r>
        <w:rPr>
          <w:sz w:val="22"/>
          <w:szCs w:val="22"/>
        </w:rPr>
        <w:t xml:space="preserve"> </w:t>
      </w:r>
      <w:r>
        <w:rPr>
          <w:sz w:val="22"/>
          <w:szCs w:val="22"/>
        </w:rPr>
        <w:t xml:space="preserve">Urraulgoiti:</w:t>
      </w:r>
      <w:r>
        <w:rPr>
          <w:sz w:val="22"/>
          <w:szCs w:val="22"/>
        </w:rPr>
        <w:t xml:space="preserve"> </w:t>
      </w:r>
      <w:r>
        <w:rPr>
          <w:sz w:val="22"/>
          <w:szCs w:val="22"/>
        </w:rPr>
        <w:t xml:space="preserve">Aizkurgi, Artanga, Elkoatz, Ezkanitz, Gindao, Lareki, Ozkoidi, Sastoia, Zabaltza.</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3.</w:t>
      </w:r>
      <w:r>
        <w:rPr>
          <w:sz w:val="22"/>
          <w:szCs w:val="22"/>
        </w:rPr>
        <w:t xml:space="preserve"> </w:t>
      </w:r>
      <w:r>
        <w:rPr>
          <w:sz w:val="22"/>
          <w:szCs w:val="22"/>
        </w:rPr>
        <w:t xml:space="preserve">Urraulbeiti:</w:t>
      </w:r>
      <w:r>
        <w:rPr>
          <w:sz w:val="22"/>
          <w:szCs w:val="22"/>
        </w:rPr>
        <w:t xml:space="preserve"> </w:t>
      </w:r>
      <w:r>
        <w:rPr>
          <w:sz w:val="22"/>
          <w:szCs w:val="22"/>
        </w:rPr>
        <w:t xml:space="preserve">Aldunate, Nardoze –Alduate, Nardoze– Andurra.</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4.</w:t>
      </w:r>
      <w:r>
        <w:rPr>
          <w:sz w:val="22"/>
          <w:szCs w:val="22"/>
        </w:rPr>
        <w:t xml:space="preserve"> </w:t>
      </w:r>
      <w:r>
        <w:rPr>
          <w:sz w:val="22"/>
          <w:szCs w:val="22"/>
        </w:rPr>
        <w:t xml:space="preserve">Itzagaondoa:</w:t>
      </w:r>
      <w:r>
        <w:rPr>
          <w:sz w:val="22"/>
          <w:szCs w:val="22"/>
        </w:rPr>
        <w:t xml:space="preserve"> </w:t>
      </w:r>
      <w:r>
        <w:rPr>
          <w:sz w:val="22"/>
          <w:szCs w:val="22"/>
        </w:rPr>
        <w:t xml:space="preserve">Beroitz, Urbikain, Gergetiain.</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5.</w:t>
      </w:r>
      <w:r>
        <w:rPr>
          <w:sz w:val="22"/>
          <w:szCs w:val="22"/>
        </w:rPr>
        <w:t xml:space="preserve"> </w:t>
      </w:r>
      <w:r>
        <w:rPr>
          <w:sz w:val="22"/>
          <w:szCs w:val="22"/>
        </w:rPr>
        <w:t xml:space="preserve">Ibargoiti:</w:t>
      </w:r>
      <w:r>
        <w:rPr>
          <w:sz w:val="22"/>
          <w:szCs w:val="22"/>
        </w:rPr>
        <w:t xml:space="preserve"> </w:t>
      </w:r>
      <w:r>
        <w:rPr>
          <w:sz w:val="22"/>
          <w:szCs w:val="22"/>
        </w:rPr>
        <w:t xml:space="preserve">Sengaritz.</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6.</w:t>
      </w:r>
      <w:r>
        <w:rPr>
          <w:sz w:val="22"/>
          <w:szCs w:val="22"/>
        </w:rPr>
        <w:t xml:space="preserve"> </w:t>
      </w:r>
      <w:r>
        <w:rPr>
          <w:sz w:val="22"/>
          <w:szCs w:val="22"/>
        </w:rPr>
        <w:t xml:space="preserve">Artzibar:</w:t>
      </w:r>
      <w:r>
        <w:rPr>
          <w:sz w:val="22"/>
          <w:szCs w:val="22"/>
        </w:rPr>
        <w:t xml:space="preserve"> </w:t>
      </w:r>
      <w:r>
        <w:rPr>
          <w:sz w:val="22"/>
          <w:szCs w:val="22"/>
        </w:rPr>
        <w:t xml:space="preserve">Artzi, Arizkuren, Espotz, Gorraitz, Gurpegi, Imizkotz, Lakabe, Lusarreta, Ots, Uliberri, Urdirotz, Usotz.</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7.</w:t>
      </w:r>
      <w:r>
        <w:rPr>
          <w:sz w:val="22"/>
          <w:szCs w:val="22"/>
        </w:rPr>
        <w:t xml:space="preserve"> </w:t>
      </w:r>
      <w:r>
        <w:rPr>
          <w:sz w:val="22"/>
          <w:szCs w:val="22"/>
        </w:rPr>
        <w:t xml:space="preserve">Longida:</w:t>
      </w:r>
      <w:r>
        <w:rPr>
          <w:sz w:val="22"/>
          <w:szCs w:val="22"/>
        </w:rPr>
        <w:t xml:space="preserve"> </w:t>
      </w:r>
      <w:r>
        <w:rPr>
          <w:sz w:val="22"/>
          <w:szCs w:val="22"/>
        </w:rPr>
        <w:t xml:space="preserve">Xaberri, Mugeta, Olaberri, Ulibeiti, Zarikieta.</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8.</w:t>
      </w:r>
      <w:r>
        <w:rPr>
          <w:sz w:val="22"/>
          <w:szCs w:val="22"/>
        </w:rPr>
        <w:t xml:space="preserve"> </w:t>
      </w:r>
      <w:r>
        <w:rPr>
          <w:sz w:val="22"/>
          <w:szCs w:val="22"/>
        </w:rPr>
        <w:t xml:space="preserve">Erro:</w:t>
      </w:r>
      <w:r>
        <w:rPr>
          <w:sz w:val="22"/>
          <w:szCs w:val="22"/>
        </w:rPr>
        <w:t xml:space="preserve"> </w:t>
      </w:r>
      <w:r>
        <w:rPr>
          <w:sz w:val="22"/>
          <w:szCs w:val="22"/>
        </w:rPr>
        <w:t xml:space="preserve">Loizu.</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9.</w:t>
      </w:r>
      <w:r>
        <w:rPr>
          <w:sz w:val="22"/>
          <w:szCs w:val="22"/>
        </w:rPr>
        <w:t xml:space="preserve"> </w:t>
      </w:r>
      <w:r>
        <w:rPr>
          <w:sz w:val="22"/>
          <w:szCs w:val="22"/>
        </w:rPr>
        <w:t xml:space="preserve">Esteribar Errea, Gendulain, Idoi, Setoain.</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10.</w:t>
      </w:r>
      <w:r>
        <w:rPr>
          <w:sz w:val="22"/>
          <w:szCs w:val="22"/>
        </w:rPr>
        <w:t xml:space="preserve"> </w:t>
      </w:r>
      <w:r>
        <w:rPr>
          <w:sz w:val="22"/>
          <w:szCs w:val="22"/>
        </w:rPr>
        <w:t xml:space="preserve">Egues: Sagaseta.</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11.</w:t>
      </w:r>
      <w:r>
        <w:rPr>
          <w:sz w:val="22"/>
          <w:szCs w:val="22"/>
        </w:rPr>
        <w:t xml:space="preserve"> </w:t>
      </w:r>
      <w:r>
        <w:rPr>
          <w:sz w:val="22"/>
          <w:szCs w:val="22"/>
        </w:rPr>
        <w:t xml:space="preserve">Lizoain:</w:t>
      </w:r>
      <w:r>
        <w:rPr>
          <w:sz w:val="22"/>
          <w:szCs w:val="22"/>
        </w:rPr>
        <w:t xml:space="preserve"> </w:t>
      </w:r>
      <w:r>
        <w:rPr>
          <w:sz w:val="22"/>
          <w:szCs w:val="22"/>
        </w:rPr>
        <w:t xml:space="preserve">Galdurotz, Ilotz, Janaritz, Leiun, Urritzelki, Iheltz, Zuntzarren.</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12.</w:t>
      </w:r>
      <w:r>
        <w:rPr>
          <w:sz w:val="22"/>
          <w:szCs w:val="22"/>
        </w:rPr>
        <w:t xml:space="preserve"> </w:t>
      </w:r>
      <w:r>
        <w:rPr>
          <w:sz w:val="22"/>
          <w:szCs w:val="22"/>
        </w:rPr>
        <w:t xml:space="preserve">Aranguren:</w:t>
      </w:r>
      <w:r>
        <w:rPr>
          <w:sz w:val="22"/>
          <w:szCs w:val="22"/>
        </w:rPr>
        <w:t xml:space="preserve"> </w:t>
      </w:r>
      <w:r>
        <w:rPr>
          <w:sz w:val="22"/>
          <w:szCs w:val="22"/>
        </w:rPr>
        <w:t xml:space="preserve">Ilundain, Lakidain.</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13.</w:t>
      </w:r>
      <w:r>
        <w:rPr>
          <w:sz w:val="22"/>
          <w:szCs w:val="22"/>
        </w:rPr>
        <w:t xml:space="preserve"> </w:t>
      </w:r>
      <w:r>
        <w:rPr>
          <w:sz w:val="22"/>
          <w:szCs w:val="22"/>
        </w:rPr>
        <w:t xml:space="preserve">Elortz:</w:t>
      </w:r>
      <w:r>
        <w:rPr>
          <w:sz w:val="22"/>
          <w:szCs w:val="22"/>
        </w:rPr>
        <w:t xml:space="preserve"> </w:t>
      </w:r>
      <w:r>
        <w:rPr>
          <w:sz w:val="22"/>
          <w:szCs w:val="22"/>
        </w:rPr>
        <w:t xml:space="preserve">Otano.</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14.</w:t>
      </w:r>
      <w:r>
        <w:rPr>
          <w:sz w:val="22"/>
          <w:szCs w:val="22"/>
        </w:rPr>
        <w:t xml:space="preserve"> </w:t>
      </w:r>
      <w:r>
        <w:rPr>
          <w:sz w:val="22"/>
          <w:szCs w:val="22"/>
        </w:rPr>
        <w:t xml:space="preserve">Untziti:</w:t>
      </w:r>
      <w:r>
        <w:rPr>
          <w:sz w:val="22"/>
          <w:szCs w:val="22"/>
        </w:rPr>
        <w:t xml:space="preserve"> </w:t>
      </w:r>
      <w:r>
        <w:rPr>
          <w:sz w:val="22"/>
          <w:szCs w:val="22"/>
        </w:rPr>
        <w:t xml:space="preserve">Zorokiain.</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15.</w:t>
      </w:r>
      <w:r>
        <w:rPr>
          <w:sz w:val="22"/>
          <w:szCs w:val="22"/>
        </w:rPr>
        <w:t xml:space="preserve"> </w:t>
      </w:r>
      <w:r>
        <w:rPr>
          <w:sz w:val="22"/>
          <w:szCs w:val="22"/>
        </w:rPr>
        <w:t xml:space="preserve">Ezporogi:</w:t>
      </w:r>
      <w:r>
        <w:rPr>
          <w:sz w:val="22"/>
          <w:szCs w:val="22"/>
        </w:rPr>
        <w:t xml:space="preserve"> </w:t>
      </w:r>
      <w:r>
        <w:rPr>
          <w:sz w:val="22"/>
          <w:szCs w:val="22"/>
        </w:rPr>
        <w:t xml:space="preserve">Arteta, Ezporogi, Gardalain, Getadar, Moriones, Sabaitza, Usunbeltz.</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16.</w:t>
      </w:r>
      <w:r>
        <w:rPr>
          <w:sz w:val="22"/>
          <w:szCs w:val="22"/>
        </w:rPr>
        <w:t xml:space="preserve"> </w:t>
      </w:r>
      <w:r>
        <w:rPr>
          <w:sz w:val="22"/>
          <w:szCs w:val="22"/>
        </w:rPr>
        <w:t xml:space="preserve">Leotz:</w:t>
      </w:r>
      <w:r>
        <w:rPr>
          <w:sz w:val="22"/>
          <w:szCs w:val="22"/>
        </w:rPr>
        <w:t xml:space="preserve"> </w:t>
      </w:r>
      <w:r>
        <w:rPr>
          <w:sz w:val="22"/>
          <w:szCs w:val="22"/>
        </w:rPr>
        <w:t xml:space="preserve">Amatriain, Amunarrizketa, Benegorri, Bezkitz, Makirriain, Santsoain, Santsomain, Uzkita.</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17.</w:t>
      </w:r>
      <w:r>
        <w:rPr>
          <w:sz w:val="22"/>
          <w:szCs w:val="22"/>
        </w:rPr>
        <w:t xml:space="preserve"> </w:t>
      </w:r>
      <w:r>
        <w:rPr>
          <w:sz w:val="22"/>
          <w:szCs w:val="22"/>
        </w:rPr>
        <w:t xml:space="preserve">Olabar:</w:t>
      </w:r>
      <w:r>
        <w:rPr>
          <w:sz w:val="22"/>
          <w:szCs w:val="22"/>
        </w:rPr>
        <w:t xml:space="preserve"> </w:t>
      </w:r>
      <w:r>
        <w:rPr>
          <w:sz w:val="22"/>
          <w:szCs w:val="22"/>
        </w:rPr>
        <w:t xml:space="preserve">Beraitz.</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18.</w:t>
      </w:r>
      <w:r>
        <w:rPr>
          <w:sz w:val="22"/>
          <w:szCs w:val="22"/>
        </w:rPr>
        <w:t xml:space="preserve"> </w:t>
      </w:r>
      <w:r>
        <w:rPr>
          <w:sz w:val="22"/>
          <w:szCs w:val="22"/>
        </w:rPr>
        <w:t xml:space="preserve">Ezkabarte:</w:t>
      </w:r>
      <w:r>
        <w:rPr>
          <w:sz w:val="22"/>
          <w:szCs w:val="22"/>
        </w:rPr>
        <w:t xml:space="preserve"> </w:t>
      </w:r>
      <w:r>
        <w:rPr>
          <w:sz w:val="22"/>
          <w:szCs w:val="22"/>
        </w:rPr>
        <w:t xml:space="preserve">Ezkaba, Garrues.</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19.</w:t>
      </w:r>
      <w:r>
        <w:rPr>
          <w:sz w:val="22"/>
          <w:szCs w:val="22"/>
        </w:rPr>
        <w:t xml:space="preserve"> </w:t>
      </w:r>
      <w:r>
        <w:rPr>
          <w:sz w:val="22"/>
          <w:szCs w:val="22"/>
        </w:rPr>
        <w:t xml:space="preserve">Txulapain:</w:t>
      </w:r>
      <w:r>
        <w:rPr>
          <w:sz w:val="22"/>
          <w:szCs w:val="22"/>
        </w:rPr>
        <w:t xml:space="preserve"> </w:t>
      </w:r>
      <w:r>
        <w:rPr>
          <w:sz w:val="22"/>
          <w:szCs w:val="22"/>
        </w:rPr>
        <w:t xml:space="preserve">Usi.</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20.</w:t>
      </w:r>
      <w:r>
        <w:rPr>
          <w:sz w:val="22"/>
          <w:szCs w:val="22"/>
        </w:rPr>
        <w:t xml:space="preserve"> </w:t>
      </w:r>
      <w:r>
        <w:rPr>
          <w:sz w:val="22"/>
          <w:szCs w:val="22"/>
        </w:rPr>
        <w:t xml:space="preserve">Itza-Gulia:</w:t>
      </w:r>
      <w:r>
        <w:rPr>
          <w:sz w:val="22"/>
          <w:szCs w:val="22"/>
        </w:rPr>
        <w:t xml:space="preserve"> </w:t>
      </w:r>
      <w:r>
        <w:rPr>
          <w:sz w:val="22"/>
          <w:szCs w:val="22"/>
        </w:rPr>
        <w:t xml:space="preserve">Orderitz.</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21.</w:t>
      </w:r>
      <w:r>
        <w:rPr>
          <w:sz w:val="22"/>
          <w:szCs w:val="22"/>
        </w:rPr>
        <w:t xml:space="preserve"> </w:t>
      </w:r>
      <w:r>
        <w:rPr>
          <w:sz w:val="22"/>
          <w:szCs w:val="22"/>
        </w:rPr>
        <w:t xml:space="preserve">Zizur:</w:t>
      </w:r>
      <w:r>
        <w:rPr>
          <w:sz w:val="22"/>
          <w:szCs w:val="22"/>
        </w:rPr>
        <w:t xml:space="preserve"> </w:t>
      </w:r>
      <w:r>
        <w:rPr>
          <w:sz w:val="22"/>
          <w:szCs w:val="22"/>
        </w:rPr>
        <w:t xml:space="preserve">Erieta, Gendulain.</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22.</w:t>
      </w:r>
      <w:r>
        <w:rPr>
          <w:sz w:val="22"/>
          <w:szCs w:val="22"/>
        </w:rPr>
        <w:t xml:space="preserve"> </w:t>
      </w:r>
      <w:r>
        <w:rPr>
          <w:sz w:val="22"/>
          <w:szCs w:val="22"/>
        </w:rPr>
        <w:t xml:space="preserve">Girgillao:</w:t>
      </w:r>
      <w:r>
        <w:rPr>
          <w:sz w:val="22"/>
          <w:szCs w:val="22"/>
        </w:rPr>
        <w:t xml:space="preserve"> </w:t>
      </w:r>
      <w:r>
        <w:rPr>
          <w:sz w:val="22"/>
          <w:szCs w:val="22"/>
        </w:rPr>
        <w:t xml:space="preserve">Argiñaritz.</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23.</w:t>
      </w:r>
      <w:r>
        <w:rPr>
          <w:sz w:val="22"/>
          <w:szCs w:val="22"/>
        </w:rPr>
        <w:t xml:space="preserve"> </w:t>
      </w:r>
      <w:r>
        <w:rPr>
          <w:sz w:val="22"/>
          <w:szCs w:val="22"/>
        </w:rPr>
        <w:t xml:space="preserve">Gesalatz:</w:t>
      </w:r>
      <w:r>
        <w:rPr>
          <w:sz w:val="22"/>
          <w:szCs w:val="22"/>
        </w:rPr>
        <w:t xml:space="preserve"> </w:t>
      </w:r>
      <w:r>
        <w:rPr>
          <w:sz w:val="22"/>
          <w:szCs w:val="22"/>
        </w:rPr>
        <w:t xml:space="preserve">Biguria.</w:t>
      </w:r>
    </w:p>
    <w:p w:rsidR="000E4BD7" w:rsidRPr="00CE2258" w:rsidRDefault="000E4BD7" w:rsidP="000E4BD7">
      <w:pPr>
        <w:pStyle w:val="Textoindependiente"/>
        <w:spacing w:after="0" w:line="360" w:lineRule="auto"/>
        <w:ind w:left="708"/>
        <w:rPr>
          <w:sz w:val="22"/>
          <w:szCs w:val="22"/>
          <w:rFonts w:cs="Arial"/>
        </w:rPr>
      </w:pPr>
      <w:r>
        <w:rPr>
          <w:sz w:val="22"/>
          <w:szCs w:val="22"/>
        </w:rPr>
        <w:t xml:space="preserve">24.</w:t>
      </w:r>
      <w:r>
        <w:rPr>
          <w:sz w:val="22"/>
          <w:szCs w:val="22"/>
        </w:rPr>
        <w:t xml:space="preserve"> </w:t>
      </w:r>
      <w:r>
        <w:rPr>
          <w:sz w:val="22"/>
          <w:szCs w:val="22"/>
        </w:rPr>
        <w:t xml:space="preserve">Etaiu:</w:t>
      </w:r>
      <w:r>
        <w:rPr>
          <w:sz w:val="22"/>
          <w:szCs w:val="22"/>
        </w:rPr>
        <w:t xml:space="preserve"> </w:t>
      </w:r>
      <w:r>
        <w:rPr>
          <w:sz w:val="22"/>
          <w:szCs w:val="22"/>
        </w:rPr>
        <w:t xml:space="preserve">Leartza.</w:t>
      </w:r>
    </w:p>
    <w:p w:rsidR="006C0A38" w:rsidRDefault="000E4BD7" w:rsidP="000E4BD7">
      <w:pPr>
        <w:pStyle w:val="Textoindependiente"/>
        <w:spacing w:after="0" w:line="360" w:lineRule="auto"/>
        <w:rPr>
          <w:sz w:val="22"/>
          <w:szCs w:val="22"/>
          <w:rFonts w:ascii="ArialMT" w:hAnsi="ArialMT" w:cs="ArialMT"/>
        </w:rPr>
      </w:pPr>
      <w:r>
        <w:rPr>
          <w:sz w:val="22"/>
          <w:szCs w:val="22"/>
          <w:rFonts w:ascii="ArialMT" w:hAnsi="ArialMT"/>
        </w:rPr>
        <w:t xml:space="preserve">Eranskin gisa doa “Inbentarioko herrien lokalizazioa” 01 planoa.</w:t>
      </w:r>
    </w:p>
    <w:p w:rsidR="000E4BD7" w:rsidRDefault="000E4BD7" w:rsidP="000E4BD7">
      <w:pPr>
        <w:pStyle w:val="Textoindependiente"/>
        <w:spacing w:after="0" w:line="360" w:lineRule="auto"/>
        <w:rPr>
          <w:b/>
          <w:sz w:val="22"/>
          <w:szCs w:val="22"/>
          <w:rFonts w:cs="Arial"/>
        </w:rPr>
      </w:pPr>
      <w:r>
        <w:rPr>
          <w:b/>
          <w:sz w:val="22"/>
          <w:szCs w:val="22"/>
        </w:rPr>
        <w:t xml:space="preserve">ONDORIO NAGUSIAK.</w:t>
      </w:r>
    </w:p>
    <w:p w:rsidR="006C0A38" w:rsidRDefault="000E4BD7" w:rsidP="000E4BD7">
      <w:pPr>
        <w:pStyle w:val="Textoindependiente"/>
        <w:numPr>
          <w:ilvl w:val="0"/>
          <w:numId w:val="1"/>
        </w:numPr>
        <w:spacing w:after="0" w:line="360" w:lineRule="auto"/>
        <w:ind w:hanging="294"/>
        <w:rPr>
          <w:sz w:val="22"/>
          <w:szCs w:val="22"/>
          <w:rFonts w:ascii="ArialMT" w:hAnsi="ArialMT" w:cs="ArialMT"/>
        </w:rPr>
      </w:pPr>
      <w:r>
        <w:rPr>
          <w:sz w:val="22"/>
          <w:szCs w:val="22"/>
          <w:rFonts w:ascii="ArialMT" w:hAnsi="ArialMT"/>
        </w:rPr>
        <w:t xml:space="preserve">Azterlanak herriak honako hauen arabera elkartuta aztertzen ditu: sarbideak, beste hirigintza-zerbitzu batzuk, okupazioa, jabetza eta planeamenduko aintzatespena, leheneratzeko aukerak baloratzeari begira.</w:t>
      </w:r>
    </w:p>
    <w:p w:rsidR="006C0A38" w:rsidRDefault="000E4BD7" w:rsidP="000E4BD7">
      <w:pPr>
        <w:pStyle w:val="Textoindependiente"/>
        <w:spacing w:after="0" w:line="360" w:lineRule="auto"/>
        <w:ind w:left="708"/>
        <w:rPr>
          <w:sz w:val="22"/>
          <w:szCs w:val="22"/>
          <w:rFonts w:ascii="ArialMT" w:hAnsi="ArialMT" w:cs="ArialMT"/>
        </w:rPr>
      </w:pPr>
      <w:r>
        <w:rPr>
          <w:sz w:val="22"/>
          <w:szCs w:val="22"/>
          <w:rFonts w:ascii="ArialMT" w:hAnsi="ArialMT"/>
        </w:rPr>
        <w:t xml:space="preserve">Baldintza horien analisitik ondoriozta daiteke ezen aztertutako 80 herri horietako 47k ez daukatela hutsik geratzeko arriskurik.</w:t>
      </w:r>
      <w:r>
        <w:rPr>
          <w:sz w:val="22"/>
          <w:szCs w:val="22"/>
          <w:rFonts w:ascii="ArialMT" w:hAnsi="ArialMT"/>
        </w:rPr>
        <w:t xml:space="preserve"> </w:t>
      </w:r>
      <w:r>
        <w:rPr>
          <w:sz w:val="22"/>
          <w:szCs w:val="22"/>
          <w:rFonts w:ascii="ArialMT" w:hAnsi="ArialMT"/>
        </w:rPr>
        <w:t xml:space="preserve">Askok biztanle-kopurua areagotu edo mantendu dute 86tik hona, oinarrizko hirigintza-zerbitzuak dauzkate eta gehienak hiri-lurzoru gisa sailkatu dira planeamenduan, monografietan zehazten diren berezitasunak berezitasun.</w:t>
      </w:r>
    </w:p>
    <w:p w:rsidR="006C0A38" w:rsidRDefault="000E4BD7" w:rsidP="000E4BD7">
      <w:pPr>
        <w:pStyle w:val="Textoindependiente"/>
        <w:spacing w:after="0" w:line="360" w:lineRule="auto"/>
        <w:ind w:firstLine="708"/>
        <w:rPr>
          <w:sz w:val="22"/>
          <w:szCs w:val="22"/>
          <w:rFonts w:ascii="ArialMT" w:hAnsi="ArialMT" w:cs="ArialMT"/>
        </w:rPr>
      </w:pPr>
      <w:r>
        <w:rPr>
          <w:sz w:val="22"/>
          <w:szCs w:val="22"/>
          <w:rFonts w:ascii="ArialMT" w:hAnsi="ArialMT"/>
        </w:rPr>
        <w:t xml:space="preserve">Gainontzeko herrietako egoera (33/80) askotarikoa da:</w:t>
      </w:r>
    </w:p>
    <w:p w:rsidR="006C0A38" w:rsidRDefault="000E4BD7" w:rsidP="000E4BD7">
      <w:pPr>
        <w:pStyle w:val="Textoindependiente"/>
        <w:spacing w:after="0" w:line="360" w:lineRule="auto"/>
        <w:ind w:left="708"/>
        <w:rPr>
          <w:sz w:val="22"/>
          <w:szCs w:val="22"/>
          <w:rFonts w:ascii="ArialMT" w:hAnsi="ArialMT" w:cs="ArialMT"/>
        </w:rPr>
      </w:pPr>
      <w:r>
        <w:rPr>
          <w:sz w:val="22"/>
          <w:szCs w:val="22"/>
          <w:rFonts w:ascii="ArialMT" w:hAnsi="ArialMT"/>
        </w:rPr>
        <w:t xml:space="preserve">Batzuk abandonu eta aurri egoeran dauden, sarbiderik gabe, biztanlerik gabe, eraikinak hondatuta eta baten bat zutik, zerbitzurik gabe eta, oro har, lurzoru urbanizaezineko egoeran.</w:t>
      </w:r>
      <w:r>
        <w:rPr>
          <w:sz w:val="22"/>
          <w:szCs w:val="22"/>
          <w:rFonts w:ascii="ArialMT" w:hAnsi="ArialMT"/>
        </w:rPr>
        <w:t xml:space="preserve"> </w:t>
      </w:r>
      <w:r>
        <w:rPr>
          <w:sz w:val="22"/>
          <w:szCs w:val="22"/>
          <w:rFonts w:ascii="ArialMT" w:hAnsi="ArialMT"/>
        </w:rPr>
        <w:t xml:space="preserve">7 dira egoera horretan daudenak (Artanga, Gindao, Beroitza, Zarikieta, Arteta, Usunbeltz eta Gendulain).</w:t>
      </w:r>
    </w:p>
    <w:p w:rsidR="006C0A38" w:rsidRDefault="000E4BD7" w:rsidP="000E4BD7">
      <w:pPr>
        <w:pStyle w:val="Textoindependiente"/>
        <w:spacing w:after="0" w:line="360" w:lineRule="auto"/>
        <w:ind w:left="708"/>
        <w:rPr>
          <w:sz w:val="22"/>
          <w:szCs w:val="22"/>
          <w:rFonts w:ascii="ArialMT" w:hAnsi="ArialMT" w:cs="ArialMT"/>
        </w:rPr>
      </w:pPr>
      <w:r>
        <w:rPr>
          <w:sz w:val="22"/>
          <w:szCs w:val="22"/>
          <w:rFonts w:ascii="ArialMT" w:hAnsi="ArialMT"/>
        </w:rPr>
        <w:t xml:space="preserve">Beste batzuk (26/80) biztanlerik gabe gelditzeko arriskuan daude, zein bere baldintza bereziekin, aldatu egiten direnak herri batetik bestera, monografia bakoitzean xehetasunez aztertzen den gisa.</w:t>
      </w:r>
      <w:r>
        <w:rPr>
          <w:sz w:val="22"/>
          <w:szCs w:val="22"/>
          <w:rFonts w:ascii="ArialMT" w:hAnsi="ArialMT"/>
        </w:rPr>
        <w:t xml:space="preserve"> </w:t>
      </w:r>
      <w:r>
        <w:rPr>
          <w:sz w:val="22"/>
          <w:szCs w:val="22"/>
          <w:rFonts w:ascii="ArialMT" w:hAnsi="ArialMT"/>
        </w:rPr>
        <w:t xml:space="preserve">Biztanle oso gutxiko guneak dira (baita biztanlerik gabekoak edo biztanleak dauzkan etxe bakarrekoak ere); eraikin bakoitzak mantentze-egoera bat du (hondatuta dagoenik ere bada), azpiegituren aldetik gabeziak dauzkate eta zenbaitetan nekez sar daiteke eraikinean, batzuetara lur orotako ibilgailuentzako pistetatik soilik hel daiteke.</w:t>
      </w:r>
    </w:p>
    <w:p w:rsidR="006C0A38" w:rsidRDefault="000E4BD7" w:rsidP="000E4BD7">
      <w:pPr>
        <w:pStyle w:val="Textoindependiente"/>
        <w:numPr>
          <w:ilvl w:val="0"/>
          <w:numId w:val="1"/>
        </w:numPr>
        <w:spacing w:after="0" w:line="360" w:lineRule="auto"/>
        <w:rPr>
          <w:sz w:val="22"/>
          <w:szCs w:val="22"/>
          <w:rFonts w:ascii="ArialMT" w:hAnsi="ArialMT" w:cs="ArialMT"/>
        </w:rPr>
      </w:pPr>
      <w:r>
        <w:rPr>
          <w:sz w:val="22"/>
          <w:szCs w:val="22"/>
          <w:rFonts w:ascii="ArialMT" w:hAnsi="ArialMT"/>
        </w:rPr>
        <w:t xml:space="preserve">Aztertutako herrien artetik 15 titulartasun publikokoak dira, Nafarroako Oihan Ondarearenak.</w:t>
      </w:r>
      <w:r>
        <w:rPr>
          <w:sz w:val="22"/>
          <w:szCs w:val="22"/>
          <w:rFonts w:ascii="ArialMT" w:hAnsi="ArialMT"/>
        </w:rPr>
        <w:t xml:space="preserve"> </w:t>
      </w:r>
      <w:r>
        <w:rPr>
          <w:sz w:val="22"/>
          <w:szCs w:val="22"/>
          <w:rFonts w:ascii="ArialMT" w:hAnsi="ArialMT"/>
        </w:rPr>
        <w:t xml:space="preserve">Denetarik dago horien artean: leheneratutako herriak, biztanle iraunkorrak dauzkatenak, baita hiri-lurzoru gisa sailkatutakorik (Lakabe), biztanlerik gabeko herri iritsezinak eta eraikin guztiak hondatuta dauzkatenak (Artanga eta Usunbeltz).</w:t>
      </w:r>
      <w:r>
        <w:rPr>
          <w:sz w:val="22"/>
          <w:szCs w:val="22"/>
          <w:rFonts w:ascii="ArialMT" w:hAnsi="ArialMT"/>
        </w:rPr>
        <w:t xml:space="preserve"> </w:t>
      </w:r>
      <w:r>
        <w:rPr>
          <w:sz w:val="22"/>
          <w:szCs w:val="22"/>
          <w:rFonts w:ascii="ArialMT" w:hAnsi="ArialMT"/>
        </w:rPr>
        <w:t xml:space="preserve">Herri edo kokagune zahar horiek leheneratzeko baldintza bereziak dauzkate, Nafarroako Gobernuaren jabetzapekoak direlako.</w:t>
      </w:r>
    </w:p>
    <w:p w:rsidR="000E4BD7" w:rsidRPr="00CE2258" w:rsidRDefault="000E4BD7" w:rsidP="000E4BD7">
      <w:pPr>
        <w:pStyle w:val="Textoindependiente"/>
        <w:numPr>
          <w:ilvl w:val="0"/>
          <w:numId w:val="1"/>
        </w:numPr>
        <w:spacing w:after="0" w:line="360" w:lineRule="auto"/>
        <w:rPr>
          <w:sz w:val="22"/>
          <w:szCs w:val="22"/>
          <w:rFonts w:ascii="ArialMT" w:hAnsi="ArialMT" w:cs="ArialMT"/>
        </w:rPr>
      </w:pPr>
      <w:r>
        <w:rPr>
          <w:sz w:val="22"/>
          <w:szCs w:val="22"/>
          <w:rFonts w:ascii="ArialMT" w:hAnsi="ArialMT"/>
        </w:rPr>
        <w:t xml:space="preserve">Hona herri bat leheneratzeko-aukera ezartzen duten baldintzak:</w:t>
      </w:r>
    </w:p>
    <w:p w:rsidR="000E4BD7" w:rsidRDefault="000E4BD7" w:rsidP="000E4BD7">
      <w:pPr>
        <w:pStyle w:val="Textoindependiente"/>
        <w:spacing w:after="0" w:line="360" w:lineRule="auto"/>
        <w:ind w:left="1416"/>
        <w:rPr>
          <w:sz w:val="22"/>
          <w:szCs w:val="22"/>
          <w:rFonts w:ascii="ArialMT" w:hAnsi="ArialMT" w:cs="ArialMT"/>
        </w:rPr>
      </w:pPr>
      <w:r>
        <w:rPr>
          <w:sz w:val="22"/>
          <w:szCs w:val="22"/>
          <w:rFonts w:ascii="ArialMT" w:hAnsi="ArialMT"/>
        </w:rPr>
        <w:t xml:space="preserve">- Sarbideak eta oinarrizko hirigintza-zerbitzuak edukitzeko edo hobetzeko aukera.</w:t>
      </w:r>
    </w:p>
    <w:p w:rsidR="000E4BD7" w:rsidRDefault="000E4BD7" w:rsidP="000E4BD7">
      <w:pPr>
        <w:pStyle w:val="Textoindependiente"/>
        <w:spacing w:after="0" w:line="360" w:lineRule="auto"/>
        <w:ind w:left="1416"/>
        <w:rPr>
          <w:sz w:val="22"/>
          <w:szCs w:val="22"/>
          <w:rFonts w:ascii="ArialMT" w:hAnsi="ArialMT" w:cs="ArialMT"/>
        </w:rPr>
      </w:pPr>
      <w:r>
        <w:rPr>
          <w:sz w:val="22"/>
          <w:szCs w:val="22"/>
          <w:rFonts w:ascii="ArialMT" w:hAnsi="ArialMT"/>
        </w:rPr>
        <w:t xml:space="preserve">- Indarreko hirigintza planeamendua.</w:t>
      </w:r>
      <w:r>
        <w:rPr>
          <w:sz w:val="22"/>
          <w:szCs w:val="22"/>
          <w:rFonts w:ascii="ArialMT" w:hAnsi="ArialMT"/>
        </w:rPr>
        <w:t xml:space="preserve"> </w:t>
      </w:r>
      <w:r>
        <w:rPr>
          <w:sz w:val="22"/>
          <w:szCs w:val="22"/>
          <w:rFonts w:ascii="ArialMT" w:hAnsi="ArialMT"/>
        </w:rPr>
        <w:t xml:space="preserve">Sailkapena eta erabileren araubidea.</w:t>
      </w:r>
    </w:p>
    <w:p w:rsidR="000E4BD7" w:rsidRDefault="000E4BD7" w:rsidP="000E4BD7">
      <w:pPr>
        <w:pStyle w:val="Textoindependiente"/>
        <w:spacing w:after="0" w:line="360" w:lineRule="auto"/>
        <w:ind w:left="1416"/>
        <w:rPr>
          <w:sz w:val="22"/>
          <w:szCs w:val="22"/>
          <w:rFonts w:ascii="ArialMT" w:hAnsi="ArialMT" w:cs="ArialMT"/>
        </w:rPr>
      </w:pPr>
      <w:r>
        <w:rPr>
          <w:sz w:val="22"/>
          <w:szCs w:val="22"/>
          <w:rFonts w:ascii="ArialMT" w:hAnsi="ArialMT"/>
        </w:rPr>
        <w:t xml:space="preserve">- Eraikinen egoera eta kokalekuaren egitura.</w:t>
      </w:r>
    </w:p>
    <w:p w:rsidR="000E4BD7" w:rsidRDefault="000E4BD7" w:rsidP="000E4BD7">
      <w:pPr>
        <w:pStyle w:val="Textoindependiente"/>
        <w:spacing w:after="0" w:line="360" w:lineRule="auto"/>
        <w:ind w:left="1416"/>
        <w:rPr>
          <w:sz w:val="22"/>
          <w:szCs w:val="22"/>
          <w:rFonts w:ascii="ArialMT" w:hAnsi="ArialMT" w:cs="ArialMT"/>
        </w:rPr>
      </w:pPr>
      <w:r>
        <w:rPr>
          <w:sz w:val="22"/>
          <w:szCs w:val="22"/>
          <w:rFonts w:ascii="ArialMT" w:hAnsi="ArialMT"/>
        </w:rPr>
        <w:t xml:space="preserve">- Titulartasuna eta jabetzaren egitura.</w:t>
      </w:r>
    </w:p>
    <w:p w:rsidR="000E4BD7" w:rsidRPr="00BB0277" w:rsidRDefault="000E4BD7" w:rsidP="000E4BD7">
      <w:pPr>
        <w:pStyle w:val="Textoindependiente"/>
        <w:spacing w:after="0" w:line="360" w:lineRule="auto"/>
        <w:ind w:left="720"/>
        <w:rPr>
          <w:sz w:val="22"/>
          <w:szCs w:val="22"/>
          <w:rFonts w:ascii="ArialMT" w:hAnsi="ArialMT" w:cs="ArialMT"/>
        </w:rPr>
      </w:pPr>
      <w:r>
        <w:rPr>
          <w:sz w:val="22"/>
          <w:szCs w:val="22"/>
          <w:rFonts w:ascii="ArialMT" w:hAnsi="ArialMT"/>
        </w:rPr>
        <w:t xml:space="preserve">Abandonatutako edo biztanlerik gabe geratzeko arriskuan den edozein herritan egin liteke esku-hartze oso edo partzial bat.</w:t>
      </w:r>
      <w:r>
        <w:rPr>
          <w:sz w:val="22"/>
          <w:szCs w:val="22"/>
          <w:rFonts w:ascii="ArialMT" w:hAnsi="ArialMT"/>
        </w:rPr>
        <w:t xml:space="preserve"> </w:t>
      </w:r>
      <w:r>
        <w:rPr>
          <w:sz w:val="22"/>
          <w:szCs w:val="22"/>
          <w:rFonts w:ascii="ArialMT" w:hAnsi="ArialMT"/>
        </w:rPr>
        <w:t xml:space="preserve">Ekimen publiko edota pribatua beharko da, eta eman nahi zaion erabileraren baitan egonen da (bizitegi-erabilera, aisia, turismoa, kultura, nekazaritza).</w:t>
      </w:r>
    </w:p>
    <w:p w:rsidR="006C0A38" w:rsidRDefault="000E4BD7" w:rsidP="000E4BD7">
      <w:pPr>
        <w:pStyle w:val="Textoindependiente"/>
        <w:spacing w:after="0" w:line="360" w:lineRule="auto"/>
        <w:ind w:left="720"/>
        <w:rPr>
          <w:sz w:val="22"/>
          <w:szCs w:val="22"/>
          <w:rFonts w:ascii="ArialMT" w:hAnsi="ArialMT" w:cs="ArialMT"/>
        </w:rPr>
      </w:pPr>
      <w:r>
        <w:rPr>
          <w:sz w:val="22"/>
          <w:szCs w:val="22"/>
          <w:rFonts w:ascii="ArialMT" w:hAnsi="ArialMT"/>
        </w:rPr>
        <w:t xml:space="preserve">Funtsezkotzat jotzen da udal planeamendua, hor zehazten baita herri bakoitzaren lurraldearen okupazio-eredua.</w:t>
      </w:r>
    </w:p>
    <w:p w:rsidR="006C0A38" w:rsidRDefault="000E4BD7" w:rsidP="000E4BD7">
      <w:pPr>
        <w:pStyle w:val="Textoindependiente"/>
        <w:numPr>
          <w:ilvl w:val="0"/>
          <w:numId w:val="1"/>
        </w:numPr>
        <w:spacing w:after="0" w:line="360" w:lineRule="auto"/>
        <w:rPr>
          <w:sz w:val="22"/>
          <w:szCs w:val="22"/>
          <w:rFonts w:ascii="ArialMT" w:hAnsi="ArialMT" w:cs="ArialMT"/>
        </w:rPr>
      </w:pPr>
      <w:r>
        <w:rPr>
          <w:sz w:val="22"/>
          <w:szCs w:val="22"/>
          <w:rFonts w:ascii="ArialMT" w:hAnsi="ArialMT"/>
        </w:rPr>
        <w:t xml:space="preserve">Egungo lege-esparruarekin, aztertutako gune asko leheneratzeko beharrezkoa da oinarrizko hirigintza-zerbitzuak paratzea eta hiri-lurzoru gisa sailkatzea leheneratze-jarduketak, urbanizazioak eta erabilera-aldaketak egin daitezen, gisa horretako esku-hartzeetarako beharrezkoak direnak.</w:t>
      </w:r>
      <w:r>
        <w:rPr>
          <w:sz w:val="22"/>
          <w:szCs w:val="22"/>
          <w:rFonts w:ascii="ArialMT" w:hAnsi="ArialMT"/>
        </w:rPr>
        <w:t xml:space="preserve"> </w:t>
      </w:r>
      <w:r>
        <w:rPr>
          <w:sz w:val="22"/>
          <w:szCs w:val="22"/>
          <w:rFonts w:ascii="ArialMT" w:hAnsi="ArialMT"/>
        </w:rPr>
        <w:t xml:space="preserve">Bestela, egungo lege-esparrua aldatu beharko litzateke; izan ere, lurzoru urbanizaezinean dauden guneak direnez  ezin da leheneratze-jarduketa integralik antolatu eta kudeatu, eta ezinezkoak dira bizitegi-erabilerak modu generikoan.</w:t>
      </w:r>
    </w:p>
    <w:p w:rsidR="006C0A38" w:rsidRDefault="000E4BD7" w:rsidP="000E4BD7">
      <w:pPr>
        <w:pStyle w:val="Textoindependiente"/>
        <w:numPr>
          <w:ilvl w:val="0"/>
          <w:numId w:val="1"/>
        </w:numPr>
        <w:spacing w:after="0" w:line="360" w:lineRule="auto"/>
        <w:rPr>
          <w:sz w:val="22"/>
          <w:szCs w:val="22"/>
          <w:rFonts w:ascii="ArialMT" w:hAnsi="ArialMT" w:cs="ArialMT"/>
        </w:rPr>
      </w:pPr>
      <w:r>
        <w:rPr>
          <w:sz w:val="22"/>
          <w:szCs w:val="22"/>
          <w:rFonts w:ascii="ArialMT" w:hAnsi="ArialMT"/>
        </w:rPr>
        <w:t xml:space="preserve">Inbentarioaren gaurkotzearen ondorioa da aztertutako herri gehienak bere horretan mantendu dira, bertako biztanleei esker, bertan geratu direlako oinarrizko zerbitzuak hobetu dituztenean(sarbideak, zoldura, ura eta argindarra) udalek.</w:t>
      </w:r>
      <w:r>
        <w:rPr>
          <w:sz w:val="22"/>
          <w:szCs w:val="22"/>
          <w:rFonts w:ascii="ArialMT" w:hAnsi="ArialMT"/>
        </w:rPr>
        <w:t xml:space="preserve"> </w:t>
      </w:r>
      <w:r>
        <w:rPr>
          <w:sz w:val="22"/>
          <w:szCs w:val="22"/>
          <w:rFonts w:ascii="ArialMT" w:hAnsi="ArialMT"/>
        </w:rPr>
        <w:t xml:space="preserve">Beste faktore garrantzitsu bat da komunikazioen hobekuntza edo hezkuntza-, osasun- eta bestelako zerbitzuak dauzkaten herrien hurbiltasuna.</w:t>
      </w:r>
    </w:p>
    <w:p w:rsidR="006C0A38" w:rsidRDefault="000E4BD7" w:rsidP="000E4BD7">
      <w:pPr>
        <w:pStyle w:val="Textoindependiente"/>
        <w:numPr>
          <w:ilvl w:val="0"/>
          <w:numId w:val="1"/>
        </w:numPr>
        <w:spacing w:after="0" w:line="360" w:lineRule="auto"/>
        <w:rPr>
          <w:sz w:val="22"/>
          <w:szCs w:val="22"/>
          <w:rFonts w:ascii="ArialMT" w:hAnsi="ArialMT" w:cs="ArialMT"/>
        </w:rPr>
      </w:pPr>
      <w:r>
        <w:rPr>
          <w:sz w:val="22"/>
          <w:szCs w:val="22"/>
          <w:rFonts w:ascii="ArialMT" w:hAnsi="ArialMT"/>
        </w:rPr>
        <w:t xml:space="preserve">Bukatzeko dio aurkitu diren askotariko errealitateek askotariko erantzunak eskatzen dituztela, halako moduan non a priori ezin baita planteamendu orokorrik edo estandarizaturik egin, ezpada kasuan-kasuan egokitutako erantzunak eman.</w:t>
      </w:r>
      <w:r>
        <w:rPr>
          <w:sz w:val="22"/>
          <w:szCs w:val="22"/>
          <w:rFonts w:ascii="ArialMT" w:hAnsi="ArialMT"/>
        </w:rPr>
        <w:t xml:space="preserve"> </w:t>
      </w:r>
      <w:r>
        <w:rPr>
          <w:sz w:val="22"/>
          <w:szCs w:val="22"/>
          <w:rFonts w:ascii="ArialMT" w:hAnsi="ArialMT"/>
        </w:rPr>
        <w:t xml:space="preserve">Bilatzen den helburu zehatzaren araberakoak izanen dira abiarazi beharreko ekintzak.</w:t>
      </w:r>
    </w:p>
    <w:p w:rsidR="000E4BD7" w:rsidRDefault="000E4BD7" w:rsidP="000E4BD7">
      <w:pPr>
        <w:pStyle w:val="Textoindependiente"/>
        <w:spacing w:after="0" w:line="360" w:lineRule="auto"/>
        <w:rPr>
          <w:sz w:val="22"/>
          <w:szCs w:val="22"/>
          <w:rFonts w:cs="Arial"/>
        </w:rPr>
      </w:pPr>
      <w:r>
        <w:rPr>
          <w:sz w:val="22"/>
          <w:szCs w:val="22"/>
        </w:rPr>
        <w:t xml:space="preserve">EGINDAKO GALDERA:</w:t>
      </w:r>
    </w:p>
    <w:p w:rsidR="006C0A38" w:rsidRDefault="000E4BD7" w:rsidP="000E4BD7">
      <w:pPr>
        <w:pStyle w:val="Textoindependiente"/>
        <w:spacing w:after="0" w:line="360" w:lineRule="auto"/>
        <w:rPr>
          <w:b/>
          <w:sz w:val="22"/>
          <w:szCs w:val="22"/>
          <w:rFonts w:cs="Arial"/>
        </w:rPr>
      </w:pPr>
      <w:r>
        <w:rPr>
          <w:b/>
          <w:sz w:val="22"/>
          <w:szCs w:val="22"/>
        </w:rPr>
        <w:t xml:space="preserve">Orobat, azterlan osoa igortzea eskatzen dut.</w:t>
      </w:r>
    </w:p>
    <w:p w:rsidR="006C0A38" w:rsidRDefault="000E4BD7" w:rsidP="000E4BD7">
      <w:pPr>
        <w:pStyle w:val="Textoindependiente"/>
        <w:spacing w:after="0" w:line="360" w:lineRule="auto"/>
        <w:rPr>
          <w:sz w:val="22"/>
          <w:szCs w:val="22"/>
          <w:rFonts w:cs="Arial"/>
        </w:rPr>
      </w:pPr>
      <w:r>
        <w:rPr>
          <w:sz w:val="22"/>
          <w:szCs w:val="22"/>
        </w:rPr>
        <w:t xml:space="preserve">ERANTZUNA</w:t>
      </w:r>
      <w:r>
        <w:rPr>
          <w:sz w:val="22"/>
          <w:szCs w:val="22"/>
        </w:rPr>
        <w:t xml:space="preserve"> </w:t>
      </w:r>
    </w:p>
    <w:p w:rsidR="000E4BD7" w:rsidRDefault="000E4BD7" w:rsidP="000E4BD7">
      <w:pPr>
        <w:pStyle w:val="Textoindependiente"/>
        <w:spacing w:after="0" w:line="360" w:lineRule="auto"/>
        <w:rPr>
          <w:sz w:val="22"/>
          <w:szCs w:val="22"/>
          <w:rFonts w:cs="Arial"/>
        </w:rPr>
      </w:pPr>
      <w:r>
        <w:rPr>
          <w:sz w:val="22"/>
          <w:szCs w:val="22"/>
        </w:rPr>
        <w:t xml:space="preserve">Eskatutako dokumentazioa honako CD hauetan doa: </w:t>
      </w:r>
    </w:p>
    <w:p w:rsidR="000E4BD7" w:rsidRDefault="000E4BD7" w:rsidP="000E4BD7">
      <w:pPr>
        <w:pStyle w:val="Textoindependiente"/>
        <w:numPr>
          <w:ilvl w:val="0"/>
          <w:numId w:val="2"/>
        </w:numPr>
        <w:spacing w:after="0" w:line="360" w:lineRule="auto"/>
        <w:rPr>
          <w:sz w:val="22"/>
          <w:szCs w:val="22"/>
          <w:rFonts w:cs="Arial"/>
        </w:rPr>
      </w:pPr>
      <w:r>
        <w:rPr>
          <w:sz w:val="22"/>
          <w:szCs w:val="22"/>
        </w:rPr>
        <w:t xml:space="preserve">I.a.- INBENTARIOAREN GAURKOTZEA</w:t>
      </w:r>
    </w:p>
    <w:p w:rsidR="000E4BD7" w:rsidRDefault="000E4BD7" w:rsidP="000E4BD7">
      <w:pPr>
        <w:pStyle w:val="Textoindependiente"/>
        <w:numPr>
          <w:ilvl w:val="0"/>
          <w:numId w:val="2"/>
        </w:numPr>
        <w:spacing w:after="0" w:line="360" w:lineRule="auto"/>
        <w:rPr>
          <w:sz w:val="22"/>
          <w:szCs w:val="22"/>
          <w:rFonts w:cs="Arial"/>
        </w:rPr>
      </w:pPr>
      <w:r>
        <w:rPr>
          <w:sz w:val="22"/>
          <w:szCs w:val="22"/>
        </w:rPr>
        <w:t xml:space="preserve">II.a (1. CDa).- BIZTANLERIK GABEKO HERRIAK</w:t>
      </w:r>
    </w:p>
    <w:p w:rsidR="000E4BD7" w:rsidRDefault="000E4BD7" w:rsidP="000E4BD7">
      <w:pPr>
        <w:pStyle w:val="Textoindependiente"/>
        <w:numPr>
          <w:ilvl w:val="0"/>
          <w:numId w:val="2"/>
        </w:numPr>
        <w:spacing w:after="0" w:line="360" w:lineRule="auto"/>
        <w:rPr>
          <w:sz w:val="22"/>
          <w:szCs w:val="22"/>
          <w:rFonts w:cs="Arial"/>
        </w:rPr>
      </w:pPr>
      <w:r>
        <w:rPr>
          <w:sz w:val="22"/>
          <w:szCs w:val="22"/>
        </w:rPr>
        <w:t xml:space="preserve">II.a (2. CDa).- BIZTANLERIK GABEKO HERRIAK</w:t>
      </w:r>
    </w:p>
    <w:p w:rsidR="006C0A38" w:rsidRDefault="000E4BD7" w:rsidP="000E4BD7">
      <w:pPr>
        <w:pStyle w:val="Textoindependiente"/>
        <w:numPr>
          <w:ilvl w:val="0"/>
          <w:numId w:val="2"/>
        </w:numPr>
        <w:spacing w:after="0" w:line="360" w:lineRule="auto"/>
        <w:rPr>
          <w:sz w:val="22"/>
          <w:szCs w:val="22"/>
          <w:rFonts w:cs="Arial"/>
        </w:rPr>
      </w:pPr>
      <w:r>
        <w:rPr>
          <w:sz w:val="22"/>
          <w:szCs w:val="22"/>
        </w:rPr>
        <w:t xml:space="preserve">iII.a (3. CDa).- BIZTANLERIK GABEKO HERRIAK</w:t>
      </w:r>
    </w:p>
    <w:p w:rsidR="000E4BD7" w:rsidRPr="00901293" w:rsidRDefault="000E4BD7" w:rsidP="000E4BD7">
      <w:pPr>
        <w:spacing w:line="360" w:lineRule="auto"/>
        <w:jc w:val="center"/>
        <w:rPr>
          <w:sz w:val="22"/>
          <w:szCs w:val="22"/>
          <w:rFonts w:ascii="Arial" w:hAnsi="Arial" w:cs="Arial"/>
        </w:rPr>
      </w:pPr>
      <w:r>
        <w:rPr>
          <w:sz w:val="22"/>
          <w:szCs w:val="22"/>
          <w:rFonts w:ascii="Arial" w:hAnsi="Arial"/>
        </w:rPr>
        <w:t xml:space="preserve">Iruñean, 2019ko martxoaren 4an.</w:t>
      </w:r>
    </w:p>
    <w:p w:rsidR="000E4BD7" w:rsidRDefault="006C0A38" w:rsidP="000E4BD7">
      <w:pPr>
        <w:spacing w:line="360" w:lineRule="auto"/>
        <w:jc w:val="center"/>
        <w:rPr>
          <w:sz w:val="22"/>
          <w:szCs w:val="22"/>
          <w:rFonts w:ascii="Arial" w:hAnsi="Arial" w:cs="Arial"/>
        </w:rPr>
      </w:pPr>
      <w:r>
        <w:rPr>
          <w:sz w:val="22"/>
          <w:szCs w:val="22"/>
        </w:rPr>
        <w:t xml:space="preserve">Landa Garapeneko, Ingurumeneko eta Toki Administrazioko kontseilaria:</w:t>
      </w:r>
      <w:r>
        <w:rPr>
          <w:sz w:val="22"/>
          <w:szCs w:val="22"/>
          <w:rFonts w:ascii="Arial" w:hAnsi="Arial"/>
        </w:rPr>
        <w:t xml:space="preserve"> </w:t>
      </w:r>
      <w:r>
        <w:rPr>
          <w:sz w:val="22"/>
          <w:szCs w:val="22"/>
          <w:rFonts w:ascii="Arial" w:hAnsi="Arial"/>
        </w:rPr>
        <w:t xml:space="preserve">Isabel Elizalde Arretxea</w:t>
      </w:r>
    </w:p>
    <w:p w:rsidR="00443E39" w:rsidRDefault="00443E39" w:rsidP="00443E39">
      <w:pPr>
        <w:jc w:val="both"/>
      </w:pPr>
      <w:r>
        <w:t xml:space="preserve">(Oharra:</w:t>
      </w:r>
      <w:r>
        <w:t xml:space="preserve"> </w:t>
      </w:r>
      <w:r>
        <w:t xml:space="preserve">Aipatu eranskina foru parlamentarien eskura dago Legebiltzarreko Zerbitzu Orokorretako bulegoetan.)</w:t>
      </w:r>
    </w:p>
    <w:p w:rsidR="00443E39" w:rsidRPr="00901293" w:rsidRDefault="00443E39" w:rsidP="000E4BD7">
      <w:pPr>
        <w:spacing w:line="360" w:lineRule="auto"/>
        <w:jc w:val="center"/>
        <w:rPr>
          <w:rFonts w:ascii="Arial" w:hAnsi="Arial" w:cs="Arial"/>
          <w:sz w:val="22"/>
          <w:szCs w:val="22"/>
        </w:rPr>
      </w:pPr>
    </w:p>
    <w:sectPr w:rsidR="00443E39" w:rsidRPr="00901293" w:rsidSect="000E4BD7">
      <w:headerReference w:type="default" r:id="rId8"/>
      <w:footerReference w:type="first" r:id="rId9"/>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A38" w:rsidRDefault="006C0A38" w:rsidP="006C0A38">
      <w:r>
        <w:separator/>
      </w:r>
    </w:p>
  </w:endnote>
  <w:endnote w:type="continuationSeparator" w:id="0">
    <w:p w:rsidR="006C0A38" w:rsidRDefault="006C0A38" w:rsidP="006C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1407F5" w:rsidP="0051364C">
    <w:pPr>
      <w:pStyle w:val="Piedepgina"/>
      <w:rPr>
        <w:sz w:val="14"/>
        <w:szCs w:val="14"/>
      </w:rPr>
    </w:pPr>
    <w:r>
      <w:rPr>
        <w:sz w:val="12"/>
      </w:rPr>
      <w:tab/>
    </w:r>
  </w:p>
  <w:p w:rsidR="0051364C" w:rsidRDefault="001407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A38" w:rsidRDefault="006C0A38" w:rsidP="006C0A38">
      <w:r>
        <w:separator/>
      </w:r>
    </w:p>
  </w:footnote>
  <w:footnote w:type="continuationSeparator" w:id="0">
    <w:p w:rsidR="006C0A38" w:rsidRDefault="006C0A38" w:rsidP="006C0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1407F5"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D7"/>
    <w:rsid w:val="000E4BD7"/>
    <w:rsid w:val="001407F5"/>
    <w:rsid w:val="00443E39"/>
    <w:rsid w:val="006305A7"/>
    <w:rsid w:val="006C0A38"/>
    <w:rsid w:val="00D903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BD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E4BD7"/>
    <w:pPr>
      <w:tabs>
        <w:tab w:val="center" w:pos="4252"/>
        <w:tab w:val="right" w:pos="8504"/>
      </w:tabs>
    </w:pPr>
  </w:style>
  <w:style w:type="character" w:customStyle="1" w:styleId="EncabezadoCar">
    <w:name w:val="Encabezado Car"/>
    <w:basedOn w:val="Fuentedeprrafopredeter"/>
    <w:link w:val="Encabezado"/>
    <w:rsid w:val="000E4BD7"/>
    <w:rPr>
      <w:rFonts w:ascii="Times New Roman" w:eastAsia="Times New Roman" w:hAnsi="Times New Roman" w:cs="Times New Roman"/>
      <w:sz w:val="20"/>
      <w:szCs w:val="20"/>
      <w:lang w:eastAsia="es-ES"/>
    </w:rPr>
  </w:style>
  <w:style w:type="paragraph" w:styleId="Piedepgina">
    <w:name w:val="footer"/>
    <w:basedOn w:val="Normal"/>
    <w:link w:val="PiedepginaCar"/>
    <w:rsid w:val="000E4BD7"/>
    <w:pPr>
      <w:tabs>
        <w:tab w:val="center" w:pos="4252"/>
        <w:tab w:val="right" w:pos="8504"/>
      </w:tabs>
    </w:pPr>
  </w:style>
  <w:style w:type="character" w:customStyle="1" w:styleId="PiedepginaCar">
    <w:name w:val="Pie de página Car"/>
    <w:basedOn w:val="Fuentedeprrafopredeter"/>
    <w:link w:val="Piedepgina"/>
    <w:rsid w:val="000E4BD7"/>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0E4BD7"/>
    <w:pPr>
      <w:spacing w:after="120"/>
      <w:jc w:val="both"/>
    </w:pPr>
    <w:rPr>
      <w:rFonts w:ascii="Arial" w:hAnsi="Arial"/>
      <w:sz w:val="24"/>
      <w:lang w:val="eu-ES"/>
    </w:rPr>
  </w:style>
  <w:style w:type="character" w:customStyle="1" w:styleId="TextoindependienteCar">
    <w:name w:val="Texto independiente Car"/>
    <w:basedOn w:val="Fuentedeprrafopredeter"/>
    <w:link w:val="Textoindependiente"/>
    <w:rsid w:val="000E4BD7"/>
    <w:rPr>
      <w:rFonts w:ascii="Arial" w:eastAsia="Times New Roman" w:hAnsi="Arial" w:cs="Times New Roman"/>
      <w:sz w:val="24"/>
      <w:szCs w:val="20"/>
      <w:lang w:val="eu-ES" w:eastAsia="es-ES"/>
    </w:rPr>
  </w:style>
  <w:style w:type="table" w:styleId="Tablaconcuadrcula">
    <w:name w:val="Table Grid"/>
    <w:basedOn w:val="Tablanormal"/>
    <w:rsid w:val="000E4BD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E4BD7"/>
    <w:rPr>
      <w:rFonts w:ascii="Tahoma" w:hAnsi="Tahoma" w:cs="Tahoma"/>
      <w:sz w:val="16"/>
      <w:szCs w:val="16"/>
    </w:rPr>
  </w:style>
  <w:style w:type="character" w:customStyle="1" w:styleId="TextodegloboCar">
    <w:name w:val="Texto de globo Car"/>
    <w:basedOn w:val="Fuentedeprrafopredeter"/>
    <w:link w:val="Textodeglobo"/>
    <w:uiPriority w:val="99"/>
    <w:semiHidden/>
    <w:rsid w:val="000E4BD7"/>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BD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E4BD7"/>
    <w:pPr>
      <w:tabs>
        <w:tab w:val="center" w:pos="4252"/>
        <w:tab w:val="right" w:pos="8504"/>
      </w:tabs>
    </w:pPr>
  </w:style>
  <w:style w:type="character" w:customStyle="1" w:styleId="EncabezadoCar">
    <w:name w:val="Encabezado Car"/>
    <w:basedOn w:val="Fuentedeprrafopredeter"/>
    <w:link w:val="Encabezado"/>
    <w:rsid w:val="000E4BD7"/>
    <w:rPr>
      <w:rFonts w:ascii="Times New Roman" w:eastAsia="Times New Roman" w:hAnsi="Times New Roman" w:cs="Times New Roman"/>
      <w:sz w:val="20"/>
      <w:szCs w:val="20"/>
      <w:lang w:eastAsia="es-ES"/>
    </w:rPr>
  </w:style>
  <w:style w:type="paragraph" w:styleId="Piedepgina">
    <w:name w:val="footer"/>
    <w:basedOn w:val="Normal"/>
    <w:link w:val="PiedepginaCar"/>
    <w:rsid w:val="000E4BD7"/>
    <w:pPr>
      <w:tabs>
        <w:tab w:val="center" w:pos="4252"/>
        <w:tab w:val="right" w:pos="8504"/>
      </w:tabs>
    </w:pPr>
  </w:style>
  <w:style w:type="character" w:customStyle="1" w:styleId="PiedepginaCar">
    <w:name w:val="Pie de página Car"/>
    <w:basedOn w:val="Fuentedeprrafopredeter"/>
    <w:link w:val="Piedepgina"/>
    <w:rsid w:val="000E4BD7"/>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0E4BD7"/>
    <w:pPr>
      <w:spacing w:after="120"/>
      <w:jc w:val="both"/>
    </w:pPr>
    <w:rPr>
      <w:rFonts w:ascii="Arial" w:hAnsi="Arial"/>
      <w:sz w:val="24"/>
      <w:lang w:val="es-ES_tradnl"/>
    </w:rPr>
  </w:style>
  <w:style w:type="character" w:customStyle="1" w:styleId="TextoindependienteCar">
    <w:name w:val="Texto independiente Car"/>
    <w:basedOn w:val="Fuentedeprrafopredeter"/>
    <w:link w:val="Textoindependiente"/>
    <w:rsid w:val="000E4BD7"/>
    <w:rPr>
      <w:rFonts w:ascii="Arial" w:eastAsia="Times New Roman" w:hAnsi="Arial" w:cs="Times New Roman"/>
      <w:sz w:val="24"/>
      <w:szCs w:val="20"/>
      <w:lang w:val="es-ES_tradnl" w:eastAsia="es-ES"/>
    </w:rPr>
  </w:style>
  <w:style w:type="table" w:styleId="Tablaconcuadrcula">
    <w:name w:val="Table Grid"/>
    <w:basedOn w:val="Tablanormal"/>
    <w:rsid w:val="000E4BD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E4BD7"/>
    <w:rPr>
      <w:rFonts w:ascii="Tahoma" w:hAnsi="Tahoma" w:cs="Tahoma"/>
      <w:sz w:val="16"/>
      <w:szCs w:val="16"/>
    </w:rPr>
  </w:style>
  <w:style w:type="character" w:customStyle="1" w:styleId="TextodegloboCar">
    <w:name w:val="Texto de globo Car"/>
    <w:basedOn w:val="Fuentedeprrafopredeter"/>
    <w:link w:val="Textodeglobo"/>
    <w:uiPriority w:val="99"/>
    <w:semiHidden/>
    <w:rsid w:val="000E4BD7"/>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1543</Words>
  <Characters>8491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4</cp:revision>
  <dcterms:created xsi:type="dcterms:W3CDTF">2019-03-28T13:01:00Z</dcterms:created>
  <dcterms:modified xsi:type="dcterms:W3CDTF">2019-03-28T13:08:00Z</dcterms:modified>
</cp:coreProperties>
</file>