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medidas que tiene previsto implantar el Departamento de Salud para controlar la lista de espera en primera consulta,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los artículos 188 y siguientes del Reglamento de la Cámara, realiza la siguiente pregunta escrita: </w:t>
      </w:r>
    </w:p>
    <w:p>
      <w:pPr>
        <w:pStyle w:val="0"/>
        <w:suppressAutoHyphens w:val="false"/>
        <w:rPr>
          <w:rStyle w:val="1"/>
        </w:rPr>
      </w:pPr>
      <w:r>
        <w:rPr>
          <w:rStyle w:val="1"/>
        </w:rPr>
        <w:t xml:space="preserve">¿Qué medidas tiene previsto implantar el Departamento de Salud para controlar la lista de espera en primera consulta?</w:t>
      </w:r>
    </w:p>
    <w:p>
      <w:pPr>
        <w:pStyle w:val="0"/>
        <w:suppressAutoHyphens w:val="false"/>
        <w:rPr>
          <w:rStyle w:val="1"/>
        </w:rPr>
      </w:pPr>
      <w:r>
        <w:rPr>
          <w:rStyle w:val="1"/>
        </w:rPr>
        <w:t xml:space="preserve">Pamplona, a 21 de julio de 2019</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