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septiembre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rechaza las argumentaciones vertidas en los Recursos de Inconstitucionalidad de Partido Popular y Vox y Ciudadanos de vulneración de derechos fundamentales de este Parlamento y se reafirma en la defensa de los derechos de las víctimas de violencia por motivaciones políticas, independientemente de su ideología y contexto victimológico.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se compromete a defender jurídicamente los derechos que asisten a Navarra en esta materia y a dar pasos efectivos encaminados al reconocimiento y a la reparación por actos violentos de motivación política provocados por grupos de extrema derecha o funcionarios públicos, e insta a que el Gobierno de Navarra haga suyo este mismo compromiso” (10-19/DEC-00049).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