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acciones para abordar la revisión que aconseja el defensor del pueblo acerca de los puntos de encuentro familiar en los casos de violencia de género,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para contestación en el Pleno, la siguiente pregunta oral.</w:t>
      </w:r>
    </w:p>
    <w:p>
      <w:pPr>
        <w:pStyle w:val="0"/>
        <w:suppressAutoHyphens w:val="false"/>
        <w:rPr>
          <w:rStyle w:val="1"/>
        </w:rPr>
      </w:pPr>
      <w:r>
        <w:rPr>
          <w:rStyle w:val="1"/>
        </w:rPr>
        <w:t xml:space="preserve">¿Qué acciones va llevar a cabo el Gobierno de Navarra para abordar la revisión que aconseja el Defensor del Pueblo sobre cómo se utilizan los puntos de encuentro familiar en los casos de violencia de género?</w:t>
      </w:r>
    </w:p>
    <w:p>
      <w:pPr>
        <w:pStyle w:val="0"/>
        <w:suppressAutoHyphens w:val="false"/>
        <w:rPr>
          <w:rStyle w:val="1"/>
        </w:rPr>
      </w:pPr>
      <w:r>
        <w:rPr>
          <w:rStyle w:val="1"/>
        </w:rPr>
        <w:t xml:space="preserve">Pamplona, 7 de noviembre de 2019</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