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mantenimiento de la misma política lingüística que la pasada legislatura tras la sentencia del Tribunal Superior de Justicia de Navarra,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realiza la siguiente pregunta oral dirigida a la consejera de Relaciones Ciudadanas, Ana Ollo, para su contestación en Pleno: </w:t>
      </w:r>
    </w:p>
    <w:p>
      <w:pPr>
        <w:pStyle w:val="0"/>
        <w:suppressAutoHyphens w:val="false"/>
        <w:rPr>
          <w:rStyle w:val="1"/>
        </w:rPr>
      </w:pPr>
      <w:r>
        <w:rPr>
          <w:rStyle w:val="1"/>
        </w:rPr>
        <w:t xml:space="preserve">Una vez firme la sentencia del TSJN que desautoriza sustancialmente la política lingüística llevada a cabo por usted la pasada legislatura, ¿va a permanecer en el cargo manteniendo la misma política lingüística? </w:t>
      </w:r>
    </w:p>
    <w:p>
      <w:pPr>
        <w:pStyle w:val="0"/>
        <w:suppressAutoHyphens w:val="false"/>
        <w:rPr>
          <w:rStyle w:val="1"/>
        </w:rPr>
      </w:pPr>
      <w:r>
        <w:rPr>
          <w:rStyle w:val="1"/>
        </w:rPr>
        <w:t xml:space="preserve">Pamplona, 14 de noviembre de 2019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