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02" w:rsidRDefault="00A21702" w:rsidP="00A21702">
      <w:pPr>
        <w:pStyle w:val="Default"/>
        <w:jc w:val="both"/>
        <w:rPr>
          <w:rFonts w:ascii="Calibri" w:hAnsi="Calibri"/>
          <w:sz w:val="22"/>
          <w:szCs w:val="22"/>
        </w:rPr>
      </w:pPr>
      <w:r>
        <w:rPr>
          <w:rFonts w:ascii="Calibri" w:hAnsi="Calibri"/>
          <w:sz w:val="22"/>
          <w:szCs w:val="22"/>
        </w:rPr>
        <w:t xml:space="preserve">El Consejero de Presidencia, Igualdad, Función Pública e Interior del Gobierno de Navarra, en relación con la petición de información formulada por el Parlamentario Foral Ilmo. </w:t>
      </w:r>
      <w:r>
        <w:rPr>
          <w:rFonts w:ascii="Calibri" w:hAnsi="Calibri" w:cs="Times New Roman"/>
          <w:color w:val="auto"/>
          <w:sz w:val="22"/>
          <w:szCs w:val="22"/>
          <w:lang w:val="es-ES_tradnl"/>
        </w:rPr>
        <w:t xml:space="preserve">Sr. D. Adolfo </w:t>
      </w:r>
      <w:proofErr w:type="spellStart"/>
      <w:r>
        <w:rPr>
          <w:rFonts w:ascii="Calibri" w:hAnsi="Calibri" w:cs="Times New Roman"/>
          <w:color w:val="auto"/>
          <w:sz w:val="22"/>
          <w:szCs w:val="22"/>
          <w:lang w:val="es-ES_tradnl"/>
        </w:rPr>
        <w:t>Araiz</w:t>
      </w:r>
      <w:proofErr w:type="spellEnd"/>
      <w:r>
        <w:rPr>
          <w:rFonts w:ascii="Calibri" w:hAnsi="Calibri" w:cs="Times New Roman"/>
          <w:color w:val="auto"/>
          <w:sz w:val="22"/>
          <w:szCs w:val="22"/>
          <w:lang w:val="es-ES_tradnl"/>
        </w:rPr>
        <w:t xml:space="preserve"> </w:t>
      </w:r>
      <w:proofErr w:type="spellStart"/>
      <w:r>
        <w:rPr>
          <w:rFonts w:ascii="Calibri" w:hAnsi="Calibri" w:cs="Times New Roman"/>
          <w:color w:val="auto"/>
          <w:sz w:val="22"/>
          <w:szCs w:val="22"/>
          <w:lang w:val="es-ES_tradnl"/>
        </w:rPr>
        <w:t>Flamarique</w:t>
      </w:r>
      <w:proofErr w:type="spellEnd"/>
      <w:r>
        <w:rPr>
          <w:rFonts w:ascii="Calibri" w:hAnsi="Calibri" w:cs="Times New Roman"/>
          <w:color w:val="auto"/>
          <w:sz w:val="22"/>
          <w:szCs w:val="22"/>
          <w:lang w:val="es-ES_tradnl"/>
        </w:rPr>
        <w:t>, adscrito al Grupo Parlamentario EH Bildu Nafarroa",</w:t>
      </w:r>
      <w:r>
        <w:rPr>
          <w:rFonts w:ascii="Calibri" w:hAnsi="Calibri"/>
          <w:sz w:val="22"/>
          <w:szCs w:val="22"/>
        </w:rPr>
        <w:t xml:space="preserve"> acerca del coste del incremento de Departamentos, Direcciones Generales y personal de libre designación derivado de la nueva estructura del Gobierno de Navarra </w:t>
      </w:r>
      <w:r>
        <w:rPr>
          <w:rFonts w:ascii="Calibri" w:hAnsi="Calibri"/>
          <w:b/>
          <w:sz w:val="22"/>
          <w:szCs w:val="22"/>
        </w:rPr>
        <w:t>(10-19/PES-00064),</w:t>
      </w:r>
      <w:r>
        <w:rPr>
          <w:rFonts w:ascii="Calibri" w:hAnsi="Calibri"/>
          <w:sz w:val="22"/>
          <w:szCs w:val="22"/>
        </w:rPr>
        <w:t xml:space="preserve"> tiene el honor de remitir la siguiente información:</w:t>
      </w:r>
    </w:p>
    <w:p w:rsidR="00A21702" w:rsidRDefault="00A21702" w:rsidP="00A21702">
      <w:pPr>
        <w:pStyle w:val="Prrafodelista"/>
        <w:ind w:left="0"/>
        <w:jc w:val="both"/>
        <w:rPr>
          <w:b/>
          <w:sz w:val="22"/>
          <w:szCs w:val="22"/>
          <w:lang w:val="es-ES_tradnl"/>
        </w:rPr>
      </w:pPr>
      <w:r>
        <w:rPr>
          <w:rFonts w:ascii="Trebuchet MS" w:hAnsi="Trebuchet MS"/>
          <w:szCs w:val="20"/>
        </w:rPr>
        <w:t xml:space="preserve">1. </w:t>
      </w:r>
      <w:r>
        <w:rPr>
          <w:b/>
          <w:sz w:val="22"/>
          <w:szCs w:val="22"/>
          <w:lang w:val="es-ES_tradnl"/>
        </w:rPr>
        <w:t>¿Ha cuantificado el Gobierno cuál será el costo del incremento de Departamentos, Direcciones Generales y personal de libre designación derivado de esa nueva estructura?</w:t>
      </w:r>
    </w:p>
    <w:p w:rsidR="00A21702" w:rsidRDefault="00A21702" w:rsidP="00A21702">
      <w:pPr>
        <w:jc w:val="both"/>
        <w:rPr>
          <w:rFonts w:ascii="Calibri" w:hAnsi="Calibri"/>
          <w:b/>
          <w:sz w:val="22"/>
          <w:szCs w:val="22"/>
        </w:rPr>
      </w:pPr>
      <w:r>
        <w:rPr>
          <w:rFonts w:ascii="Calibri" w:hAnsi="Calibri"/>
          <w:b/>
          <w:sz w:val="22"/>
          <w:szCs w:val="22"/>
        </w:rPr>
        <w:t>¿Qué importe se prevé supondrá ese incremento?</w:t>
      </w:r>
    </w:p>
    <w:p w:rsidR="00A21702" w:rsidRDefault="00A21702" w:rsidP="00A21702">
      <w:pPr>
        <w:jc w:val="both"/>
        <w:rPr>
          <w:rFonts w:ascii="Calibri" w:hAnsi="Calibri"/>
          <w:sz w:val="22"/>
          <w:szCs w:val="22"/>
        </w:rPr>
      </w:pPr>
      <w:r>
        <w:rPr>
          <w:rFonts w:ascii="Calibri" w:hAnsi="Calibri"/>
          <w:sz w:val="22"/>
          <w:szCs w:val="22"/>
        </w:rPr>
        <w:t>El coste anual del incremento de Departamentos, Direcciones Generales y personal de libre designación derivado de esa nueva estructura es de 1.704.546,04€.</w:t>
      </w:r>
    </w:p>
    <w:p w:rsidR="00A21702" w:rsidRDefault="00A21702" w:rsidP="00A21702">
      <w:pPr>
        <w:ind w:left="708"/>
      </w:pPr>
    </w:p>
    <w:tbl>
      <w:tblPr>
        <w:tblW w:w="8915" w:type="dxa"/>
        <w:tblInd w:w="55" w:type="dxa"/>
        <w:tblLayout w:type="fixed"/>
        <w:tblCellMar>
          <w:left w:w="70" w:type="dxa"/>
          <w:right w:w="70" w:type="dxa"/>
        </w:tblCellMar>
        <w:tblLook w:val="04A0" w:firstRow="1" w:lastRow="0" w:firstColumn="1" w:lastColumn="0" w:noHBand="0" w:noVBand="1"/>
      </w:tblPr>
      <w:tblGrid>
        <w:gridCol w:w="396"/>
        <w:gridCol w:w="1591"/>
        <w:gridCol w:w="88"/>
        <w:gridCol w:w="1296"/>
        <w:gridCol w:w="306"/>
        <w:gridCol w:w="1080"/>
        <w:gridCol w:w="229"/>
        <w:gridCol w:w="1157"/>
        <w:gridCol w:w="198"/>
        <w:gridCol w:w="1188"/>
        <w:gridCol w:w="74"/>
        <w:gridCol w:w="1312"/>
      </w:tblGrid>
      <w:tr w:rsidR="00A21702" w:rsidRPr="0098722F" w:rsidTr="00A21702">
        <w:trPr>
          <w:trHeight w:val="1001"/>
        </w:trPr>
        <w:tc>
          <w:tcPr>
            <w:tcW w:w="3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1702" w:rsidRPr="0098722F" w:rsidRDefault="00A21702">
            <w:pPr>
              <w:jc w:val="center"/>
              <w:rPr>
                <w:rFonts w:ascii="Arial" w:hAnsi="Arial" w:cs="Arial"/>
                <w:color w:val="000000"/>
                <w:sz w:val="18"/>
                <w:szCs w:val="18"/>
              </w:rPr>
            </w:pPr>
            <w:bookmarkStart w:id="0" w:name="_GoBack"/>
            <w:r w:rsidRPr="0098722F">
              <w:rPr>
                <w:rFonts w:ascii="Arial" w:hAnsi="Arial" w:cs="Arial"/>
                <w:color w:val="000000"/>
                <w:sz w:val="18"/>
                <w:szCs w:val="18"/>
              </w:rPr>
              <w:t>Nº</w:t>
            </w:r>
          </w:p>
        </w:tc>
        <w:tc>
          <w:tcPr>
            <w:tcW w:w="1679" w:type="dxa"/>
            <w:gridSpan w:val="2"/>
            <w:tcBorders>
              <w:top w:val="single" w:sz="4" w:space="0" w:color="auto"/>
              <w:left w:val="nil"/>
              <w:bottom w:val="single" w:sz="4" w:space="0" w:color="auto"/>
              <w:right w:val="single" w:sz="4" w:space="0" w:color="auto"/>
            </w:tcBorders>
            <w:shd w:val="clear" w:color="auto" w:fill="D9D9D9"/>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PUESTO</w:t>
            </w:r>
          </w:p>
        </w:tc>
        <w:tc>
          <w:tcPr>
            <w:tcW w:w="1602" w:type="dxa"/>
            <w:gridSpan w:val="2"/>
            <w:tcBorders>
              <w:top w:val="single" w:sz="4" w:space="0" w:color="auto"/>
              <w:left w:val="nil"/>
              <w:bottom w:val="single" w:sz="4" w:space="0" w:color="auto"/>
              <w:right w:val="single" w:sz="4" w:space="0" w:color="auto"/>
            </w:tcBorders>
            <w:shd w:val="clear" w:color="auto" w:fill="D9D9D9"/>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RETRIBUCIÓN ANUAL</w:t>
            </w:r>
          </w:p>
        </w:tc>
        <w:tc>
          <w:tcPr>
            <w:tcW w:w="1309" w:type="dxa"/>
            <w:gridSpan w:val="2"/>
            <w:tcBorders>
              <w:top w:val="single" w:sz="4" w:space="0" w:color="auto"/>
              <w:left w:val="nil"/>
              <w:bottom w:val="single" w:sz="4" w:space="0" w:color="auto"/>
              <w:right w:val="single" w:sz="4" w:space="0" w:color="auto"/>
            </w:tcBorders>
            <w:shd w:val="clear" w:color="auto" w:fill="D9D9D9"/>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SS ANUAL</w:t>
            </w:r>
          </w:p>
        </w:tc>
        <w:tc>
          <w:tcPr>
            <w:tcW w:w="1355" w:type="dxa"/>
            <w:gridSpan w:val="2"/>
            <w:tcBorders>
              <w:top w:val="single" w:sz="4" w:space="0" w:color="auto"/>
              <w:left w:val="nil"/>
              <w:bottom w:val="single" w:sz="4" w:space="0" w:color="auto"/>
              <w:right w:val="single" w:sz="4" w:space="0" w:color="auto"/>
            </w:tcBorders>
            <w:shd w:val="clear" w:color="auto" w:fill="D9D9D9"/>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COSTE RETRIBUCIONES</w:t>
            </w:r>
          </w:p>
        </w:tc>
        <w:tc>
          <w:tcPr>
            <w:tcW w:w="1262" w:type="dxa"/>
            <w:gridSpan w:val="2"/>
            <w:tcBorders>
              <w:top w:val="single" w:sz="4" w:space="0" w:color="auto"/>
              <w:left w:val="nil"/>
              <w:bottom w:val="single" w:sz="4" w:space="0" w:color="auto"/>
              <w:right w:val="single" w:sz="4" w:space="0" w:color="auto"/>
            </w:tcBorders>
            <w:shd w:val="clear" w:color="auto" w:fill="D9D9D9"/>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COSTE SEGURIDAD SOCIAL</w:t>
            </w:r>
          </w:p>
        </w:tc>
        <w:tc>
          <w:tcPr>
            <w:tcW w:w="1310" w:type="dxa"/>
            <w:tcBorders>
              <w:top w:val="single" w:sz="4" w:space="0" w:color="auto"/>
              <w:left w:val="nil"/>
              <w:bottom w:val="single" w:sz="4" w:space="0" w:color="auto"/>
              <w:right w:val="single" w:sz="4" w:space="0" w:color="auto"/>
            </w:tcBorders>
            <w:shd w:val="clear" w:color="auto" w:fill="D9D9D9"/>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COSTE TOTAL</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4</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Consejero/a</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68.667,48</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12.625,44</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274.669,92</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50.501,76</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325.171,68</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4</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Jefe/a Gabinete</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54.762,54</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15.450,11</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219.050,16</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61.800,43</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280.850,59</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0</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Secretario/a Gabinete</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sz w:val="18"/>
                <w:szCs w:val="18"/>
              </w:rPr>
            </w:pPr>
            <w:r w:rsidRPr="0098722F">
              <w:rPr>
                <w:rFonts w:ascii="Arial" w:hAnsi="Arial" w:cs="Arial"/>
                <w:sz w:val="18"/>
                <w:szCs w:val="18"/>
              </w:rPr>
              <w:t>33.112,52</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sz w:val="18"/>
                <w:szCs w:val="18"/>
              </w:rPr>
            </w:pPr>
            <w:r w:rsidRPr="0098722F">
              <w:rPr>
                <w:rFonts w:ascii="Arial" w:hAnsi="Arial" w:cs="Arial"/>
                <w:sz w:val="18"/>
                <w:szCs w:val="18"/>
              </w:rPr>
              <w:t>10.474,60</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0,00</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0,00</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0,00</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2</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Auxiliar Gabinete</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sz w:val="18"/>
                <w:szCs w:val="18"/>
              </w:rPr>
            </w:pPr>
            <w:r w:rsidRPr="0098722F">
              <w:rPr>
                <w:rFonts w:ascii="Arial" w:hAnsi="Arial" w:cs="Arial"/>
                <w:sz w:val="18"/>
                <w:szCs w:val="18"/>
              </w:rPr>
              <w:t>29.002,26</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sz w:val="18"/>
                <w:szCs w:val="18"/>
              </w:rPr>
            </w:pPr>
            <w:r w:rsidRPr="0098722F">
              <w:rPr>
                <w:rFonts w:ascii="Arial" w:hAnsi="Arial" w:cs="Arial"/>
                <w:sz w:val="18"/>
                <w:szCs w:val="18"/>
              </w:rPr>
              <w:t>9.177,97</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58.004,52</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18.355,94</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76.360,46</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11</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Director/a General</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58.836,54</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12.625,44</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647.201,94</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138.879,84</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786.081,78</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Delegado del Gobierno en Bruselas</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80.228,27</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15.450,11</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-80.228,27</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-15.450,11</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-95.678,38</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4</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Secretario/a General Técnico/a</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53.726,54</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12.625,44</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214.906,16</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50.501,76</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265.407,92</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w:t>
            </w: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color w:val="000000"/>
                <w:sz w:val="18"/>
                <w:szCs w:val="18"/>
              </w:rPr>
              <w:t>Director/a Servicio</w:t>
            </w:r>
          </w:p>
        </w:tc>
        <w:tc>
          <w:tcPr>
            <w:tcW w:w="1602"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53.726,54</w:t>
            </w:r>
          </w:p>
        </w:tc>
        <w:tc>
          <w:tcPr>
            <w:tcW w:w="1309" w:type="dxa"/>
            <w:gridSpan w:val="2"/>
            <w:tcBorders>
              <w:top w:val="nil"/>
              <w:left w:val="nil"/>
              <w:bottom w:val="single" w:sz="4" w:space="0" w:color="auto"/>
              <w:right w:val="single" w:sz="4" w:space="0" w:color="auto"/>
            </w:tcBorders>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12.625,44</w:t>
            </w: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53.726,54</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12.625,44</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color w:val="000000"/>
                <w:sz w:val="18"/>
                <w:szCs w:val="18"/>
              </w:rPr>
              <w:t>66.351,98</w:t>
            </w:r>
          </w:p>
        </w:tc>
      </w:tr>
      <w:tr w:rsidR="00A21702" w:rsidRPr="0098722F" w:rsidTr="00A21702">
        <w:trPr>
          <w:trHeight w:val="509"/>
        </w:trPr>
        <w:tc>
          <w:tcPr>
            <w:tcW w:w="396" w:type="dxa"/>
            <w:tcBorders>
              <w:top w:val="nil"/>
              <w:left w:val="single" w:sz="4" w:space="0" w:color="auto"/>
              <w:bottom w:val="single" w:sz="4" w:space="0" w:color="auto"/>
              <w:right w:val="single" w:sz="4" w:space="0" w:color="auto"/>
            </w:tcBorders>
            <w:noWrap/>
            <w:vAlign w:val="center"/>
          </w:tcPr>
          <w:p w:rsidR="00A21702" w:rsidRPr="0098722F" w:rsidRDefault="00A21702">
            <w:pPr>
              <w:jc w:val="center"/>
              <w:rPr>
                <w:rFonts w:ascii="Arial" w:hAnsi="Arial" w:cs="Arial"/>
                <w:color w:val="000000"/>
                <w:sz w:val="18"/>
                <w:szCs w:val="18"/>
              </w:rPr>
            </w:pPr>
          </w:p>
        </w:tc>
        <w:tc>
          <w:tcPr>
            <w:tcW w:w="1679" w:type="dxa"/>
            <w:gridSpan w:val="2"/>
            <w:tcBorders>
              <w:top w:val="nil"/>
              <w:left w:val="nil"/>
              <w:bottom w:val="single" w:sz="4" w:space="0" w:color="auto"/>
              <w:right w:val="single" w:sz="4" w:space="0" w:color="auto"/>
            </w:tcBorders>
            <w:vAlign w:val="center"/>
            <w:hideMark/>
          </w:tcPr>
          <w:p w:rsidR="00A21702" w:rsidRPr="0098722F" w:rsidRDefault="00A21702">
            <w:pPr>
              <w:rPr>
                <w:rFonts w:ascii="Arial" w:hAnsi="Arial" w:cs="Arial"/>
                <w:color w:val="000000"/>
                <w:sz w:val="18"/>
                <w:szCs w:val="18"/>
              </w:rPr>
            </w:pPr>
            <w:r w:rsidRPr="0098722F">
              <w:rPr>
                <w:rFonts w:ascii="Arial" w:hAnsi="Arial" w:cs="Arial"/>
                <w:b/>
                <w:bCs/>
                <w:color w:val="000000"/>
                <w:sz w:val="18"/>
                <w:szCs w:val="18"/>
              </w:rPr>
              <w:t>Total</w:t>
            </w:r>
          </w:p>
        </w:tc>
        <w:tc>
          <w:tcPr>
            <w:tcW w:w="1602" w:type="dxa"/>
            <w:gridSpan w:val="2"/>
            <w:tcBorders>
              <w:top w:val="nil"/>
              <w:left w:val="nil"/>
              <w:bottom w:val="single" w:sz="4" w:space="0" w:color="auto"/>
              <w:right w:val="single" w:sz="4" w:space="0" w:color="auto"/>
            </w:tcBorders>
            <w:noWrap/>
            <w:vAlign w:val="center"/>
          </w:tcPr>
          <w:p w:rsidR="00A21702" w:rsidRPr="0098722F" w:rsidRDefault="00A21702">
            <w:pPr>
              <w:jc w:val="center"/>
              <w:rPr>
                <w:rFonts w:ascii="Arial" w:hAnsi="Arial" w:cs="Arial"/>
                <w:color w:val="000000"/>
                <w:sz w:val="18"/>
                <w:szCs w:val="18"/>
              </w:rPr>
            </w:pPr>
          </w:p>
        </w:tc>
        <w:tc>
          <w:tcPr>
            <w:tcW w:w="1309" w:type="dxa"/>
            <w:gridSpan w:val="2"/>
            <w:tcBorders>
              <w:top w:val="nil"/>
              <w:left w:val="nil"/>
              <w:bottom w:val="single" w:sz="4" w:space="0" w:color="auto"/>
              <w:right w:val="single" w:sz="4" w:space="0" w:color="auto"/>
            </w:tcBorders>
            <w:noWrap/>
            <w:vAlign w:val="center"/>
          </w:tcPr>
          <w:p w:rsidR="00A21702" w:rsidRPr="0098722F" w:rsidRDefault="00A21702">
            <w:pPr>
              <w:jc w:val="center"/>
              <w:rPr>
                <w:rFonts w:ascii="Arial" w:hAnsi="Arial" w:cs="Arial"/>
                <w:color w:val="000000"/>
                <w:sz w:val="18"/>
                <w:szCs w:val="18"/>
              </w:rPr>
            </w:pPr>
          </w:p>
        </w:tc>
        <w:tc>
          <w:tcPr>
            <w:tcW w:w="1355"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b/>
                <w:bCs/>
                <w:color w:val="000000"/>
                <w:sz w:val="18"/>
                <w:szCs w:val="18"/>
              </w:rPr>
              <w:t>1.387.330,97</w:t>
            </w:r>
          </w:p>
        </w:tc>
        <w:tc>
          <w:tcPr>
            <w:tcW w:w="1262" w:type="dxa"/>
            <w:gridSpan w:val="2"/>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b/>
                <w:bCs/>
                <w:color w:val="000000"/>
                <w:sz w:val="18"/>
                <w:szCs w:val="18"/>
              </w:rPr>
              <w:t>317.215,07</w:t>
            </w:r>
          </w:p>
        </w:tc>
        <w:tc>
          <w:tcPr>
            <w:tcW w:w="1310" w:type="dxa"/>
            <w:tcBorders>
              <w:top w:val="nil"/>
              <w:left w:val="nil"/>
              <w:bottom w:val="single" w:sz="4" w:space="0" w:color="auto"/>
              <w:right w:val="single" w:sz="4" w:space="0" w:color="auto"/>
            </w:tcBorders>
            <w:noWrap/>
            <w:vAlign w:val="center"/>
            <w:hideMark/>
          </w:tcPr>
          <w:p w:rsidR="00A21702" w:rsidRPr="0098722F" w:rsidRDefault="00A21702">
            <w:pPr>
              <w:jc w:val="right"/>
              <w:rPr>
                <w:rFonts w:ascii="Arial" w:hAnsi="Arial" w:cs="Arial"/>
                <w:color w:val="000000"/>
                <w:sz w:val="18"/>
                <w:szCs w:val="18"/>
              </w:rPr>
            </w:pPr>
            <w:r w:rsidRPr="0098722F">
              <w:rPr>
                <w:rFonts w:ascii="Arial" w:hAnsi="Arial" w:cs="Arial"/>
                <w:b/>
                <w:bCs/>
                <w:color w:val="000000"/>
                <w:sz w:val="18"/>
                <w:szCs w:val="18"/>
              </w:rPr>
              <w:t>1.704.546,04</w:t>
            </w:r>
          </w:p>
        </w:tc>
      </w:tr>
      <w:tr w:rsidR="00A21702" w:rsidRPr="0098722F" w:rsidTr="00A21702">
        <w:trPr>
          <w:trHeight w:val="291"/>
        </w:trPr>
        <w:tc>
          <w:tcPr>
            <w:tcW w:w="396" w:type="dxa"/>
            <w:noWrap/>
            <w:vAlign w:val="center"/>
            <w:hideMark/>
          </w:tcPr>
          <w:p w:rsidR="00A21702" w:rsidRPr="0098722F" w:rsidRDefault="00A21702">
            <w:pPr>
              <w:rPr>
                <w:rFonts w:ascii="Arial" w:hAnsi="Arial" w:cs="Arial"/>
                <w:sz w:val="18"/>
                <w:szCs w:val="18"/>
                <w:lang w:val="es-ES"/>
              </w:rPr>
            </w:pPr>
          </w:p>
        </w:tc>
        <w:tc>
          <w:tcPr>
            <w:tcW w:w="1591" w:type="dxa"/>
            <w:noWrap/>
            <w:vAlign w:val="center"/>
            <w:hideMark/>
          </w:tcPr>
          <w:p w:rsidR="00A21702" w:rsidRPr="0098722F" w:rsidRDefault="00A21702">
            <w:pPr>
              <w:rPr>
                <w:rFonts w:ascii="Arial" w:hAnsi="Arial" w:cs="Arial"/>
                <w:sz w:val="18"/>
                <w:szCs w:val="18"/>
                <w:lang w:val="es-ES"/>
              </w:rPr>
            </w:pPr>
          </w:p>
        </w:tc>
        <w:tc>
          <w:tcPr>
            <w:tcW w:w="1384" w:type="dxa"/>
            <w:gridSpan w:val="2"/>
            <w:noWrap/>
            <w:vAlign w:val="center"/>
            <w:hideMark/>
          </w:tcPr>
          <w:p w:rsidR="00A21702" w:rsidRPr="0098722F" w:rsidRDefault="00A21702">
            <w:pPr>
              <w:rPr>
                <w:rFonts w:ascii="Arial" w:hAnsi="Arial" w:cs="Arial"/>
                <w:sz w:val="18"/>
                <w:szCs w:val="18"/>
                <w:lang w:val="es-ES"/>
              </w:rPr>
            </w:pPr>
          </w:p>
        </w:tc>
        <w:tc>
          <w:tcPr>
            <w:tcW w:w="1386" w:type="dxa"/>
            <w:gridSpan w:val="2"/>
            <w:noWrap/>
            <w:vAlign w:val="center"/>
            <w:hideMark/>
          </w:tcPr>
          <w:p w:rsidR="00A21702" w:rsidRPr="0098722F" w:rsidRDefault="00A21702">
            <w:pPr>
              <w:rPr>
                <w:rFonts w:ascii="Arial" w:hAnsi="Arial" w:cs="Arial"/>
                <w:sz w:val="18"/>
                <w:szCs w:val="18"/>
                <w:lang w:val="es-ES"/>
              </w:rPr>
            </w:pPr>
          </w:p>
        </w:tc>
        <w:tc>
          <w:tcPr>
            <w:tcW w:w="1386" w:type="dxa"/>
            <w:gridSpan w:val="2"/>
            <w:noWrap/>
            <w:vAlign w:val="center"/>
            <w:hideMark/>
          </w:tcPr>
          <w:p w:rsidR="00A21702" w:rsidRPr="0098722F" w:rsidRDefault="00A21702">
            <w:pPr>
              <w:rPr>
                <w:rFonts w:ascii="Arial" w:hAnsi="Arial" w:cs="Arial"/>
                <w:sz w:val="18"/>
                <w:szCs w:val="18"/>
                <w:lang w:val="es-ES"/>
              </w:rPr>
            </w:pPr>
          </w:p>
        </w:tc>
        <w:tc>
          <w:tcPr>
            <w:tcW w:w="1386" w:type="dxa"/>
            <w:gridSpan w:val="2"/>
            <w:noWrap/>
            <w:vAlign w:val="center"/>
            <w:hideMark/>
          </w:tcPr>
          <w:p w:rsidR="00A21702" w:rsidRPr="0098722F" w:rsidRDefault="00A21702">
            <w:pPr>
              <w:rPr>
                <w:rFonts w:ascii="Arial" w:hAnsi="Arial" w:cs="Arial"/>
                <w:sz w:val="18"/>
                <w:szCs w:val="18"/>
                <w:lang w:val="es-ES"/>
              </w:rPr>
            </w:pPr>
          </w:p>
        </w:tc>
        <w:tc>
          <w:tcPr>
            <w:tcW w:w="1386" w:type="dxa"/>
            <w:gridSpan w:val="2"/>
            <w:noWrap/>
            <w:vAlign w:val="center"/>
            <w:hideMark/>
          </w:tcPr>
          <w:p w:rsidR="00A21702" w:rsidRPr="0098722F" w:rsidRDefault="00A21702">
            <w:pPr>
              <w:rPr>
                <w:rFonts w:ascii="Arial" w:hAnsi="Arial" w:cs="Arial"/>
                <w:sz w:val="18"/>
                <w:szCs w:val="18"/>
                <w:lang w:val="es-ES"/>
              </w:rPr>
            </w:pPr>
          </w:p>
        </w:tc>
      </w:tr>
      <w:tr w:rsidR="00A21702" w:rsidRPr="0098722F" w:rsidTr="00A21702">
        <w:trPr>
          <w:trHeight w:val="291"/>
        </w:trPr>
        <w:tc>
          <w:tcPr>
            <w:tcW w:w="8914" w:type="dxa"/>
            <w:gridSpan w:val="12"/>
            <w:noWrap/>
            <w:vAlign w:val="center"/>
            <w:hideMark/>
          </w:tcPr>
          <w:p w:rsidR="00A21702" w:rsidRPr="0098722F" w:rsidRDefault="00A21702">
            <w:pPr>
              <w:jc w:val="center"/>
              <w:rPr>
                <w:rFonts w:ascii="Arial" w:hAnsi="Arial" w:cs="Arial"/>
                <w:color w:val="000000"/>
                <w:sz w:val="18"/>
                <w:szCs w:val="18"/>
              </w:rPr>
            </w:pPr>
            <w:r w:rsidRPr="0098722F">
              <w:rPr>
                <w:rFonts w:ascii="Arial" w:hAnsi="Arial" w:cs="Arial"/>
                <w:color w:val="000000"/>
                <w:sz w:val="18"/>
                <w:szCs w:val="18"/>
              </w:rPr>
              <w:t>(*) A fecha de hoy no existe incremento en otros puestos eventuales y de libre designación.</w:t>
            </w:r>
          </w:p>
        </w:tc>
      </w:tr>
      <w:bookmarkEnd w:id="0"/>
    </w:tbl>
    <w:p w:rsidR="00A21702" w:rsidRDefault="00A21702" w:rsidP="00A21702">
      <w:pPr>
        <w:ind w:left="708"/>
      </w:pPr>
    </w:p>
    <w:p w:rsidR="00A21702" w:rsidRDefault="00A21702" w:rsidP="00A21702">
      <w:pPr>
        <w:pStyle w:val="Prrafodelista"/>
        <w:ind w:left="-708"/>
        <w:jc w:val="both"/>
        <w:rPr>
          <w:b/>
          <w:sz w:val="22"/>
          <w:szCs w:val="22"/>
        </w:rPr>
      </w:pPr>
      <w:r>
        <w:rPr>
          <w:rFonts w:ascii="Trebuchet MS" w:hAnsi="Trebuchet MS"/>
          <w:szCs w:val="20"/>
          <w:lang w:val="es-ES_tradnl"/>
        </w:rPr>
        <w:t xml:space="preserve">2. </w:t>
      </w:r>
      <w:r>
        <w:rPr>
          <w:b/>
          <w:sz w:val="22"/>
          <w:szCs w:val="22"/>
        </w:rPr>
        <w:t>¿Existe en los Presupuestos Generales de Navarra para el año 2018 crédito presupuestario para esos nuevos gastos en el Capítulo 1? ¿En qué partidas y en qué Departamento? De no existir crédito suficiente, ¿tiene previsto el Gobierno o la Consejera de Hacienda realizar la preceptiva transferencia presupuestaria? Si es así ¿qué partidas del vigente presupuesto verían disminuidas su crédito para habilitar las nuevas derivadas de la nueva estructura orgánica del Gobierno?</w:t>
      </w:r>
    </w:p>
    <w:p w:rsidR="00A21702" w:rsidRDefault="00A21702" w:rsidP="00A21702">
      <w:pPr>
        <w:pStyle w:val="Prrafodelista"/>
        <w:ind w:left="-708"/>
        <w:jc w:val="both"/>
        <w:rPr>
          <w:sz w:val="22"/>
          <w:szCs w:val="22"/>
          <w:lang w:val="es-ES_tradnl"/>
        </w:rPr>
      </w:pPr>
      <w:r>
        <w:rPr>
          <w:sz w:val="22"/>
          <w:szCs w:val="22"/>
          <w:lang w:val="es-ES_tradnl"/>
        </w:rPr>
        <w:t>Existe crédito disponible en el vigente Presupuesto de Gastos para el coste que supone en el año 2019 el incremento señalado en el apartado. Se tiene previsto realizar una transferencia de crédito con cargo a la partida presupuestaria  400000 41000 1400 322000 “Retribuciones personales”</w:t>
      </w:r>
    </w:p>
    <w:p w:rsidR="00A21702" w:rsidRDefault="00A21702" w:rsidP="00A21702">
      <w:pPr>
        <w:pStyle w:val="Prrafodelista"/>
        <w:ind w:left="-708"/>
        <w:jc w:val="both"/>
        <w:rPr>
          <w:b/>
          <w:sz w:val="22"/>
          <w:szCs w:val="22"/>
        </w:rPr>
      </w:pPr>
      <w:r>
        <w:rPr>
          <w:sz w:val="22"/>
          <w:szCs w:val="22"/>
          <w:lang w:val="es-ES_tradnl"/>
        </w:rPr>
        <w:t>Es cuanto tengo el honor de informar en cumplimiento de lo dispuesto en el artículo 194 del Reglamento del Parlamento de Navarra.</w:t>
      </w:r>
    </w:p>
    <w:p w:rsidR="00A21702" w:rsidRPr="00A21702" w:rsidRDefault="00A21702" w:rsidP="00A21702">
      <w:pPr>
        <w:jc w:val="center"/>
        <w:rPr>
          <w:rFonts w:ascii="Calibri" w:hAnsi="Calibri"/>
          <w:sz w:val="22"/>
          <w:szCs w:val="22"/>
        </w:rPr>
      </w:pPr>
      <w:r w:rsidRPr="00A21702">
        <w:rPr>
          <w:rFonts w:ascii="Calibri" w:hAnsi="Calibri"/>
          <w:sz w:val="22"/>
          <w:szCs w:val="22"/>
        </w:rPr>
        <w:t>Pamplona-</w:t>
      </w:r>
      <w:proofErr w:type="spellStart"/>
      <w:r w:rsidRPr="00A21702">
        <w:rPr>
          <w:rFonts w:ascii="Calibri" w:hAnsi="Calibri"/>
          <w:sz w:val="22"/>
          <w:szCs w:val="22"/>
        </w:rPr>
        <w:t>Iruñea</w:t>
      </w:r>
      <w:proofErr w:type="spellEnd"/>
      <w:r w:rsidRPr="00A21702">
        <w:rPr>
          <w:rFonts w:ascii="Calibri" w:hAnsi="Calibri"/>
          <w:sz w:val="22"/>
          <w:szCs w:val="22"/>
        </w:rPr>
        <w:t>, 27 de septiembre de 2019</w:t>
      </w:r>
    </w:p>
    <w:p w:rsidR="00FC752D" w:rsidRPr="00A21702" w:rsidRDefault="00A21702" w:rsidP="00DF2597">
      <w:pPr>
        <w:jc w:val="center"/>
        <w:rPr>
          <w:rFonts w:ascii="Calibri" w:hAnsi="Calibri"/>
          <w:sz w:val="22"/>
          <w:szCs w:val="22"/>
        </w:rPr>
      </w:pPr>
      <w:r>
        <w:rPr>
          <w:rFonts w:ascii="Calibri" w:hAnsi="Calibri"/>
          <w:sz w:val="22"/>
          <w:szCs w:val="22"/>
        </w:rPr>
        <w:t xml:space="preserve">El Consejero de Presidencia, Igualdad, Función Pública e Interior: </w:t>
      </w:r>
      <w:r w:rsidRPr="00A21702">
        <w:rPr>
          <w:rFonts w:ascii="Calibri" w:hAnsi="Calibri"/>
          <w:sz w:val="22"/>
          <w:szCs w:val="22"/>
        </w:rPr>
        <w:t xml:space="preserve">Javier </w:t>
      </w:r>
      <w:proofErr w:type="spellStart"/>
      <w:r w:rsidRPr="00A21702">
        <w:rPr>
          <w:rFonts w:ascii="Calibri" w:hAnsi="Calibri"/>
          <w:sz w:val="22"/>
          <w:szCs w:val="22"/>
        </w:rPr>
        <w:t>Remírez</w:t>
      </w:r>
      <w:proofErr w:type="spellEnd"/>
      <w:r w:rsidRPr="00A21702">
        <w:rPr>
          <w:rFonts w:ascii="Calibri" w:hAnsi="Calibri"/>
          <w:sz w:val="22"/>
          <w:szCs w:val="22"/>
        </w:rPr>
        <w:t xml:space="preserve"> </w:t>
      </w:r>
      <w:proofErr w:type="spellStart"/>
      <w:r w:rsidRPr="00A21702">
        <w:rPr>
          <w:rFonts w:ascii="Calibri" w:hAnsi="Calibri"/>
          <w:sz w:val="22"/>
          <w:szCs w:val="22"/>
        </w:rPr>
        <w:t>Apesteguía</w:t>
      </w:r>
      <w:proofErr w:type="spellEnd"/>
    </w:p>
    <w:sectPr w:rsidR="00FC752D" w:rsidRPr="00A217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F"/>
    <w:rsid w:val="00224FBF"/>
    <w:rsid w:val="00536116"/>
    <w:rsid w:val="006305A7"/>
    <w:rsid w:val="0098722F"/>
    <w:rsid w:val="00A21702"/>
    <w:rsid w:val="00D9032D"/>
    <w:rsid w:val="00DF2597"/>
    <w:rsid w:val="00F35ADA"/>
    <w:rsid w:val="00F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02"/>
    <w:pPr>
      <w:spacing w:after="0" w:line="240" w:lineRule="auto"/>
    </w:pPr>
    <w:rPr>
      <w:rFonts w:ascii="Trebuchet MS" w:eastAsia="Times New Roman" w:hAnsi="Trebuchet M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702"/>
    <w:pPr>
      <w:ind w:left="720"/>
      <w:contextualSpacing/>
    </w:pPr>
    <w:rPr>
      <w:rFonts w:ascii="Calibri" w:hAnsi="Calibri"/>
      <w:szCs w:val="24"/>
      <w:lang w:val="es-ES"/>
    </w:rPr>
  </w:style>
  <w:style w:type="paragraph" w:customStyle="1" w:styleId="Default">
    <w:name w:val="Default"/>
    <w:rsid w:val="00A21702"/>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02"/>
    <w:pPr>
      <w:spacing w:after="0" w:line="240" w:lineRule="auto"/>
    </w:pPr>
    <w:rPr>
      <w:rFonts w:ascii="Trebuchet MS" w:eastAsia="Times New Roman" w:hAnsi="Trebuchet M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702"/>
    <w:pPr>
      <w:ind w:left="720"/>
      <w:contextualSpacing/>
    </w:pPr>
    <w:rPr>
      <w:rFonts w:ascii="Calibri" w:hAnsi="Calibri"/>
      <w:szCs w:val="24"/>
      <w:lang w:val="es-ES"/>
    </w:rPr>
  </w:style>
  <w:style w:type="paragraph" w:customStyle="1" w:styleId="Default">
    <w:name w:val="Default"/>
    <w:rsid w:val="00A21702"/>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3BE7-05DD-46ED-AC24-4C5B6945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5</cp:revision>
  <dcterms:created xsi:type="dcterms:W3CDTF">2019-10-15T13:24:00Z</dcterms:created>
  <dcterms:modified xsi:type="dcterms:W3CDTF">2019-11-22T08:54:00Z</dcterms:modified>
</cp:coreProperties>
</file>