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DA" w:rsidRPr="00A418DA" w:rsidRDefault="00A418DA" w:rsidP="00A418DA">
      <w:pPr>
        <w:pStyle w:val="DICTA-TITULO"/>
      </w:pPr>
      <w:bookmarkStart w:id="0" w:name="_GoBack"/>
      <w:bookmarkEnd w:id="0"/>
      <w:r w:rsidRPr="00A418DA">
        <w:t>Ley Foral de concesión de un suplemento de crédito para la financiación de la Universidad Pública de Navarra</w:t>
      </w:r>
    </w:p>
    <w:p w:rsidR="00A418DA" w:rsidRPr="00A418DA" w:rsidRDefault="00A418DA" w:rsidP="00A418DA">
      <w:pPr>
        <w:pStyle w:val="DICTA-DISPO"/>
        <w:rPr>
          <w:lang w:bidi="es-ES"/>
        </w:rPr>
      </w:pPr>
      <w:r w:rsidRPr="00A418DA">
        <w:rPr>
          <w:lang w:bidi="es-ES"/>
        </w:rPr>
        <w:t>PREÁMBULO</w:t>
      </w:r>
    </w:p>
    <w:p w:rsidR="00A418DA" w:rsidRPr="00A418DA" w:rsidRDefault="00A418DA" w:rsidP="00A418DA">
      <w:pPr>
        <w:pStyle w:val="DICTA-TEXTO"/>
        <w:rPr>
          <w:lang w:bidi="es-ES"/>
        </w:rPr>
      </w:pPr>
      <w:r w:rsidRPr="00A418DA">
        <w:rPr>
          <w:lang w:bidi="es-ES"/>
        </w:rPr>
        <w:t>Por acuerdo de la Comisión de Seguimiento del Convenio de Financiación de la UPNA, de fecha 12 de noviembre de 2018, se determinaron las cifras de financiación para el año 2019 correspondiendo a la financiación estructural y por resultados 60.709.749 euros.</w:t>
      </w:r>
    </w:p>
    <w:p w:rsidR="00A418DA" w:rsidRPr="00A418DA" w:rsidRDefault="00A418DA" w:rsidP="00A418DA">
      <w:pPr>
        <w:pStyle w:val="DICTA-TEXTO"/>
        <w:rPr>
          <w:lang w:bidi="es-ES"/>
        </w:rPr>
      </w:pPr>
      <w:r w:rsidRPr="00A418DA">
        <w:rPr>
          <w:lang w:bidi="es-ES"/>
        </w:rPr>
        <w:t>En la citada comisión de seguimiento se acordó que la diferencia de 900.000 euros entre la financiación estructural y por resultados acordada por la comisión de seguimiento y la recogida en la partida 411001 41210 4455 322300 “Convenio financiación de la UPNA” se realizaría “mediante enmienda a los PGN o, en su caso, mediante modificación presupuestaria en el propio ejercicio 2019”.</w:t>
      </w:r>
    </w:p>
    <w:p w:rsidR="00A418DA" w:rsidRPr="00A418DA" w:rsidRDefault="00A418DA" w:rsidP="00A418DA">
      <w:pPr>
        <w:pStyle w:val="DICTA-TEXTO"/>
        <w:rPr>
          <w:lang w:bidi="es-ES"/>
        </w:rPr>
      </w:pPr>
      <w:r w:rsidRPr="00A418DA">
        <w:rPr>
          <w:lang w:bidi="es-ES"/>
        </w:rPr>
        <w:t>La Ley Foral 27/2018, de 28 de diciembre, de Presupuestos Generales de Navarra para el año 2019, contempla una financiación para la Universidad Pública de Navarra por estos conceptos de 59.809.749 euros (partida 411001 41210 4455 322300 “convenio financiación de la UPNA”).</w:t>
      </w:r>
    </w:p>
    <w:p w:rsidR="00A418DA" w:rsidRPr="00A418DA" w:rsidRDefault="00A418DA" w:rsidP="00A418DA">
      <w:pPr>
        <w:pStyle w:val="DICTA-TEXTO"/>
        <w:rPr>
          <w:lang w:bidi="es-ES"/>
        </w:rPr>
      </w:pPr>
      <w:r w:rsidRPr="00A418DA">
        <w:rPr>
          <w:lang w:bidi="es-ES"/>
        </w:rPr>
        <w:t>La Comisión de Seguimiento reunida en fecha 3 de octubre de 2019 acordó promover la financiación de 900.000 euros para cumplir los compromisos adquiridos.</w:t>
      </w:r>
    </w:p>
    <w:p w:rsidR="00A418DA" w:rsidRPr="00A418DA" w:rsidRDefault="00A418DA" w:rsidP="00A418DA">
      <w:pPr>
        <w:pStyle w:val="DICTA-TEXTO"/>
        <w:rPr>
          <w:lang w:bidi="es-ES"/>
        </w:rPr>
      </w:pPr>
      <w:r w:rsidRPr="00A418DA">
        <w:rPr>
          <w:lang w:bidi="es-ES"/>
        </w:rPr>
        <w:t>La Ley Foral 13/2007, de 4 de abril, de la Hacienda Pública de Navarra, dispone en su artículo 48 párrafo primero que cuando haya de realizarse con cargo al Presupuesto vigente algún gasto que no pueda demorarse hasta el ejercicio siguiente y el crédito sea insuficiente, el Gobierno de Navarra, a propuesta del Consejero de Economía y Hacienda, remitirá al Parlamento de Navarra un proyecto de ley foral de concesión de un suplemento de crédito. Asimismo, en su párrafo segundo dispone que el suplemento de crédito pueda financiarse con otros créditos disponibles de cualquier programa de gasto, incluso provenientes de créditos específicamente aprobados por el Parlamento como consecuencia de enmiendas o de disposiciones de esta ley foral, o con cargo a mayores ingresos reales o previsibles en el mismo ejercicio económico.</w:t>
      </w:r>
    </w:p>
    <w:p w:rsidR="00A418DA" w:rsidRPr="00A418DA" w:rsidRDefault="00A418DA" w:rsidP="00A418DA">
      <w:pPr>
        <w:pStyle w:val="DICTA-TEXTO"/>
        <w:rPr>
          <w:lang w:bidi="es-ES"/>
        </w:rPr>
      </w:pPr>
      <w:r w:rsidRPr="00A418DA">
        <w:rPr>
          <w:b/>
          <w:lang w:bidi="es-ES"/>
        </w:rPr>
        <w:lastRenderedPageBreak/>
        <w:t xml:space="preserve">Artículo 1. </w:t>
      </w:r>
      <w:r w:rsidRPr="00A418DA">
        <w:rPr>
          <w:lang w:bidi="es-ES"/>
        </w:rPr>
        <w:t>Concesión de suplemento de crédito.</w:t>
      </w:r>
    </w:p>
    <w:p w:rsidR="00A418DA" w:rsidRPr="00A418DA" w:rsidRDefault="00A418DA" w:rsidP="00A418DA">
      <w:pPr>
        <w:pStyle w:val="DICTA-TEXTO"/>
        <w:rPr>
          <w:lang w:bidi="es-ES"/>
        </w:rPr>
      </w:pPr>
      <w:r w:rsidRPr="00A418DA">
        <w:rPr>
          <w:lang w:bidi="es-ES"/>
        </w:rPr>
        <w:t>Se concede un suplemento de crédito por importe de 900.000 euros para atender necesidades de financiación de la Universidad Pública de Navarra.</w:t>
      </w:r>
    </w:p>
    <w:p w:rsidR="00A418DA" w:rsidRPr="00A418DA" w:rsidRDefault="00A418DA" w:rsidP="00A418DA">
      <w:pPr>
        <w:pStyle w:val="DICTA-TEXTO"/>
        <w:rPr>
          <w:lang w:bidi="es-ES"/>
        </w:rPr>
      </w:pPr>
      <w:r w:rsidRPr="00A418DA">
        <w:rPr>
          <w:lang w:bidi="es-ES"/>
        </w:rPr>
        <w:t>Este suplemento de crédito se aplicará a la siguiente partida presupuestaria:</w:t>
      </w: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843"/>
      </w:tblGrid>
      <w:tr w:rsidR="00A418DA" w:rsidRPr="00A418DA" w:rsidTr="005234B4">
        <w:trPr>
          <w:jc w:val="center"/>
        </w:trPr>
        <w:tc>
          <w:tcPr>
            <w:tcW w:w="6007" w:type="dxa"/>
            <w:shd w:val="clear" w:color="auto" w:fill="auto"/>
          </w:tcPr>
          <w:p w:rsidR="00A418DA" w:rsidRPr="00A418DA" w:rsidRDefault="005063DD" w:rsidP="005234B4">
            <w:pPr>
              <w:pStyle w:val="Acuerdos"/>
              <w:spacing w:before="40" w:after="40" w:line="240" w:lineRule="auto"/>
              <w:ind w:firstLine="0"/>
              <w:jc w:val="center"/>
              <w:rPr>
                <w:rFonts w:ascii="Arial" w:hAnsi="Arial" w:cs="Arial"/>
                <w:sz w:val="20"/>
                <w:szCs w:val="20"/>
                <w:lang w:val="es-ES_tradnl"/>
              </w:rPr>
            </w:pPr>
            <w:r w:rsidRPr="00A418DA">
              <w:rPr>
                <w:rFonts w:ascii="Arial" w:hAnsi="Arial" w:cs="Arial"/>
                <w:sz w:val="20"/>
                <w:szCs w:val="20"/>
                <w:lang w:val="es-ES_tradnl"/>
              </w:rPr>
              <w:t>Partida</w:t>
            </w:r>
          </w:p>
        </w:tc>
        <w:tc>
          <w:tcPr>
            <w:tcW w:w="1843" w:type="dxa"/>
            <w:shd w:val="clear" w:color="auto" w:fill="auto"/>
          </w:tcPr>
          <w:p w:rsidR="00A418DA" w:rsidRPr="00A418DA" w:rsidRDefault="005063DD" w:rsidP="005234B4">
            <w:pPr>
              <w:pStyle w:val="Acuerdos"/>
              <w:spacing w:before="40" w:after="40" w:line="240" w:lineRule="auto"/>
              <w:ind w:firstLine="0"/>
              <w:jc w:val="center"/>
              <w:rPr>
                <w:rFonts w:ascii="Arial" w:hAnsi="Arial" w:cs="Arial"/>
                <w:sz w:val="20"/>
                <w:szCs w:val="20"/>
                <w:lang w:val="es-ES_tradnl"/>
              </w:rPr>
            </w:pPr>
            <w:r w:rsidRPr="00A418DA">
              <w:rPr>
                <w:rFonts w:ascii="Arial" w:hAnsi="Arial" w:cs="Arial"/>
                <w:sz w:val="20"/>
                <w:szCs w:val="20"/>
                <w:lang w:val="es-ES_tradnl"/>
              </w:rPr>
              <w:t>Importe</w:t>
            </w:r>
          </w:p>
        </w:tc>
      </w:tr>
      <w:tr w:rsidR="00A418DA" w:rsidRPr="00A418DA" w:rsidTr="005234B4">
        <w:trPr>
          <w:jc w:val="center"/>
        </w:trPr>
        <w:tc>
          <w:tcPr>
            <w:tcW w:w="6007" w:type="dxa"/>
            <w:shd w:val="clear" w:color="auto" w:fill="auto"/>
          </w:tcPr>
          <w:p w:rsidR="00A418DA" w:rsidRPr="00A418DA" w:rsidRDefault="00A418DA" w:rsidP="005234B4">
            <w:pPr>
              <w:pStyle w:val="Acuerdos"/>
              <w:spacing w:before="40" w:after="40" w:line="240" w:lineRule="auto"/>
              <w:ind w:firstLine="0"/>
              <w:rPr>
                <w:rFonts w:ascii="Arial" w:hAnsi="Arial" w:cs="Arial"/>
                <w:sz w:val="20"/>
                <w:szCs w:val="20"/>
                <w:lang w:val="es-ES_tradnl"/>
              </w:rPr>
            </w:pPr>
            <w:r w:rsidRPr="00A418DA">
              <w:rPr>
                <w:rFonts w:ascii="Arial" w:hAnsi="Arial" w:cs="Arial"/>
                <w:sz w:val="20"/>
                <w:szCs w:val="20"/>
                <w:lang w:val="es-ES_tradnl"/>
              </w:rPr>
              <w:t>411001 41210 4455 322300 “Convenio financiación de la UPNA”</w:t>
            </w:r>
          </w:p>
        </w:tc>
        <w:tc>
          <w:tcPr>
            <w:tcW w:w="1843" w:type="dxa"/>
            <w:shd w:val="clear" w:color="auto" w:fill="auto"/>
            <w:vAlign w:val="center"/>
          </w:tcPr>
          <w:p w:rsidR="00A418DA" w:rsidRPr="00A418DA" w:rsidRDefault="00A418DA" w:rsidP="005234B4">
            <w:pPr>
              <w:pStyle w:val="Acuerdos"/>
              <w:spacing w:before="40" w:after="40" w:line="240" w:lineRule="auto"/>
              <w:ind w:firstLine="0"/>
              <w:jc w:val="right"/>
              <w:rPr>
                <w:rFonts w:ascii="Arial" w:hAnsi="Arial" w:cs="Arial"/>
                <w:sz w:val="20"/>
                <w:szCs w:val="20"/>
                <w:lang w:val="es-ES_tradnl"/>
              </w:rPr>
            </w:pPr>
            <w:r w:rsidRPr="00A418DA">
              <w:rPr>
                <w:rFonts w:ascii="Arial" w:hAnsi="Arial" w:cs="Arial"/>
                <w:sz w:val="20"/>
                <w:szCs w:val="20"/>
                <w:lang w:val="es-ES_tradnl"/>
              </w:rPr>
              <w:t>900.000,00</w:t>
            </w:r>
          </w:p>
        </w:tc>
      </w:tr>
    </w:tbl>
    <w:p w:rsidR="00A418DA" w:rsidRPr="00A418DA" w:rsidRDefault="00A418DA" w:rsidP="00B247AD">
      <w:pPr>
        <w:pStyle w:val="DICTA-TEXTO"/>
        <w:spacing w:before="240"/>
        <w:rPr>
          <w:lang w:bidi="es-ES"/>
        </w:rPr>
      </w:pPr>
      <w:r w:rsidRPr="00A418DA">
        <w:rPr>
          <w:b/>
          <w:lang w:bidi="es-ES"/>
        </w:rPr>
        <w:t xml:space="preserve">Artículo 2. </w:t>
      </w:r>
      <w:r w:rsidR="00B247AD">
        <w:rPr>
          <w:lang w:bidi="es-ES"/>
        </w:rPr>
        <w:t>Financiación del s</w:t>
      </w:r>
      <w:r w:rsidRPr="00A418DA">
        <w:rPr>
          <w:lang w:bidi="es-ES"/>
        </w:rPr>
        <w:t>uplemento de crédito.</w:t>
      </w:r>
    </w:p>
    <w:p w:rsidR="00A418DA" w:rsidRDefault="00A418DA" w:rsidP="00B247AD">
      <w:pPr>
        <w:pStyle w:val="DICTA-TEXTO"/>
        <w:rPr>
          <w:lang w:bidi="es-ES"/>
        </w:rPr>
      </w:pPr>
      <w:r w:rsidRPr="00A418DA">
        <w:rPr>
          <w:lang w:bidi="es-ES"/>
        </w:rPr>
        <w:t>La financiación de este suplemento de crédito se realizará con cargo al crédito disponible en las siguientes partidas del vigente presupuesto de gastos e ingresos por las cantidades indicadas en cada una de ellas:</w:t>
      </w:r>
    </w:p>
    <w:tbl>
      <w:tblPr>
        <w:tblW w:w="7736"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4"/>
        <w:gridCol w:w="1802"/>
      </w:tblGrid>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lang w:val="es-ES" w:eastAsia="es-ES" w:bidi="ar-SA"/>
              </w:rPr>
            </w:pPr>
            <w:r w:rsidRPr="00A418DA">
              <w:rPr>
                <w:rFonts w:ascii="Arial" w:hAnsi="Arial" w:cs="Arial"/>
                <w:bCs/>
                <w:lang w:val="es-ES" w:eastAsia="es-ES" w:bidi="ar-SA"/>
              </w:rPr>
              <w:t>Partida del presupuesto de gastos</w:t>
            </w:r>
          </w:p>
        </w:tc>
        <w:tc>
          <w:tcPr>
            <w:tcW w:w="1802"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lang w:val="es-ES" w:eastAsia="es-ES" w:bidi="ar-SA"/>
              </w:rPr>
            </w:pPr>
            <w:r w:rsidRPr="00A418DA">
              <w:rPr>
                <w:rFonts w:ascii="Arial" w:hAnsi="Arial" w:cs="Arial"/>
                <w:bCs/>
                <w:lang w:val="es-ES" w:eastAsia="es-ES" w:bidi="ar-SA"/>
              </w:rPr>
              <w:t>Importe</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lang w:val="es-ES" w:eastAsia="es-ES" w:bidi="ar-SA"/>
              </w:rPr>
            </w:pPr>
            <w:r w:rsidRPr="00A418DA">
              <w:rPr>
                <w:rFonts w:ascii="Arial" w:hAnsi="Arial" w:cs="Arial"/>
                <w:lang w:val="es-ES" w:eastAsia="es-ES" w:bidi="ar-SA"/>
              </w:rPr>
              <w:t xml:space="preserve">410001-41800-7609-325108 (E) Proyecto construcción nuevo colegio en Sunbilla </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lang w:val="es-ES" w:eastAsia="es-ES" w:bidi="ar-SA"/>
              </w:rPr>
            </w:pPr>
            <w:r w:rsidRPr="00A418DA">
              <w:rPr>
                <w:rFonts w:ascii="Arial" w:hAnsi="Arial" w:cs="Arial"/>
                <w:lang w:val="es-ES" w:eastAsia="es-ES" w:bidi="ar-SA"/>
              </w:rPr>
              <w:t xml:space="preserve">50.000,00 </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lang w:val="es-ES" w:eastAsia="es-ES" w:bidi="ar-SA"/>
              </w:rPr>
            </w:pPr>
            <w:r w:rsidRPr="00A418DA">
              <w:rPr>
                <w:rFonts w:ascii="Arial" w:hAnsi="Arial" w:cs="Arial"/>
                <w:lang w:val="es-ES" w:eastAsia="es-ES" w:bidi="ar-SA"/>
              </w:rPr>
              <w:t>410001-41800-7609-325109 (E) Proyecto de ampliación del Colegio Público “Dos de mayo” de Castejón</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lang w:val="es-ES" w:eastAsia="es-ES" w:bidi="ar-SA"/>
              </w:rPr>
            </w:pPr>
            <w:r w:rsidRPr="00A418DA">
              <w:rPr>
                <w:rFonts w:ascii="Arial" w:hAnsi="Arial" w:cs="Arial"/>
                <w:lang w:val="es-ES" w:eastAsia="es-ES" w:bidi="ar-SA"/>
              </w:rPr>
              <w:t xml:space="preserve">24.000,00 </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lang w:val="es-ES" w:eastAsia="es-ES" w:bidi="ar-SA"/>
              </w:rPr>
            </w:pPr>
            <w:r w:rsidRPr="00A418DA">
              <w:rPr>
                <w:rFonts w:ascii="Arial" w:hAnsi="Arial" w:cs="Arial"/>
                <w:lang w:val="es-ES" w:eastAsia="es-ES" w:bidi="ar-SA"/>
              </w:rPr>
              <w:t xml:space="preserve">420002-42120-4609-322100 (E) Convenios con ayuntamientos para la escolarización de 0 a 3 años </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lang w:val="es-ES" w:eastAsia="es-ES" w:bidi="ar-SA"/>
              </w:rPr>
            </w:pPr>
            <w:r w:rsidRPr="00A418DA">
              <w:rPr>
                <w:rFonts w:ascii="Arial" w:hAnsi="Arial" w:cs="Arial"/>
                <w:lang w:val="es-ES" w:eastAsia="es-ES" w:bidi="ar-SA"/>
              </w:rPr>
              <w:t>150.000,00</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lang w:val="es-ES" w:eastAsia="es-ES" w:bidi="ar-SA"/>
              </w:rPr>
            </w:pPr>
            <w:r w:rsidRPr="00A418DA">
              <w:rPr>
                <w:rFonts w:ascii="Arial" w:hAnsi="Arial" w:cs="Arial"/>
                <w:lang w:val="es-ES" w:eastAsia="es-ES" w:bidi="ar-SA"/>
              </w:rPr>
              <w:t>720000-71510-4700-414102 Canon de los riegos del Canal de Navarra. Ampliación 1ª Fase</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lang w:val="es-ES" w:eastAsia="es-ES" w:bidi="ar-SA"/>
              </w:rPr>
            </w:pPr>
            <w:r w:rsidRPr="00A418DA">
              <w:rPr>
                <w:rFonts w:ascii="Arial" w:hAnsi="Arial" w:cs="Arial"/>
                <w:lang w:val="es-ES" w:eastAsia="es-ES" w:bidi="ar-SA"/>
              </w:rPr>
              <w:t>271.000,00</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lang w:val="es-ES" w:eastAsia="es-ES" w:bidi="ar-SA"/>
              </w:rPr>
            </w:pPr>
            <w:r w:rsidRPr="00A418DA">
              <w:rPr>
                <w:rFonts w:ascii="Arial" w:hAnsi="Arial" w:cs="Arial"/>
                <w:lang w:val="es-ES" w:eastAsia="es-ES" w:bidi="ar-SA"/>
              </w:rPr>
              <w:t>720004-71630-7700-412105 (E) Inversiones mejora de bioseguridad en explotaciones ganaderas</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lang w:val="es-ES" w:eastAsia="es-ES" w:bidi="ar-SA"/>
              </w:rPr>
            </w:pPr>
            <w:r w:rsidRPr="00A418DA">
              <w:rPr>
                <w:rFonts w:ascii="Arial" w:hAnsi="Arial" w:cs="Arial"/>
                <w:lang w:val="es-ES" w:eastAsia="es-ES" w:bidi="ar-SA"/>
              </w:rPr>
              <w:t>250.000,00</w:t>
            </w:r>
          </w:p>
        </w:tc>
      </w:tr>
    </w:tbl>
    <w:p w:rsidR="00A418DA" w:rsidRPr="00A418DA" w:rsidRDefault="00A418DA" w:rsidP="00B247AD">
      <w:pPr>
        <w:keepLines w:val="0"/>
        <w:tabs>
          <w:tab w:val="left" w:pos="709"/>
          <w:tab w:val="center" w:pos="3856"/>
        </w:tabs>
        <w:spacing w:after="0" w:line="380" w:lineRule="atLeast"/>
        <w:ind w:firstLine="709"/>
        <w:textAlignment w:val="auto"/>
        <w:rPr>
          <w:rFonts w:ascii="Arial" w:hAnsi="Arial" w:cs="Arial"/>
          <w:lang w:val="es-ES_tradnl" w:eastAsia="es-ES" w:bidi="ar-SA"/>
        </w:rPr>
      </w:pPr>
    </w:p>
    <w:tbl>
      <w:tblPr>
        <w:tblW w:w="7729" w:type="dxa"/>
        <w:jc w:val="center"/>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775"/>
      </w:tblGrid>
      <w:tr w:rsidR="00A418DA" w:rsidRPr="00A418DA" w:rsidTr="005234B4">
        <w:trPr>
          <w:trHeight w:val="93"/>
          <w:jc w:val="center"/>
        </w:trPr>
        <w:tc>
          <w:tcPr>
            <w:tcW w:w="5954"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lang w:val="es-ES" w:eastAsia="es-ES" w:bidi="ar-SA"/>
              </w:rPr>
            </w:pPr>
            <w:r w:rsidRPr="00A418DA">
              <w:rPr>
                <w:rFonts w:ascii="Arial" w:hAnsi="Arial" w:cs="Arial"/>
                <w:bCs/>
                <w:lang w:val="es-ES" w:eastAsia="es-ES" w:bidi="ar-SA"/>
              </w:rPr>
              <w:t>Partida del presupuesto de ingresos</w:t>
            </w:r>
          </w:p>
        </w:tc>
        <w:tc>
          <w:tcPr>
            <w:tcW w:w="1775"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lang w:val="es-ES" w:eastAsia="es-ES" w:bidi="ar-SA"/>
              </w:rPr>
            </w:pPr>
            <w:r w:rsidRPr="00A418DA">
              <w:rPr>
                <w:rFonts w:ascii="Arial" w:hAnsi="Arial" w:cs="Arial"/>
                <w:bCs/>
                <w:lang w:val="es-ES" w:eastAsia="es-ES" w:bidi="ar-SA"/>
              </w:rPr>
              <w:t>Importe</w:t>
            </w:r>
          </w:p>
        </w:tc>
      </w:tr>
      <w:tr w:rsidR="00A418DA" w:rsidRPr="00A418DA" w:rsidTr="005234B4">
        <w:trPr>
          <w:trHeight w:val="497"/>
          <w:jc w:val="center"/>
        </w:trPr>
        <w:tc>
          <w:tcPr>
            <w:tcW w:w="5954" w:type="dxa"/>
            <w:vAlign w:val="center"/>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lang w:val="es-ES" w:eastAsia="es-ES" w:bidi="ar-SA"/>
              </w:rPr>
            </w:pPr>
            <w:r w:rsidRPr="00A418DA">
              <w:rPr>
                <w:rFonts w:ascii="Arial" w:hAnsi="Arial" w:cs="Arial"/>
                <w:lang w:val="es-ES" w:eastAsia="es-ES" w:bidi="ar-SA"/>
              </w:rPr>
              <w:t>830004-83310-3910-000000 Ingresos por sanciones</w:t>
            </w:r>
          </w:p>
        </w:tc>
        <w:tc>
          <w:tcPr>
            <w:tcW w:w="1775" w:type="dxa"/>
            <w:vAlign w:val="center"/>
          </w:tcPr>
          <w:p w:rsidR="00A418DA" w:rsidRPr="00A418DA" w:rsidRDefault="00A418DA" w:rsidP="00A418DA">
            <w:pPr>
              <w:keepLines w:val="0"/>
              <w:tabs>
                <w:tab w:val="left" w:pos="709"/>
                <w:tab w:val="center" w:pos="3856"/>
              </w:tabs>
              <w:spacing w:before="40" w:after="40" w:line="240" w:lineRule="auto"/>
              <w:ind w:firstLine="0"/>
              <w:jc w:val="right"/>
              <w:textAlignment w:val="auto"/>
              <w:rPr>
                <w:rFonts w:ascii="Arial" w:hAnsi="Arial" w:cs="Arial"/>
                <w:lang w:val="es-ES" w:eastAsia="es-ES" w:bidi="ar-SA"/>
              </w:rPr>
            </w:pPr>
            <w:r w:rsidRPr="00A418DA">
              <w:rPr>
                <w:rFonts w:ascii="Arial" w:hAnsi="Arial" w:cs="Arial"/>
                <w:lang w:val="es-ES" w:eastAsia="es-ES" w:bidi="ar-SA"/>
              </w:rPr>
              <w:t>155.000,00</w:t>
            </w:r>
          </w:p>
        </w:tc>
      </w:tr>
    </w:tbl>
    <w:p w:rsidR="00A418DA" w:rsidRPr="00A418DA" w:rsidRDefault="00A418DA" w:rsidP="00B247AD">
      <w:pPr>
        <w:pStyle w:val="DICTA-TEXTO"/>
        <w:spacing w:before="240"/>
        <w:rPr>
          <w:lang w:bidi="es-ES"/>
        </w:rPr>
      </w:pPr>
      <w:r w:rsidRPr="00A418DA">
        <w:rPr>
          <w:b/>
          <w:lang w:bidi="es-ES"/>
        </w:rPr>
        <w:t>Disposición final única.</w:t>
      </w:r>
      <w:r w:rsidRPr="00A418DA">
        <w:rPr>
          <w:lang w:bidi="es-ES"/>
        </w:rPr>
        <w:t xml:space="preserve"> Entrada en vigor.</w:t>
      </w:r>
    </w:p>
    <w:p w:rsidR="00A418DA" w:rsidRPr="00A418DA" w:rsidRDefault="00A418DA" w:rsidP="00A418DA">
      <w:pPr>
        <w:pStyle w:val="DICTA-TEXTO"/>
        <w:rPr>
          <w:lang w:bidi="es-ES"/>
        </w:rPr>
      </w:pPr>
      <w:r w:rsidRPr="00A418DA">
        <w:rPr>
          <w:lang w:bidi="es-ES"/>
        </w:rPr>
        <w:t>La presente ley foral entrará en vigor el día siguiente al de su publicación en el Boletín Oficial de Navarra.</w:t>
      </w:r>
    </w:p>
    <w:sectPr w:rsidR="00A418DA" w:rsidRPr="00A418DA">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AE" w:rsidRDefault="001424AE">
      <w:r>
        <w:separator/>
      </w:r>
    </w:p>
  </w:endnote>
  <w:endnote w:type="continuationSeparator" w:id="0">
    <w:p w:rsidR="001424AE" w:rsidRDefault="0014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AE" w:rsidRDefault="001424AE">
      <w:r>
        <w:separator/>
      </w:r>
    </w:p>
  </w:footnote>
  <w:footnote w:type="continuationSeparator" w:id="0">
    <w:p w:rsidR="001424AE" w:rsidRDefault="00142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5063DD" w:rsidRDefault="00975A08" w:rsidP="005063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36"/>
    <w:rsid w:val="00113242"/>
    <w:rsid w:val="001424AE"/>
    <w:rsid w:val="00193036"/>
    <w:rsid w:val="001D5B6E"/>
    <w:rsid w:val="003401B5"/>
    <w:rsid w:val="003626C1"/>
    <w:rsid w:val="0043631B"/>
    <w:rsid w:val="005063DD"/>
    <w:rsid w:val="007D0FB1"/>
    <w:rsid w:val="00975A08"/>
    <w:rsid w:val="00A418DA"/>
    <w:rsid w:val="00B247AD"/>
    <w:rsid w:val="00C478EE"/>
    <w:rsid w:val="00E32F61"/>
    <w:rsid w:val="00EC61C4"/>
    <w:rsid w:val="00FC3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DA"/>
    <w:pPr>
      <w:keepLines/>
      <w:spacing w:after="113" w:line="230" w:lineRule="exact"/>
      <w:ind w:firstLine="283"/>
      <w:jc w:val="both"/>
      <w:textAlignment w:val="baseline"/>
    </w:pPr>
    <w:rPr>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keepLines w:val="0"/>
      <w:tabs>
        <w:tab w:val="left" w:pos="936"/>
      </w:tabs>
      <w:overflowPunct w:val="0"/>
      <w:autoSpaceDE w:val="0"/>
      <w:autoSpaceDN w:val="0"/>
      <w:adjustRightInd w:val="0"/>
      <w:spacing w:after="300" w:line="380" w:lineRule="exact"/>
      <w:ind w:firstLine="567"/>
    </w:pPr>
    <w:rPr>
      <w:sz w:val="26"/>
      <w:lang w:val="es-ES_tradnl" w:eastAsia="es-ES" w:bidi="ar-SA"/>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keepLines w:val="0"/>
      <w:tabs>
        <w:tab w:val="center" w:pos="4252"/>
        <w:tab w:val="right" w:pos="8504"/>
      </w:tabs>
      <w:overflowPunct w:val="0"/>
      <w:autoSpaceDE w:val="0"/>
      <w:autoSpaceDN w:val="0"/>
      <w:adjustRightInd w:val="0"/>
      <w:spacing w:after="0" w:line="240" w:lineRule="auto"/>
      <w:ind w:firstLine="0"/>
      <w:jc w:val="left"/>
    </w:pPr>
    <w:rPr>
      <w:sz w:val="26"/>
      <w:lang w:val="es-ES_tradnl" w:eastAsia="es-ES" w:bidi="ar-SA"/>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keepLines w:val="0"/>
      <w:overflowPunct w:val="0"/>
      <w:autoSpaceDE w:val="0"/>
      <w:autoSpaceDN w:val="0"/>
      <w:adjustRightInd w:val="0"/>
      <w:spacing w:after="0" w:line="240" w:lineRule="auto"/>
      <w:ind w:firstLine="0"/>
      <w:jc w:val="center"/>
    </w:pPr>
    <w:rPr>
      <w:rFonts w:ascii="Arial" w:hAnsi="Arial"/>
      <w:sz w:val="24"/>
      <w:lang w:val="es-ES_tradnl" w:eastAsia="es-ES" w:bidi="ar-SA"/>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keepLines w:val="0"/>
      <w:tabs>
        <w:tab w:val="left" w:pos="567"/>
        <w:tab w:val="left" w:pos="992"/>
      </w:tabs>
      <w:spacing w:after="300" w:line="340" w:lineRule="exact"/>
      <w:ind w:hanging="1559"/>
      <w:textAlignment w:val="auto"/>
    </w:pPr>
    <w:rPr>
      <w:rFonts w:ascii="Arial" w:hAnsi="Arial"/>
      <w:sz w:val="24"/>
      <w:lang w:val="es-ES" w:eastAsia="es-ES" w:bidi="ar-SA"/>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keepLines w:val="0"/>
      <w:tabs>
        <w:tab w:val="center" w:pos="4252"/>
        <w:tab w:val="right" w:pos="8504"/>
      </w:tabs>
      <w:spacing w:after="0" w:line="240" w:lineRule="auto"/>
      <w:ind w:firstLine="0"/>
      <w:jc w:val="left"/>
      <w:textAlignment w:val="auto"/>
    </w:pPr>
    <w:rPr>
      <w:sz w:val="24"/>
      <w:szCs w:val="24"/>
      <w:lang w:val="es-ES" w:eastAsia="es-ES" w:bidi="ar-SA"/>
    </w:r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418DA"/>
    <w:pPr>
      <w:keepLines w:val="0"/>
      <w:tabs>
        <w:tab w:val="left" w:pos="709"/>
        <w:tab w:val="center" w:pos="3856"/>
      </w:tabs>
      <w:spacing w:after="0" w:line="380" w:lineRule="atLeast"/>
      <w:ind w:firstLine="709"/>
      <w:textAlignment w:val="auto"/>
    </w:pPr>
    <w:rPr>
      <w:rFonts w:ascii="Courier New" w:hAnsi="Courier New"/>
      <w:sz w:val="24"/>
      <w:szCs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DA"/>
    <w:pPr>
      <w:keepLines/>
      <w:spacing w:after="113" w:line="230" w:lineRule="exact"/>
      <w:ind w:firstLine="283"/>
      <w:jc w:val="both"/>
      <w:textAlignment w:val="baseline"/>
    </w:pPr>
    <w:rPr>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keepLines w:val="0"/>
      <w:tabs>
        <w:tab w:val="left" w:pos="936"/>
      </w:tabs>
      <w:overflowPunct w:val="0"/>
      <w:autoSpaceDE w:val="0"/>
      <w:autoSpaceDN w:val="0"/>
      <w:adjustRightInd w:val="0"/>
      <w:spacing w:after="300" w:line="380" w:lineRule="exact"/>
      <w:ind w:firstLine="567"/>
    </w:pPr>
    <w:rPr>
      <w:sz w:val="26"/>
      <w:lang w:val="es-ES_tradnl" w:eastAsia="es-ES" w:bidi="ar-SA"/>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keepLines w:val="0"/>
      <w:tabs>
        <w:tab w:val="center" w:pos="4252"/>
        <w:tab w:val="right" w:pos="8504"/>
      </w:tabs>
      <w:overflowPunct w:val="0"/>
      <w:autoSpaceDE w:val="0"/>
      <w:autoSpaceDN w:val="0"/>
      <w:adjustRightInd w:val="0"/>
      <w:spacing w:after="0" w:line="240" w:lineRule="auto"/>
      <w:ind w:firstLine="0"/>
      <w:jc w:val="left"/>
    </w:pPr>
    <w:rPr>
      <w:sz w:val="26"/>
      <w:lang w:val="es-ES_tradnl" w:eastAsia="es-ES" w:bidi="ar-SA"/>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keepLines w:val="0"/>
      <w:overflowPunct w:val="0"/>
      <w:autoSpaceDE w:val="0"/>
      <w:autoSpaceDN w:val="0"/>
      <w:adjustRightInd w:val="0"/>
      <w:spacing w:after="0" w:line="240" w:lineRule="auto"/>
      <w:ind w:firstLine="0"/>
      <w:jc w:val="center"/>
    </w:pPr>
    <w:rPr>
      <w:rFonts w:ascii="Arial" w:hAnsi="Arial"/>
      <w:sz w:val="24"/>
      <w:lang w:val="es-ES_tradnl" w:eastAsia="es-ES" w:bidi="ar-SA"/>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keepLines w:val="0"/>
      <w:tabs>
        <w:tab w:val="left" w:pos="567"/>
        <w:tab w:val="left" w:pos="992"/>
      </w:tabs>
      <w:spacing w:after="300" w:line="340" w:lineRule="exact"/>
      <w:ind w:hanging="1559"/>
      <w:textAlignment w:val="auto"/>
    </w:pPr>
    <w:rPr>
      <w:rFonts w:ascii="Arial" w:hAnsi="Arial"/>
      <w:sz w:val="24"/>
      <w:lang w:val="es-ES" w:eastAsia="es-ES" w:bidi="ar-SA"/>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keepLines w:val="0"/>
      <w:tabs>
        <w:tab w:val="center" w:pos="4252"/>
        <w:tab w:val="right" w:pos="8504"/>
      </w:tabs>
      <w:spacing w:after="0" w:line="240" w:lineRule="auto"/>
      <w:ind w:firstLine="0"/>
      <w:jc w:val="left"/>
      <w:textAlignment w:val="auto"/>
    </w:pPr>
    <w:rPr>
      <w:sz w:val="24"/>
      <w:szCs w:val="24"/>
      <w:lang w:val="es-ES" w:eastAsia="es-ES" w:bidi="ar-SA"/>
    </w:r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418DA"/>
    <w:pPr>
      <w:keepLines w:val="0"/>
      <w:tabs>
        <w:tab w:val="left" w:pos="709"/>
        <w:tab w:val="center" w:pos="3856"/>
      </w:tabs>
      <w:spacing w:after="0" w:line="380" w:lineRule="atLeast"/>
      <w:ind w:firstLine="709"/>
      <w:textAlignment w:val="auto"/>
    </w:pPr>
    <w:rPr>
      <w:rFonts w:ascii="Courier New" w:hAnsi="Courier New"/>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3450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2019-12-05T07:40:00Z</dcterms:created>
  <dcterms:modified xsi:type="dcterms:W3CDTF">2019-12-05T07:40:00Z</dcterms:modified>
</cp:coreProperties>
</file>