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97FD" w14:textId="5FC51269" w:rsidR="00BB74CC" w:rsidRDefault="009573E3" w:rsidP="00C412F5">
      <w:pPr>
        <w:pStyle w:val="Textoindependiente"/>
        <w:spacing w:before="120" w:line="360" w:lineRule="auto"/>
        <w:rPr>
          <w:rFonts w:cs="Arial"/>
          <w:sz w:val="22"/>
          <w:szCs w:val="22"/>
        </w:rPr>
      </w:pPr>
      <w:bookmarkStart w:id="0" w:name="_GoBack"/>
      <w:bookmarkEnd w:id="0"/>
      <w:r>
        <w:rPr>
          <w:sz w:val="22"/>
          <w:szCs w:val="22"/>
        </w:rPr>
        <w:t xml:space="preserve">Navarra Suma Talde parlamentarioari atxikitako foru parlamentari Miguel Bujanda </w:t>
      </w:r>
      <w:proofErr w:type="spellStart"/>
      <w:r>
        <w:rPr>
          <w:sz w:val="22"/>
          <w:szCs w:val="22"/>
        </w:rPr>
        <w:t>Cirauqui</w:t>
      </w:r>
      <w:proofErr w:type="spellEnd"/>
      <w:r>
        <w:rPr>
          <w:sz w:val="22"/>
          <w:szCs w:val="22"/>
        </w:rPr>
        <w:t xml:space="preserve"> jaunak</w:t>
      </w:r>
      <w:bookmarkStart w:id="1" w:name="Listadesplegable5"/>
      <w:r>
        <w:rPr>
          <w:sz w:val="22"/>
          <w:szCs w:val="22"/>
        </w:rPr>
        <w:t xml:space="preserve"> </w:t>
      </w:r>
      <w:bookmarkEnd w:id="1"/>
      <w:r>
        <w:t xml:space="preserve"> </w:t>
      </w:r>
      <w:r>
        <w:rPr>
          <w:sz w:val="22"/>
          <w:szCs w:val="22"/>
        </w:rPr>
        <w:t xml:space="preserve">idatziz erantzuteko galdera bat egin du </w:t>
      </w:r>
      <w:r>
        <w:rPr>
          <w:b/>
          <w:sz w:val="22"/>
          <w:szCs w:val="22"/>
        </w:rPr>
        <w:t>(10-19-PES-00101</w:t>
      </w:r>
      <w:proofErr w:type="spellStart"/>
      <w:r>
        <w:rPr>
          <w:b/>
          <w:sz w:val="22"/>
          <w:szCs w:val="22"/>
        </w:rPr>
        <w:t>)</w:t>
      </w:r>
      <w:r>
        <w:t>.</w:t>
      </w:r>
      <w:proofErr w:type="spellEnd"/>
      <w:r>
        <w:t xml:space="preserve"> Hona hemen Landa Garapeneko eta Ingurumeneko kontseilariaren erantzuna</w:t>
      </w:r>
      <w:r>
        <w:rPr>
          <w:sz w:val="22"/>
          <w:szCs w:val="22"/>
        </w:rPr>
        <w:t>:</w:t>
      </w:r>
    </w:p>
    <w:p w14:paraId="43BCC04F" w14:textId="1F19BA7A" w:rsidR="00FD3C86" w:rsidRPr="004E79EA" w:rsidRDefault="00FD3C86" w:rsidP="004E79EA">
      <w:pPr>
        <w:spacing w:before="120" w:after="120" w:line="360" w:lineRule="auto"/>
        <w:jc w:val="both"/>
        <w:rPr>
          <w:rFonts w:ascii="Arial" w:hAnsi="Arial" w:cs="Arial"/>
          <w:b/>
          <w:sz w:val="22"/>
          <w:szCs w:val="22"/>
        </w:rPr>
      </w:pPr>
      <w:r>
        <w:rPr>
          <w:rFonts w:ascii="Arial" w:hAnsi="Arial"/>
          <w:b/>
          <w:sz w:val="22"/>
          <w:szCs w:val="22"/>
        </w:rPr>
        <w:t>Nafarroako Ubidearen 1. fasea handitzeko proiektutik zergatik desagertu da Mendabiako ureztaketa-eremu osagarria?</w:t>
      </w:r>
    </w:p>
    <w:p w14:paraId="63CACB38"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 xml:space="preserve">Ez dago Nafarroako ubidearen 1. fasearen zabalpeneko eremu ureztagarriaren proiekturik; proiektuak zabalpen horren sektore edo eremu bakoitzerako egiten dira. 1. fasearen zabalpeneko eremu ureztagarrian </w:t>
      </w:r>
      <w:proofErr w:type="spellStart"/>
      <w:r>
        <w:rPr>
          <w:rFonts w:ascii="Arial" w:hAnsi="Arial"/>
          <w:sz w:val="22"/>
          <w:szCs w:val="22"/>
        </w:rPr>
        <w:t>—Gobernuaren</w:t>
      </w:r>
      <w:proofErr w:type="spellEnd"/>
      <w:r>
        <w:rPr>
          <w:rFonts w:ascii="Arial" w:hAnsi="Arial"/>
          <w:sz w:val="22"/>
          <w:szCs w:val="22"/>
        </w:rPr>
        <w:t xml:space="preserve"> 2013ko irailaren 25eko Erabakiaren bidez onetsi </w:t>
      </w:r>
      <w:proofErr w:type="spellStart"/>
      <w:r>
        <w:rPr>
          <w:rFonts w:ascii="Arial" w:hAnsi="Arial"/>
          <w:sz w:val="22"/>
          <w:szCs w:val="22"/>
        </w:rPr>
        <w:t>zen—</w:t>
      </w:r>
      <w:proofErr w:type="spellEnd"/>
      <w:r>
        <w:rPr>
          <w:rFonts w:ascii="Arial" w:hAnsi="Arial"/>
          <w:sz w:val="22"/>
          <w:szCs w:val="22"/>
        </w:rPr>
        <w:t xml:space="preserve"> ez da azalerarik ageri Mendabiako udal barrutian.</w:t>
      </w:r>
    </w:p>
    <w:p w14:paraId="2478D350"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Nafarroako Gobernuaren 2019ko martxoaren 27ko Erabakiaren bidez (</w:t>
      </w:r>
      <w:r>
        <w:rPr>
          <w:rFonts w:ascii="Arial" w:hAnsi="Arial"/>
          <w:b/>
          <w:sz w:val="22"/>
          <w:szCs w:val="22"/>
        </w:rPr>
        <w:t xml:space="preserve">2019ko maiatzaren 20ko 96. </w:t>
      </w:r>
      <w:proofErr w:type="spellStart"/>
      <w:r>
        <w:rPr>
          <w:rFonts w:ascii="Arial" w:hAnsi="Arial"/>
          <w:b/>
          <w:sz w:val="22"/>
          <w:szCs w:val="22"/>
        </w:rPr>
        <w:t>NAO</w:t>
      </w:r>
      <w:r>
        <w:rPr>
          <w:rFonts w:ascii="Arial" w:hAnsi="Arial"/>
          <w:sz w:val="22"/>
          <w:szCs w:val="22"/>
        </w:rPr>
        <w:t>n</w:t>
      </w:r>
      <w:proofErr w:type="spellEnd"/>
      <w:r>
        <w:rPr>
          <w:rFonts w:ascii="Arial" w:hAnsi="Arial"/>
          <w:sz w:val="22"/>
          <w:szCs w:val="22"/>
        </w:rPr>
        <w:t xml:space="preserve"> argitaratu </w:t>
      </w:r>
      <w:proofErr w:type="spellStart"/>
      <w:r>
        <w:rPr>
          <w:rFonts w:ascii="Arial" w:hAnsi="Arial"/>
          <w:sz w:val="22"/>
          <w:szCs w:val="22"/>
        </w:rPr>
        <w:t>zen),“Nafarroako</w:t>
      </w:r>
      <w:proofErr w:type="spellEnd"/>
      <w:r>
        <w:rPr>
          <w:rFonts w:ascii="Arial" w:hAnsi="Arial"/>
          <w:sz w:val="22"/>
          <w:szCs w:val="22"/>
        </w:rPr>
        <w:t xml:space="preserve"> Ubidearen eta haren eremu ureztagarriaren 1. fasea handitzeko Udalez gaindiko Proiektu Sektoriala” aldatzeko espedientea onetsi zen. Proiektu hori eremu osagarriei buruzkoa da, eta Landa Garapeneko, Nekazaritzako eta Abeltzaintzako Zuzendaritza Nagusiak sustatu zuen. Proiektuan jasota dago Mendabiako udal barrutian 487 </w:t>
      </w:r>
      <w:proofErr w:type="spellStart"/>
      <w:r>
        <w:rPr>
          <w:rFonts w:ascii="Arial" w:hAnsi="Arial"/>
          <w:sz w:val="22"/>
          <w:szCs w:val="22"/>
        </w:rPr>
        <w:t>Ha-ko</w:t>
      </w:r>
      <w:proofErr w:type="spellEnd"/>
      <w:r>
        <w:rPr>
          <w:rFonts w:ascii="Arial" w:hAnsi="Arial"/>
          <w:sz w:val="22"/>
          <w:szCs w:val="22"/>
        </w:rPr>
        <w:t xml:space="preserve"> azalera bat ureztalur bihurtzea.</w:t>
      </w:r>
    </w:p>
    <w:p w14:paraId="61681498"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Txostenen III.8 atalean honako hau ezartzen da Mendabiako eremu osagarrirako:</w:t>
      </w:r>
    </w:p>
    <w:p w14:paraId="032ACB08"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“2018ko apirilaren 9ko txostenean, Ebroko Konfederazio Hidrografikoak honako hau adierazi zuen:</w:t>
      </w:r>
    </w:p>
    <w:p w14:paraId="727ABF2C" w14:textId="77777777" w:rsidR="00BB74CC" w:rsidRDefault="00FD3C86" w:rsidP="004E79EA">
      <w:pPr>
        <w:spacing w:before="120" w:after="120" w:line="360" w:lineRule="auto"/>
        <w:jc w:val="both"/>
        <w:rPr>
          <w:rFonts w:ascii="Arial" w:hAnsi="Arial" w:cs="Arial"/>
          <w:sz w:val="22"/>
          <w:szCs w:val="22"/>
        </w:rPr>
      </w:pPr>
      <w:proofErr w:type="spellStart"/>
      <w:r>
        <w:rPr>
          <w:rFonts w:ascii="Arial" w:hAnsi="Arial"/>
          <w:sz w:val="22"/>
          <w:szCs w:val="22"/>
        </w:rPr>
        <w:t>B.–Ur</w:t>
      </w:r>
      <w:proofErr w:type="spellEnd"/>
      <w:r>
        <w:rPr>
          <w:rFonts w:ascii="Arial" w:hAnsi="Arial"/>
          <w:sz w:val="22"/>
          <w:szCs w:val="22"/>
        </w:rPr>
        <w:t xml:space="preserve"> eskari berriei dagokienez, jakinarazi zuen aldaketan sartutako jarduketak, Allo eta Mendabiako mugarteetan kokatutakoak izan ezik, babestuta daudela funtsezko ezaugarriak aldatzeko 2015eko urriaren 29ko ebazpenean ezarritako jabari erreserban, alegia, Irati ibaiko urteko 117,011 </w:t>
      </w:r>
      <w:proofErr w:type="spellStart"/>
      <w:r>
        <w:rPr>
          <w:rFonts w:ascii="Arial" w:hAnsi="Arial"/>
          <w:sz w:val="22"/>
          <w:szCs w:val="22"/>
        </w:rPr>
        <w:t>hm³-ko</w:t>
      </w:r>
      <w:proofErr w:type="spellEnd"/>
      <w:r>
        <w:rPr>
          <w:rFonts w:ascii="Arial" w:hAnsi="Arial"/>
          <w:sz w:val="22"/>
          <w:szCs w:val="22"/>
        </w:rPr>
        <w:t xml:space="preserve"> erreserban, Itoizko urtegian, Nafarroako Ubidearen eremu ureztagarriko gainerako eremuen alde. Hala ere, adierazi zuten kontzesioaren titularrak, Nafarroako Ubideko ureztatzaileen elkarteak, ezaugarriak aldatzeko eskaera bete behar duela, eta dokumentazioa erantsi, azalera ureztagarri berria eta ureztaketa hori ahalbidetzen duten azpiegiturak deskribatzeko, bereziki jabari publiko hidraulikoaren gaineko ukipenari dagokionez. Eskaera horretan, Allo eta Mendabia barnean hartzeko eskatu beharko da."</w:t>
      </w:r>
    </w:p>
    <w:p w14:paraId="63D8D655" w14:textId="3FBA8B31"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Eta Erabakiaren 2. puntuak honako hau ezartzen du:</w:t>
      </w:r>
    </w:p>
    <w:p w14:paraId="650167FF"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 xml:space="preserve">"2. Alloko eta Mendabiako mugarteetan kokatutako jarduketak kanpoan geratzen dira, Ebroko Konfederazio Hidrografikoaren 2018ko apirilaren 9ko txostenarekin bat etorriz. Hala badagokio, berriz ere tramitatu beharko dira kontzesioaren titularrak lortzen duenean </w:t>
      </w:r>
      <w:r>
        <w:rPr>
          <w:rFonts w:ascii="Arial" w:hAnsi="Arial"/>
          <w:sz w:val="22"/>
          <w:szCs w:val="22"/>
        </w:rPr>
        <w:lastRenderedPageBreak/>
        <w:t>jarduketa horiek Nafarroako Ubidearen eremu ureztagarriaren alde ezarritako jabari erreserban sartzea.</w:t>
      </w:r>
    </w:p>
    <w:p w14:paraId="3A45DE65" w14:textId="77777777" w:rsidR="00FD3C86" w:rsidRPr="004E79EA" w:rsidRDefault="00FD3C86" w:rsidP="004E79EA">
      <w:pPr>
        <w:spacing w:before="120" w:after="120" w:line="360" w:lineRule="auto"/>
        <w:jc w:val="both"/>
        <w:rPr>
          <w:rFonts w:ascii="Arial" w:hAnsi="Arial" w:cs="Arial"/>
          <w:b/>
          <w:sz w:val="22"/>
          <w:szCs w:val="22"/>
        </w:rPr>
      </w:pPr>
      <w:r>
        <w:rPr>
          <w:rFonts w:ascii="Arial" w:hAnsi="Arial"/>
          <w:b/>
          <w:sz w:val="22"/>
          <w:szCs w:val="22"/>
        </w:rPr>
        <w:t xml:space="preserve">Zertan dira lehen fasea handitzearen </w:t>
      </w:r>
      <w:proofErr w:type="spellStart"/>
      <w:r>
        <w:rPr>
          <w:rFonts w:ascii="Arial" w:hAnsi="Arial"/>
          <w:b/>
          <w:sz w:val="22"/>
          <w:szCs w:val="22"/>
        </w:rPr>
        <w:t>lurzati-berrantolamenduak</w:t>
      </w:r>
      <w:proofErr w:type="spellEnd"/>
      <w:r>
        <w:rPr>
          <w:rFonts w:ascii="Arial" w:hAnsi="Arial"/>
          <w:b/>
          <w:sz w:val="22"/>
          <w:szCs w:val="22"/>
        </w:rPr>
        <w:t xml:space="preserve">? Zenbat daude bukatu gabe? Zenbat eta zergatik daude geldirik? Zergatik da salbuespena Sesmakoa, zeina departamentuak izapidetzeke dauzkan gainontzeko </w:t>
      </w:r>
      <w:proofErr w:type="spellStart"/>
      <w:r>
        <w:rPr>
          <w:rFonts w:ascii="Arial" w:hAnsi="Arial"/>
          <w:b/>
          <w:sz w:val="22"/>
          <w:szCs w:val="22"/>
        </w:rPr>
        <w:t>lurzati-berrantolamenduak</w:t>
      </w:r>
      <w:proofErr w:type="spellEnd"/>
      <w:r>
        <w:rPr>
          <w:rFonts w:ascii="Arial" w:hAnsi="Arial"/>
          <w:b/>
          <w:sz w:val="22"/>
          <w:szCs w:val="22"/>
        </w:rPr>
        <w:t xml:space="preserve"> baino lehenago bukatu baita?</w:t>
      </w:r>
    </w:p>
    <w:p w14:paraId="13F94722"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 xml:space="preserve">Honako taula honetan eskatutako informazioa erantsi da, Nafarroako Ubidearen 1. fasearen zabalpeneko ureztatu daitekeen eremuko </w:t>
      </w:r>
      <w:proofErr w:type="spellStart"/>
      <w:r>
        <w:rPr>
          <w:rFonts w:ascii="Arial" w:hAnsi="Arial"/>
          <w:sz w:val="22"/>
          <w:szCs w:val="22"/>
        </w:rPr>
        <w:t>lurzatien</w:t>
      </w:r>
      <w:proofErr w:type="spellEnd"/>
      <w:r>
        <w:rPr>
          <w:rFonts w:ascii="Arial" w:hAnsi="Arial"/>
          <w:sz w:val="22"/>
          <w:szCs w:val="22"/>
        </w:rPr>
        <w:t xml:space="preserve"> kontzentrazio-eremuen egoerarekin.</w:t>
      </w:r>
    </w:p>
    <w:p w14:paraId="462E1195" w14:textId="55045F61" w:rsidR="00FD3C86" w:rsidRPr="004E79EA" w:rsidRDefault="00FD3C86" w:rsidP="004E79EA">
      <w:pPr>
        <w:spacing w:before="120" w:after="120" w:line="360" w:lineRule="auto"/>
        <w:rPr>
          <w:rFonts w:ascii="Arial" w:hAnsi="Arial" w:cs="Arial"/>
          <w:sz w:val="22"/>
          <w:szCs w:val="22"/>
        </w:rPr>
      </w:pPr>
      <w:r>
        <w:rPr>
          <w:rFonts w:ascii="Arial" w:hAnsi="Arial"/>
          <w:noProof/>
          <w:sz w:val="22"/>
          <w:szCs w:val="22"/>
          <w:lang w:val="es-ES"/>
        </w:rPr>
        <w:drawing>
          <wp:inline distT="0" distB="0" distL="0" distR="0" wp14:anchorId="78BB47C1" wp14:editId="499ADC5B">
            <wp:extent cx="5391150" cy="2105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150" cy="2105025"/>
                    </a:xfrm>
                    <a:prstGeom prst="rect">
                      <a:avLst/>
                    </a:prstGeom>
                    <a:noFill/>
                    <a:ln>
                      <a:noFill/>
                    </a:ln>
                  </pic:spPr>
                </pic:pic>
              </a:graphicData>
            </a:graphic>
          </wp:inline>
        </w:drawing>
      </w:r>
    </w:p>
    <w:p w14:paraId="165CEEA2" w14:textId="77777777" w:rsidR="00FD3C86" w:rsidRPr="004E79EA" w:rsidRDefault="00FD3C86" w:rsidP="004E79EA">
      <w:pPr>
        <w:spacing w:before="120" w:after="120" w:line="360" w:lineRule="auto"/>
        <w:rPr>
          <w:rFonts w:ascii="Arial" w:hAnsi="Arial" w:cs="Arial"/>
          <w:sz w:val="22"/>
          <w:szCs w:val="22"/>
          <w:u w:val="thick"/>
        </w:rPr>
      </w:pPr>
      <w:r>
        <w:rPr>
          <w:rFonts w:ascii="Arial" w:hAnsi="Arial"/>
          <w:sz w:val="22"/>
          <w:szCs w:val="22"/>
          <w:u w:val="thick"/>
        </w:rPr>
        <w:t>EGA 3 Sektoreko (Sesma) ingurumen-izapidetzea</w:t>
      </w:r>
    </w:p>
    <w:p w14:paraId="35A0E687"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 xml:space="preserve">Sektore honen berezitasuna dela eta, gazitasun eta igeltsuen presentziagatiko muga </w:t>
      </w:r>
      <w:proofErr w:type="spellStart"/>
      <w:r>
        <w:rPr>
          <w:rFonts w:ascii="Arial" w:hAnsi="Arial"/>
          <w:sz w:val="22"/>
          <w:szCs w:val="22"/>
        </w:rPr>
        <w:t>edafikoekin</w:t>
      </w:r>
      <w:proofErr w:type="spellEnd"/>
      <w:r>
        <w:rPr>
          <w:rFonts w:ascii="Arial" w:hAnsi="Arial"/>
          <w:sz w:val="22"/>
          <w:szCs w:val="22"/>
        </w:rPr>
        <w:t xml:space="preserve">, eta zati handi batean Sesmako gatzunera isurtzen duen arroaren barruan dauden laboreekin, 2015etik aurrera hainbat aukera aurkeztu ziren, harik eta, azkenean, Plangintza Estrategikoaren Atalaren txostenak eman ondoren, abelbideen afekzioei dagokienez, eta Erdialdeko eta Erriberako Eskualdeko Kudeaketa Atalaren txostenak eman ondoren, estepako hegazti-faunari, funtzionamenduari, maila hidrikoei eta Salobreko </w:t>
      </w:r>
      <w:proofErr w:type="spellStart"/>
      <w:r>
        <w:rPr>
          <w:rFonts w:ascii="Arial" w:hAnsi="Arial"/>
          <w:sz w:val="22"/>
          <w:szCs w:val="22"/>
        </w:rPr>
        <w:t>hezegunearen</w:t>
      </w:r>
      <w:proofErr w:type="spellEnd"/>
      <w:r>
        <w:rPr>
          <w:rFonts w:ascii="Arial" w:hAnsi="Arial"/>
          <w:sz w:val="22"/>
          <w:szCs w:val="22"/>
        </w:rPr>
        <w:t xml:space="preserve"> uraren kalitateari dagokienez, 2018ko martxoaren 23an, Ingurumenaren eta Paisaiaren Inpaktuaren Atalak txosten bat egin zuen, eta eskatu zuen Ingurumen Inpaktuaren Azterlanean inguruko ureztaketen eragin metagarriei azterlana jasotzeko.</w:t>
      </w:r>
    </w:p>
    <w:p w14:paraId="78B898D7"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 xml:space="preserve">Ingurumen-inpaktuaren azterlana 2018ko maiatzaren 7an argitaratu zen </w:t>
      </w:r>
      <w:proofErr w:type="spellStart"/>
      <w:r>
        <w:rPr>
          <w:rFonts w:ascii="Arial" w:hAnsi="Arial"/>
          <w:sz w:val="22"/>
          <w:szCs w:val="22"/>
        </w:rPr>
        <w:t>NAOn</w:t>
      </w:r>
      <w:proofErr w:type="spellEnd"/>
      <w:r>
        <w:rPr>
          <w:rFonts w:ascii="Arial" w:hAnsi="Arial"/>
          <w:sz w:val="22"/>
          <w:szCs w:val="22"/>
        </w:rPr>
        <w:t>, eta jendaurrean jarri zen.</w:t>
      </w:r>
    </w:p>
    <w:p w14:paraId="5CCC5B1A"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2018ko abenduaren 17an, ingurumen-eraginei buruzko txostenaren proposamena idatzi zen, sustatzaileari entzuteko.</w:t>
      </w:r>
    </w:p>
    <w:p w14:paraId="26CFDCF9"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Hainbat bilera, iradokizun eta bateratze-lan egin ondoren, Lurralde eta Paisaia Zerbitzuak ingurumen-eraginen behin betiko txostena egin zuen 2019ko abuztuaren 28an.</w:t>
      </w:r>
    </w:p>
    <w:p w14:paraId="61899BA5" w14:textId="77777777" w:rsidR="00FD3C86" w:rsidRPr="004E79EA" w:rsidRDefault="00FD3C86" w:rsidP="004E79EA">
      <w:pPr>
        <w:spacing w:before="120" w:after="120" w:line="360" w:lineRule="auto"/>
        <w:rPr>
          <w:rFonts w:ascii="Arial" w:hAnsi="Arial" w:cs="Arial"/>
          <w:sz w:val="22"/>
          <w:szCs w:val="22"/>
          <w:u w:val="thick"/>
        </w:rPr>
      </w:pPr>
      <w:r>
        <w:rPr>
          <w:rFonts w:ascii="Arial" w:hAnsi="Arial"/>
          <w:sz w:val="22"/>
          <w:szCs w:val="22"/>
          <w:u w:val="thick"/>
        </w:rPr>
        <w:t xml:space="preserve">Ega 6 (Andosilla) eta Ega 7b (San </w:t>
      </w:r>
      <w:proofErr w:type="spellStart"/>
      <w:r>
        <w:rPr>
          <w:rFonts w:ascii="Arial" w:hAnsi="Arial"/>
          <w:sz w:val="22"/>
          <w:szCs w:val="22"/>
          <w:u w:val="thick"/>
        </w:rPr>
        <w:t>Adrián)</w:t>
      </w:r>
      <w:proofErr w:type="spellEnd"/>
      <w:r>
        <w:rPr>
          <w:rFonts w:ascii="Arial" w:hAnsi="Arial"/>
          <w:sz w:val="22"/>
          <w:szCs w:val="22"/>
          <w:u w:val="thick"/>
        </w:rPr>
        <w:t xml:space="preserve"> sektoreetako ingurumen-izapidetzea</w:t>
      </w:r>
    </w:p>
    <w:p w14:paraId="624A08B5"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lastRenderedPageBreak/>
        <w:t>Bai Ega 6 eta bai Ega 7b-n, estepako faunari buruzko datuak eguneratzeko azterlan bat eskatu da, bai eta beste azterlan bat ere, estepako fauna horri eragin diezaioketen beste proiektu batzuk (ureztatze berriak, haize-sorgailuak, etab.) gauzatzeak izan ditzakeen eragin metagarriak ebaluatzeko. Horrez gain, paisaia-azterlan bat ere egin da, dibertsitatea handitzeari begira.</w:t>
      </w:r>
    </w:p>
    <w:p w14:paraId="365936DA"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2017ko urtarrilaren 23an, Ega 7b-</w:t>
      </w:r>
      <w:proofErr w:type="spellStart"/>
      <w:r>
        <w:rPr>
          <w:rFonts w:ascii="Arial" w:hAnsi="Arial"/>
          <w:sz w:val="22"/>
          <w:szCs w:val="22"/>
        </w:rPr>
        <w:t>ren</w:t>
      </w:r>
      <w:proofErr w:type="spellEnd"/>
      <w:r>
        <w:rPr>
          <w:rFonts w:ascii="Arial" w:hAnsi="Arial"/>
          <w:sz w:val="22"/>
          <w:szCs w:val="22"/>
        </w:rPr>
        <w:t xml:space="preserve"> ingurumen-inpaktuaren azterlana argitaratu zen, eta jendaurrean jarri zen.</w:t>
      </w:r>
    </w:p>
    <w:p w14:paraId="106F943C" w14:textId="77777777" w:rsidR="00FD3C86" w:rsidRPr="004E79EA" w:rsidRDefault="00FD3C86" w:rsidP="004E79EA">
      <w:pPr>
        <w:spacing w:before="120" w:after="120" w:line="360" w:lineRule="auto"/>
        <w:jc w:val="both"/>
        <w:rPr>
          <w:rFonts w:ascii="Arial" w:hAnsi="Arial" w:cs="Arial"/>
          <w:sz w:val="22"/>
          <w:szCs w:val="22"/>
        </w:rPr>
      </w:pPr>
      <w:r>
        <w:rPr>
          <w:rFonts w:ascii="Arial" w:hAnsi="Arial"/>
          <w:sz w:val="22"/>
          <w:szCs w:val="22"/>
        </w:rPr>
        <w:t>2017ko ekainaren 20an, entzunaldi-izapiderako ingurumen-eraginei buruzko txostenaren proposamena idatzi zen, eta 2017ko urriaren 4an, Lurralde eta Paisaia Zerbitzuak ingurumen-eraginei buruzko txostena egin zuen.</w:t>
      </w:r>
    </w:p>
    <w:p w14:paraId="5C4A906D" w14:textId="77777777" w:rsidR="00BB74CC" w:rsidRDefault="00FD3C86" w:rsidP="004E79EA">
      <w:pPr>
        <w:spacing w:before="120" w:after="120" w:line="360" w:lineRule="auto"/>
        <w:jc w:val="both"/>
        <w:rPr>
          <w:rFonts w:ascii="Arial" w:hAnsi="Arial" w:cs="Arial"/>
          <w:sz w:val="22"/>
          <w:szCs w:val="22"/>
        </w:rPr>
      </w:pPr>
      <w:r>
        <w:rPr>
          <w:rFonts w:ascii="Arial" w:hAnsi="Arial"/>
          <w:sz w:val="22"/>
          <w:szCs w:val="22"/>
        </w:rPr>
        <w:t>2019ko urriaren 10ean, Ega 6ko ingurumen-inpaktuaren azterlana argitaratu zen, eta jendaurrean jarri zen. Ingurumen-eraginen txostenaren zain gaude.</w:t>
      </w:r>
    </w:p>
    <w:p w14:paraId="3FF3B62D" w14:textId="77777777" w:rsidR="00BB74CC" w:rsidRDefault="00E44044" w:rsidP="004E79EA">
      <w:pPr>
        <w:spacing w:before="120" w:after="120" w:line="360" w:lineRule="auto"/>
        <w:jc w:val="center"/>
        <w:rPr>
          <w:rFonts w:ascii="Arial" w:hAnsi="Arial" w:cs="Arial"/>
          <w:sz w:val="22"/>
          <w:szCs w:val="22"/>
        </w:rPr>
      </w:pPr>
      <w:r>
        <w:rPr>
          <w:rFonts w:ascii="Arial" w:hAnsi="Arial"/>
          <w:sz w:val="22"/>
          <w:szCs w:val="22"/>
        </w:rPr>
        <w:t>Iruñean, 2019ko azaroaren 4an</w:t>
      </w:r>
    </w:p>
    <w:p w14:paraId="2DA86058" w14:textId="25CCD8DC" w:rsidR="00BB74CC" w:rsidRDefault="00BB74CC" w:rsidP="004E79EA">
      <w:pPr>
        <w:spacing w:before="120" w:after="120" w:line="360" w:lineRule="auto"/>
        <w:jc w:val="center"/>
        <w:rPr>
          <w:rFonts w:ascii="Arial" w:hAnsi="Arial" w:cs="Arial"/>
          <w:sz w:val="22"/>
          <w:szCs w:val="22"/>
        </w:rPr>
      </w:pPr>
      <w:r>
        <w:rPr>
          <w:sz w:val="22"/>
          <w:szCs w:val="22"/>
        </w:rPr>
        <w:t>Landa Garapeneko eta Ingurumeneko kontseilaria:</w:t>
      </w:r>
      <w:r>
        <w:rPr>
          <w:rFonts w:ascii="Arial" w:hAnsi="Arial"/>
          <w:sz w:val="22"/>
          <w:szCs w:val="22"/>
        </w:rPr>
        <w:t xml:space="preserve"> Itziar </w:t>
      </w:r>
      <w:proofErr w:type="spellStart"/>
      <w:r>
        <w:rPr>
          <w:rFonts w:ascii="Arial" w:hAnsi="Arial"/>
          <w:sz w:val="22"/>
          <w:szCs w:val="22"/>
        </w:rPr>
        <w:t>Gómez</w:t>
      </w:r>
      <w:proofErr w:type="spellEnd"/>
      <w:r>
        <w:rPr>
          <w:rFonts w:ascii="Arial" w:hAnsi="Arial"/>
          <w:sz w:val="22"/>
          <w:szCs w:val="22"/>
        </w:rPr>
        <w:t xml:space="preserve"> </w:t>
      </w:r>
      <w:proofErr w:type="spellStart"/>
      <w:r>
        <w:rPr>
          <w:rFonts w:ascii="Arial" w:hAnsi="Arial"/>
          <w:sz w:val="22"/>
          <w:szCs w:val="22"/>
        </w:rPr>
        <w:t>López</w:t>
      </w:r>
      <w:proofErr w:type="spellEnd"/>
    </w:p>
    <w:sectPr w:rsidR="00BB74CC" w:rsidSect="00F008A3">
      <w:headerReference w:type="default" r:id="rId13"/>
      <w:footerReference w:type="first" r:id="rId14"/>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AF8" w14:textId="77777777" w:rsidR="00B80337" w:rsidRDefault="00B80337">
      <w:r>
        <w:separator/>
      </w:r>
    </w:p>
  </w:endnote>
  <w:endnote w:type="continuationSeparator" w:id="0">
    <w:p w14:paraId="21EEE014" w14:textId="77777777" w:rsidR="00B80337" w:rsidRDefault="00B8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1D0E" w14:textId="0936D993" w:rsidR="0051364C" w:rsidRPr="00124D6B" w:rsidRDefault="0051364C" w:rsidP="0051364C">
    <w:pPr>
      <w:pStyle w:val="Piedepgina"/>
      <w:rPr>
        <w:sz w:val="14"/>
        <w:szCs w:val="14"/>
      </w:rPr>
    </w:pPr>
    <w:r>
      <w:tab/>
    </w:r>
  </w:p>
  <w:p w14:paraId="42BE1D0F" w14:textId="77777777"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55714" w14:textId="77777777" w:rsidR="00B80337" w:rsidRDefault="00B80337">
      <w:r>
        <w:separator/>
      </w:r>
    </w:p>
  </w:footnote>
  <w:footnote w:type="continuationSeparator" w:id="0">
    <w:p w14:paraId="4ACFD0DC" w14:textId="77777777" w:rsidR="00B80337" w:rsidRDefault="00B8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1CF8" w14:textId="77777777"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0"/>
  </w:num>
  <w:num w:numId="5">
    <w:abstractNumId w:val="8"/>
  </w:num>
  <w:num w:numId="6">
    <w:abstractNumId w:val="3"/>
  </w:num>
  <w:num w:numId="7">
    <w:abstractNumId w:val="9"/>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62111"/>
    <w:rsid w:val="001873FB"/>
    <w:rsid w:val="001D3AA7"/>
    <w:rsid w:val="001E2EDF"/>
    <w:rsid w:val="002364F6"/>
    <w:rsid w:val="002A7F52"/>
    <w:rsid w:val="002B0435"/>
    <w:rsid w:val="002C487D"/>
    <w:rsid w:val="002D7F3F"/>
    <w:rsid w:val="002F09BF"/>
    <w:rsid w:val="0030333F"/>
    <w:rsid w:val="00335D98"/>
    <w:rsid w:val="00354E75"/>
    <w:rsid w:val="0037010A"/>
    <w:rsid w:val="003C6DE3"/>
    <w:rsid w:val="003F202A"/>
    <w:rsid w:val="004036F1"/>
    <w:rsid w:val="0041058C"/>
    <w:rsid w:val="00440B04"/>
    <w:rsid w:val="00453C47"/>
    <w:rsid w:val="0046104F"/>
    <w:rsid w:val="00475628"/>
    <w:rsid w:val="004E12F7"/>
    <w:rsid w:val="004E79EA"/>
    <w:rsid w:val="004F4DAA"/>
    <w:rsid w:val="0051364C"/>
    <w:rsid w:val="00592A62"/>
    <w:rsid w:val="005D18F1"/>
    <w:rsid w:val="005D420C"/>
    <w:rsid w:val="00612F2B"/>
    <w:rsid w:val="006415DD"/>
    <w:rsid w:val="006620EA"/>
    <w:rsid w:val="006C3F95"/>
    <w:rsid w:val="006E3228"/>
    <w:rsid w:val="00710131"/>
    <w:rsid w:val="0073583F"/>
    <w:rsid w:val="007751A2"/>
    <w:rsid w:val="007D3B60"/>
    <w:rsid w:val="00807388"/>
    <w:rsid w:val="00842199"/>
    <w:rsid w:val="008501A8"/>
    <w:rsid w:val="00862504"/>
    <w:rsid w:val="00886558"/>
    <w:rsid w:val="00892F85"/>
    <w:rsid w:val="008932F8"/>
    <w:rsid w:val="008E7325"/>
    <w:rsid w:val="00901293"/>
    <w:rsid w:val="009222E1"/>
    <w:rsid w:val="00933A3F"/>
    <w:rsid w:val="009573E3"/>
    <w:rsid w:val="00966998"/>
    <w:rsid w:val="0099134F"/>
    <w:rsid w:val="00A526BF"/>
    <w:rsid w:val="00A52CE4"/>
    <w:rsid w:val="00A572B9"/>
    <w:rsid w:val="00AA4C9C"/>
    <w:rsid w:val="00B80337"/>
    <w:rsid w:val="00B8751E"/>
    <w:rsid w:val="00BA2B0D"/>
    <w:rsid w:val="00BA3258"/>
    <w:rsid w:val="00BB0277"/>
    <w:rsid w:val="00BB74CC"/>
    <w:rsid w:val="00BD7FDC"/>
    <w:rsid w:val="00BE0C7D"/>
    <w:rsid w:val="00BE0E56"/>
    <w:rsid w:val="00BF26FD"/>
    <w:rsid w:val="00BF58BB"/>
    <w:rsid w:val="00C0086A"/>
    <w:rsid w:val="00C1268A"/>
    <w:rsid w:val="00C14281"/>
    <w:rsid w:val="00C412F5"/>
    <w:rsid w:val="00C75BB9"/>
    <w:rsid w:val="00C8136E"/>
    <w:rsid w:val="00CC082F"/>
    <w:rsid w:val="00CE2258"/>
    <w:rsid w:val="00CE3A5E"/>
    <w:rsid w:val="00D32628"/>
    <w:rsid w:val="00D56BC4"/>
    <w:rsid w:val="00D81ABA"/>
    <w:rsid w:val="00D81E4B"/>
    <w:rsid w:val="00D92403"/>
    <w:rsid w:val="00DA210E"/>
    <w:rsid w:val="00DC4813"/>
    <w:rsid w:val="00DC4FB9"/>
    <w:rsid w:val="00E16985"/>
    <w:rsid w:val="00E320CB"/>
    <w:rsid w:val="00E44044"/>
    <w:rsid w:val="00E638E1"/>
    <w:rsid w:val="00E76CF6"/>
    <w:rsid w:val="00E85304"/>
    <w:rsid w:val="00E9767F"/>
    <w:rsid w:val="00EB02C9"/>
    <w:rsid w:val="00EC430E"/>
    <w:rsid w:val="00EF6384"/>
    <w:rsid w:val="00F008A3"/>
    <w:rsid w:val="00F0596D"/>
    <w:rsid w:val="00F57AC4"/>
    <w:rsid w:val="00F72A37"/>
    <w:rsid w:val="00F76414"/>
    <w:rsid w:val="00F76EE5"/>
    <w:rsid w:val="00FB1CF7"/>
    <w:rsid w:val="00FB592B"/>
    <w:rsid w:val="00FD3C86"/>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B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c1b9e01db34893e7c839ae6bd7c3fc04">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a9bcd4f0fe20d9488183ba2ba3f18459"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7CEF-A578-4A1F-A789-6C7389E4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F335EF-FDD5-4606-9A4E-2F3993A4EB87}">
  <ds:schemaRefs>
    <ds:schemaRef ds:uri="http://schemas.microsoft.com/sharepoint/v3/contenttype/forms"/>
  </ds:schemaRefs>
</ds:datastoreItem>
</file>

<file path=customXml/itemProps3.xml><?xml version="1.0" encoding="utf-8"?>
<ds:datastoreItem xmlns:ds="http://schemas.openxmlformats.org/officeDocument/2006/customXml" ds:itemID="{4F39DF41-E3B5-4114-B7FC-F372A0E7C936}">
  <ds:schemaRefs>
    <ds:schemaRef ds:uri="http://www.w3.org/XML/1998/namespace"/>
    <ds:schemaRef ds:uri="6de89288-a96a-4f72-81d0-e24dca16ed29"/>
    <ds:schemaRef ds:uri="http://purl.org/dc/elements/1.1/"/>
    <ds:schemaRef ds:uri="http://schemas.openxmlformats.org/package/2006/metadata/core-properties"/>
    <ds:schemaRef ds:uri="294963d3-2b63-42b2-88cf-47d071b25ce2"/>
    <ds:schemaRef ds:uri="http://purl.org/dc/dcmitype/"/>
    <ds:schemaRef ds:uri="http://schemas.microsoft.com/office/2006/documentManagement/types"/>
    <ds:schemaRef ds:uri="977994ae-212b-4247-aa7a-48b769f73074"/>
    <ds:schemaRef ds:uri="8d8dfc88-3856-4602-b0f5-758074d81f2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3E9D5BE-1B36-4577-9112-567E8500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3</Pages>
  <Words>602</Words>
  <Characters>4579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Iñaki De Santiago</cp:lastModifiedBy>
  <cp:revision>2</cp:revision>
  <cp:lastPrinted>2019-11-05T14:28:00Z</cp:lastPrinted>
  <dcterms:created xsi:type="dcterms:W3CDTF">2019-12-26T12:10:00Z</dcterms:created>
  <dcterms:modified xsi:type="dcterms:W3CDTF">2019-12-26T12:10:00Z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