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15" w:rsidRDefault="006B6C3D" w:rsidP="00B4557D">
      <w:pPr>
        <w:tabs>
          <w:tab w:val="left" w:pos="3780"/>
        </w:tabs>
        <w:spacing w:line="288" w:lineRule="auto"/>
        <w:jc w:val="both"/>
        <w:rPr>
          <w:rFonts w:ascii="Century Gothic" w:hAnsi="Century Gothic"/>
        </w:rPr>
      </w:pPr>
      <w:r w:rsidRPr="00B4557D">
        <w:rPr>
          <w:rFonts w:ascii="Century Gothic" w:hAnsi="Century Gothic"/>
        </w:rPr>
        <w:t>La</w:t>
      </w:r>
      <w:r w:rsidR="00EC707F" w:rsidRPr="00B4557D">
        <w:rPr>
          <w:rFonts w:ascii="Century Gothic" w:hAnsi="Century Gothic"/>
        </w:rPr>
        <w:t xml:space="preserve"> Consejer</w:t>
      </w:r>
      <w:r w:rsidRPr="00B4557D">
        <w:rPr>
          <w:rFonts w:ascii="Century Gothic" w:hAnsi="Century Gothic"/>
        </w:rPr>
        <w:t>a</w:t>
      </w:r>
      <w:r w:rsidR="00EC707F" w:rsidRPr="00B4557D">
        <w:rPr>
          <w:rFonts w:ascii="Century Gothic" w:hAnsi="Century Gothic"/>
        </w:rPr>
        <w:t xml:space="preserve"> de Salud del Gobierno de Navarra, en relación con la petición de información</w:t>
      </w:r>
      <w:r w:rsidR="00B4557D" w:rsidRPr="00B4557D">
        <w:rPr>
          <w:rFonts w:ascii="Century Gothic" w:hAnsi="Century Gothic"/>
        </w:rPr>
        <w:t xml:space="preserve"> (10-19-PES-00122), </w:t>
      </w:r>
      <w:r w:rsidR="00EC707F" w:rsidRPr="00B4557D">
        <w:rPr>
          <w:rFonts w:ascii="Century Gothic" w:hAnsi="Century Gothic"/>
        </w:rPr>
        <w:t>presentada</w:t>
      </w:r>
      <w:r w:rsidR="00DD3407" w:rsidRPr="00B4557D">
        <w:rPr>
          <w:rFonts w:ascii="Century Gothic" w:hAnsi="Century Gothic"/>
        </w:rPr>
        <w:t xml:space="preserve"> por l</w:t>
      </w:r>
      <w:r w:rsidR="00B4557D" w:rsidRPr="00B4557D">
        <w:rPr>
          <w:rFonts w:ascii="Century Gothic" w:hAnsi="Century Gothic"/>
        </w:rPr>
        <w:t>a Parlamentaria Foral Ilma</w:t>
      </w:r>
      <w:r w:rsidR="00DD3407" w:rsidRPr="00B4557D">
        <w:rPr>
          <w:rFonts w:ascii="Century Gothic" w:hAnsi="Century Gothic"/>
        </w:rPr>
        <w:t>. Sr</w:t>
      </w:r>
      <w:r w:rsidR="00EC707F" w:rsidRPr="00B4557D">
        <w:rPr>
          <w:rFonts w:ascii="Century Gothic" w:hAnsi="Century Gothic"/>
        </w:rPr>
        <w:t xml:space="preserve">. </w:t>
      </w:r>
      <w:r w:rsidR="00DD3407" w:rsidRPr="00B4557D">
        <w:rPr>
          <w:rFonts w:ascii="Century Gothic" w:hAnsi="Century Gothic"/>
        </w:rPr>
        <w:t>D</w:t>
      </w:r>
      <w:r w:rsidRPr="00B4557D">
        <w:rPr>
          <w:rFonts w:ascii="Century Gothic" w:hAnsi="Century Gothic"/>
        </w:rPr>
        <w:t>ª</w:t>
      </w:r>
      <w:r w:rsidR="00EC707F" w:rsidRPr="00B4557D">
        <w:rPr>
          <w:rFonts w:ascii="Century Gothic" w:hAnsi="Century Gothic"/>
        </w:rPr>
        <w:t xml:space="preserve">. </w:t>
      </w:r>
      <w:r w:rsidRPr="00B4557D">
        <w:rPr>
          <w:rFonts w:ascii="Century Gothic" w:hAnsi="Century Gothic"/>
        </w:rPr>
        <w:t>Cristina Ibarrola Guillén</w:t>
      </w:r>
      <w:r w:rsidR="00B4557D" w:rsidRPr="00B4557D">
        <w:rPr>
          <w:rFonts w:ascii="Century Gothic" w:hAnsi="Century Gothic"/>
        </w:rPr>
        <w:t>, adscrita</w:t>
      </w:r>
      <w:r w:rsidR="00DD3407" w:rsidRPr="00B4557D">
        <w:rPr>
          <w:rFonts w:ascii="Century Gothic" w:hAnsi="Century Gothic"/>
        </w:rPr>
        <w:t xml:space="preserve"> al Grupo Parlamentario </w:t>
      </w:r>
      <w:r w:rsidR="00677E15" w:rsidRPr="00B4557D">
        <w:rPr>
          <w:rFonts w:ascii="Century Gothic" w:hAnsi="Century Gothic"/>
        </w:rPr>
        <w:t>Navarra Suma</w:t>
      </w:r>
      <w:r w:rsidR="00EC707F" w:rsidRPr="00B4557D">
        <w:rPr>
          <w:rFonts w:ascii="Century Gothic" w:hAnsi="Century Gothic"/>
        </w:rPr>
        <w:t>, que solicita</w:t>
      </w:r>
      <w:r w:rsidR="00B4557D" w:rsidRPr="00B4557D">
        <w:rPr>
          <w:rFonts w:ascii="Century Gothic" w:hAnsi="Century Gothic"/>
        </w:rPr>
        <w:t xml:space="preserve"> “detalle y cronograma de la OPE de enfermería”,</w:t>
      </w:r>
      <w:r w:rsidR="00EC707F" w:rsidRPr="00B4557D">
        <w:rPr>
          <w:rFonts w:ascii="Century Gothic" w:hAnsi="Century Gothic"/>
        </w:rPr>
        <w:t xml:space="preserve"> tiene el honor de remitirle la siguiente </w:t>
      </w:r>
      <w:r w:rsidRPr="00B4557D">
        <w:rPr>
          <w:rFonts w:ascii="Century Gothic" w:hAnsi="Century Gothic"/>
        </w:rPr>
        <w:t>inform</w:t>
      </w:r>
      <w:r w:rsidR="008802EE" w:rsidRPr="00B4557D">
        <w:rPr>
          <w:rFonts w:ascii="Century Gothic" w:hAnsi="Century Gothic"/>
        </w:rPr>
        <w:t>ación</w:t>
      </w:r>
      <w:r w:rsidR="00792383" w:rsidRPr="00B4557D">
        <w:rPr>
          <w:rFonts w:ascii="Century Gothic" w:hAnsi="Century Gothic"/>
        </w:rPr>
        <w:t>:</w:t>
      </w:r>
    </w:p>
    <w:p w:rsidR="00677E15" w:rsidRDefault="00DD3407" w:rsidP="00B4557D">
      <w:pPr>
        <w:spacing w:line="288" w:lineRule="auto"/>
        <w:jc w:val="both"/>
        <w:rPr>
          <w:rFonts w:ascii="Century Gothic" w:hAnsi="Century Gothic"/>
        </w:rPr>
      </w:pPr>
      <w:r w:rsidRPr="00B4557D">
        <w:rPr>
          <w:rFonts w:ascii="Century Gothic" w:hAnsi="Century Gothic"/>
        </w:rPr>
        <w:t xml:space="preserve">- </w:t>
      </w:r>
      <w:r w:rsidR="006B6C3D" w:rsidRPr="00B4557D">
        <w:rPr>
          <w:rFonts w:ascii="Century Gothic" w:hAnsi="Century Gothic"/>
        </w:rPr>
        <w:t>Detalle y cronograma de los actos administrativos y trámites realizados así como las causas de posibles retrasos en cada parte del procedimiento, en relación con la última OPE de enfermería, desde la fecha del examen oposición</w:t>
      </w:r>
      <w:r w:rsidRPr="00B4557D">
        <w:rPr>
          <w:rFonts w:ascii="Century Gothic" w:hAnsi="Century Gothic"/>
        </w:rPr>
        <w:t>.</w:t>
      </w:r>
    </w:p>
    <w:p w:rsidR="00677E15" w:rsidRDefault="00677E15" w:rsidP="00B4557D">
      <w:pPr>
        <w:spacing w:line="288" w:lineRule="auto"/>
        <w:rPr>
          <w:rFonts w:ascii="Century Gothic" w:hAnsi="Century Gothic"/>
        </w:rPr>
      </w:pPr>
      <w:r w:rsidRPr="00B4557D">
        <w:rPr>
          <w:rFonts w:ascii="Century Gothic" w:hAnsi="Century Gothic"/>
        </w:rPr>
        <w:t>Convocatoria de Enfermería del Servicio Navarro de Salud-</w:t>
      </w:r>
      <w:proofErr w:type="spellStart"/>
      <w:r w:rsidRPr="00B4557D">
        <w:rPr>
          <w:rFonts w:ascii="Century Gothic" w:hAnsi="Century Gothic"/>
        </w:rPr>
        <w:t>Osasunbidea</w:t>
      </w:r>
      <w:proofErr w:type="spellEnd"/>
      <w:r w:rsidRPr="00B4557D">
        <w:rPr>
          <w:rFonts w:ascii="Century Gothic" w:hAnsi="Century Gothic"/>
        </w:rPr>
        <w:t xml:space="preserve"> relativa a la OPE 2013-15-16</w:t>
      </w:r>
    </w:p>
    <w:p w:rsidR="00677E15" w:rsidRDefault="006B6C3D" w:rsidP="00B4557D">
      <w:pPr>
        <w:spacing w:line="288" w:lineRule="auto"/>
        <w:jc w:val="both"/>
        <w:rPr>
          <w:rFonts w:ascii="Century Gothic" w:hAnsi="Century Gothic"/>
        </w:rPr>
      </w:pPr>
      <w:r w:rsidRPr="00B4557D">
        <w:rPr>
          <w:rFonts w:ascii="Century Gothic" w:hAnsi="Century Gothic"/>
        </w:rPr>
        <w:t xml:space="preserve">Las bases de esta convocatoria de enfermería fueron publicadas en el BON número 185, de 25 de septiembre de 2017. </w:t>
      </w:r>
    </w:p>
    <w:p w:rsidR="00677E15" w:rsidRDefault="006B6C3D" w:rsidP="00B4557D">
      <w:pPr>
        <w:spacing w:line="288" w:lineRule="auto"/>
        <w:jc w:val="both"/>
        <w:rPr>
          <w:rFonts w:ascii="Century Gothic" w:hAnsi="Century Gothic"/>
        </w:rPr>
      </w:pPr>
      <w:r w:rsidRPr="00B4557D">
        <w:rPr>
          <w:rFonts w:ascii="Century Gothic" w:hAnsi="Century Gothic"/>
        </w:rPr>
        <w:t>El 28 de diciembre se publicó la lista provisional de aspirantes admitidos y excluidos a dicha convocatoria. El día 1 de marzo de 2018 se publicó la lista definitiva.</w:t>
      </w:r>
    </w:p>
    <w:p w:rsidR="00677E15" w:rsidRDefault="006B6C3D" w:rsidP="00B4557D">
      <w:pPr>
        <w:spacing w:line="288" w:lineRule="auto"/>
        <w:jc w:val="both"/>
        <w:rPr>
          <w:rFonts w:ascii="Century Gothic" w:hAnsi="Century Gothic"/>
        </w:rPr>
      </w:pPr>
      <w:r w:rsidRPr="00B4557D">
        <w:rPr>
          <w:rFonts w:ascii="Century Gothic" w:hAnsi="Century Gothic"/>
        </w:rPr>
        <w:t>El examen se celebró el 24 de marzo de 2018</w:t>
      </w:r>
    </w:p>
    <w:p w:rsidR="00677E15" w:rsidRDefault="006B6C3D" w:rsidP="00B4557D">
      <w:pPr>
        <w:spacing w:line="288" w:lineRule="auto"/>
        <w:jc w:val="both"/>
        <w:rPr>
          <w:rFonts w:ascii="Century Gothic" w:hAnsi="Century Gothic"/>
        </w:rPr>
      </w:pPr>
      <w:r w:rsidRPr="00B4557D">
        <w:rPr>
          <w:rFonts w:ascii="Century Gothic" w:hAnsi="Century Gothic"/>
        </w:rPr>
        <w:t>Posteriormente y detallados cronológicamente se han ido publicando los siguientes resultados:</w:t>
      </w:r>
    </w:p>
    <w:p w:rsidR="006B6C3D" w:rsidRPr="00B4557D" w:rsidRDefault="006B6C3D" w:rsidP="00B4557D">
      <w:pPr>
        <w:spacing w:line="288" w:lineRule="auto"/>
        <w:jc w:val="both"/>
        <w:rPr>
          <w:rFonts w:ascii="Century Gothic" w:hAnsi="Century Gothic"/>
        </w:rPr>
      </w:pPr>
      <w:r w:rsidRPr="00B4557D">
        <w:rPr>
          <w:rFonts w:ascii="Century Gothic" w:hAnsi="Century Gothic"/>
        </w:rPr>
        <w:t>Resultados provisionales  de la fase oposición: 26-03-2018</w:t>
      </w:r>
    </w:p>
    <w:p w:rsidR="00677E15" w:rsidRDefault="006B6C3D" w:rsidP="00B4557D">
      <w:pPr>
        <w:spacing w:line="288" w:lineRule="auto"/>
        <w:jc w:val="both"/>
        <w:rPr>
          <w:rFonts w:ascii="Century Gothic" w:hAnsi="Century Gothic"/>
        </w:rPr>
      </w:pPr>
      <w:r w:rsidRPr="00B4557D">
        <w:rPr>
          <w:rFonts w:ascii="Century Gothic" w:hAnsi="Century Gothic"/>
        </w:rPr>
        <w:t>Se atienden alegaciones.</w:t>
      </w:r>
    </w:p>
    <w:p w:rsidR="006B6C3D" w:rsidRPr="00B4557D" w:rsidRDefault="006B6C3D" w:rsidP="00B4557D">
      <w:pPr>
        <w:spacing w:line="288" w:lineRule="auto"/>
        <w:jc w:val="both"/>
        <w:rPr>
          <w:rFonts w:ascii="Century Gothic" w:hAnsi="Century Gothic"/>
        </w:rPr>
      </w:pPr>
      <w:r w:rsidRPr="00B4557D">
        <w:rPr>
          <w:rFonts w:ascii="Century Gothic" w:hAnsi="Century Gothic"/>
        </w:rPr>
        <w:t>Resultados definitivos de la  fase oposición.: 03-05-2018</w:t>
      </w:r>
    </w:p>
    <w:p w:rsidR="00677E15" w:rsidRDefault="006B6C3D" w:rsidP="00B4557D">
      <w:pPr>
        <w:spacing w:line="288" w:lineRule="auto"/>
        <w:jc w:val="both"/>
        <w:rPr>
          <w:rFonts w:ascii="Century Gothic" w:hAnsi="Century Gothic"/>
        </w:rPr>
      </w:pPr>
      <w:r w:rsidRPr="00B4557D">
        <w:rPr>
          <w:rFonts w:ascii="Century Gothic" w:hAnsi="Century Gothic"/>
        </w:rPr>
        <w:t>1 mes de plazo para interposición de recursos, preparación y algo menos de 3 meses dedica el Servicio de Régimen Jurídico para la resolución de todos ellos.</w:t>
      </w:r>
    </w:p>
    <w:p w:rsidR="00677E15" w:rsidRDefault="006B6C3D" w:rsidP="00B4557D">
      <w:pPr>
        <w:spacing w:line="288" w:lineRule="auto"/>
        <w:jc w:val="both"/>
        <w:rPr>
          <w:rFonts w:ascii="Century Gothic" w:hAnsi="Century Gothic"/>
        </w:rPr>
      </w:pPr>
      <w:r w:rsidRPr="00B4557D">
        <w:rPr>
          <w:rFonts w:ascii="Century Gothic" w:hAnsi="Century Gothic"/>
        </w:rPr>
        <w:t>Resultados definitivos de la  fase oposición tras recursos: 13-09-2018</w:t>
      </w:r>
    </w:p>
    <w:p w:rsidR="00677E15" w:rsidRDefault="006B6C3D" w:rsidP="00B4557D">
      <w:pPr>
        <w:spacing w:line="288" w:lineRule="auto"/>
        <w:jc w:val="both"/>
        <w:rPr>
          <w:rFonts w:ascii="Century Gothic" w:hAnsi="Century Gothic"/>
        </w:rPr>
      </w:pPr>
      <w:r w:rsidRPr="00B4557D">
        <w:rPr>
          <w:rFonts w:ascii="Century Gothic" w:hAnsi="Century Gothic"/>
        </w:rPr>
        <w:t xml:space="preserve">Tras 6 meses de </w:t>
      </w:r>
      <w:proofErr w:type="spellStart"/>
      <w:r w:rsidRPr="00B4557D">
        <w:rPr>
          <w:rFonts w:ascii="Century Gothic" w:hAnsi="Century Gothic"/>
        </w:rPr>
        <w:t>baremación</w:t>
      </w:r>
      <w:proofErr w:type="spellEnd"/>
      <w:r w:rsidRPr="00B4557D">
        <w:rPr>
          <w:rFonts w:ascii="Century Gothic" w:hAnsi="Century Gothic"/>
        </w:rPr>
        <w:t xml:space="preserve"> de los expedientes relativos a los 2.900 aspirantes aprobados se publican los resultados provisionales de la fase de </w:t>
      </w:r>
      <w:proofErr w:type="spellStart"/>
      <w:r w:rsidRPr="00B4557D">
        <w:rPr>
          <w:rFonts w:ascii="Century Gothic" w:hAnsi="Century Gothic"/>
        </w:rPr>
        <w:t>baremación</w:t>
      </w:r>
      <w:proofErr w:type="spellEnd"/>
      <w:r w:rsidRPr="00B4557D">
        <w:rPr>
          <w:rFonts w:ascii="Century Gothic" w:hAnsi="Century Gothic"/>
        </w:rPr>
        <w:t>: 19-12-2018</w:t>
      </w:r>
    </w:p>
    <w:p w:rsidR="00677E15" w:rsidRDefault="006B6C3D" w:rsidP="00B4557D">
      <w:pPr>
        <w:spacing w:line="288" w:lineRule="auto"/>
        <w:jc w:val="both"/>
        <w:rPr>
          <w:rFonts w:ascii="Century Gothic" w:hAnsi="Century Gothic"/>
        </w:rPr>
      </w:pPr>
      <w:r w:rsidRPr="00B4557D">
        <w:rPr>
          <w:rFonts w:ascii="Century Gothic" w:hAnsi="Century Gothic"/>
        </w:rPr>
        <w:t>Resultado definitivos de la  fase de oposición tras sentencia: 24-04-2019 (se declaran aprobados 35 aspirantes más que en el inicio)</w:t>
      </w:r>
    </w:p>
    <w:p w:rsidR="00677E15" w:rsidRDefault="006B6C3D" w:rsidP="00B4557D">
      <w:pPr>
        <w:spacing w:line="288" w:lineRule="auto"/>
        <w:jc w:val="both"/>
        <w:rPr>
          <w:rFonts w:ascii="Century Gothic" w:hAnsi="Century Gothic"/>
        </w:rPr>
      </w:pPr>
      <w:r w:rsidRPr="00B4557D">
        <w:rPr>
          <w:rFonts w:ascii="Century Gothic" w:hAnsi="Century Gothic"/>
        </w:rPr>
        <w:t xml:space="preserve">Tras </w:t>
      </w:r>
      <w:proofErr w:type="spellStart"/>
      <w:r w:rsidRPr="00B4557D">
        <w:rPr>
          <w:rFonts w:ascii="Century Gothic" w:hAnsi="Century Gothic"/>
        </w:rPr>
        <w:t>baremación</w:t>
      </w:r>
      <w:proofErr w:type="spellEnd"/>
      <w:r w:rsidRPr="00B4557D">
        <w:rPr>
          <w:rFonts w:ascii="Century Gothic" w:hAnsi="Century Gothic"/>
        </w:rPr>
        <w:t xml:space="preserve"> de los 35 aspirantes se publican los resultados provisionales de la fase de </w:t>
      </w:r>
      <w:proofErr w:type="spellStart"/>
      <w:r w:rsidRPr="00B4557D">
        <w:rPr>
          <w:rFonts w:ascii="Century Gothic" w:hAnsi="Century Gothic"/>
        </w:rPr>
        <w:t>baremación</w:t>
      </w:r>
      <w:proofErr w:type="spellEnd"/>
      <w:r w:rsidRPr="00B4557D">
        <w:rPr>
          <w:rFonts w:ascii="Century Gothic" w:hAnsi="Century Gothic"/>
        </w:rPr>
        <w:t xml:space="preserve"> tras sentencia: 26-04-2019 (este trabajo lo habíamos anticipado en previsión)</w:t>
      </w:r>
    </w:p>
    <w:p w:rsidR="00677E15" w:rsidRDefault="006B6C3D" w:rsidP="00B4557D">
      <w:pPr>
        <w:spacing w:line="288" w:lineRule="auto"/>
        <w:jc w:val="both"/>
        <w:rPr>
          <w:rFonts w:ascii="Century Gothic" w:hAnsi="Century Gothic"/>
        </w:rPr>
      </w:pPr>
      <w:r w:rsidRPr="00B4557D">
        <w:rPr>
          <w:rFonts w:ascii="Century Gothic" w:hAnsi="Century Gothic"/>
        </w:rPr>
        <w:t>En este mes se atienden todas las alegaciones y se publican los resultados definitivos de la fase de baremo: 30-05-2019</w:t>
      </w:r>
    </w:p>
    <w:p w:rsidR="00677E15" w:rsidRDefault="006B6C3D" w:rsidP="00B4557D">
      <w:pPr>
        <w:spacing w:line="288" w:lineRule="auto"/>
        <w:jc w:val="both"/>
        <w:rPr>
          <w:rFonts w:ascii="Century Gothic" w:hAnsi="Century Gothic"/>
        </w:rPr>
      </w:pPr>
      <w:r w:rsidRPr="00B4557D">
        <w:rPr>
          <w:rFonts w:ascii="Century Gothic" w:hAnsi="Century Gothic"/>
        </w:rPr>
        <w:t>Resultado final: 30-05-2019</w:t>
      </w:r>
    </w:p>
    <w:p w:rsidR="00677E15" w:rsidRDefault="006B6C3D" w:rsidP="00B4557D">
      <w:pPr>
        <w:spacing w:line="288" w:lineRule="auto"/>
        <w:jc w:val="both"/>
        <w:rPr>
          <w:rFonts w:ascii="Century Gothic" w:hAnsi="Century Gothic"/>
        </w:rPr>
      </w:pPr>
      <w:r w:rsidRPr="00B4557D">
        <w:rPr>
          <w:rFonts w:ascii="Century Gothic" w:hAnsi="Century Gothic"/>
        </w:rPr>
        <w:lastRenderedPageBreak/>
        <w:t>Preparación del acto de elección de vacantes.  La elección de plazas se publicó el 13-6-2019, teniendo los aspirantes un plazo de 10 días hábiles para formular su elección.</w:t>
      </w:r>
    </w:p>
    <w:p w:rsidR="00677E15" w:rsidRDefault="006B6C3D" w:rsidP="00B4557D">
      <w:pPr>
        <w:spacing w:line="288" w:lineRule="auto"/>
        <w:jc w:val="both"/>
        <w:rPr>
          <w:rFonts w:ascii="Century Gothic" w:hAnsi="Century Gothic"/>
        </w:rPr>
      </w:pPr>
      <w:r w:rsidRPr="00B4557D">
        <w:rPr>
          <w:rFonts w:ascii="Century Gothic" w:hAnsi="Century Gothic"/>
        </w:rPr>
        <w:t>Tras la publicación de los resultados definitivos, los aspirantes disponen de 1 mes para la interposición de recursos al baremo. El Servicio de Régimen Jurídico dedica 3 meses para la resolución de todos ellos. Habiendo tenido conocimiento de la interposición ante el juzgado de un recurso de apelación por falta de emplazamiento, se espera alrededor de un mes para conocer el resultado de la sentencia.</w:t>
      </w:r>
    </w:p>
    <w:p w:rsidR="00677E15" w:rsidRDefault="006B6C3D" w:rsidP="00B4557D">
      <w:pPr>
        <w:spacing w:line="288" w:lineRule="auto"/>
        <w:jc w:val="both"/>
        <w:rPr>
          <w:rFonts w:ascii="Century Gothic" w:hAnsi="Century Gothic"/>
        </w:rPr>
      </w:pPr>
      <w:r w:rsidRPr="00B4557D">
        <w:rPr>
          <w:rFonts w:ascii="Century Gothic" w:hAnsi="Century Gothic"/>
        </w:rPr>
        <w:t>El Tribunal Superior de Justicia de la Sala de lo Contencioso-Administrativo dicta sentencia desestimatoria el día 18 de octubre de 2019</w:t>
      </w:r>
    </w:p>
    <w:p w:rsidR="00677E15" w:rsidRDefault="006B6C3D" w:rsidP="00B4557D">
      <w:pPr>
        <w:spacing w:line="288" w:lineRule="auto"/>
        <w:jc w:val="both"/>
        <w:rPr>
          <w:rFonts w:ascii="Century Gothic" w:hAnsi="Century Gothic"/>
        </w:rPr>
      </w:pPr>
      <w:r w:rsidRPr="00B4557D">
        <w:rPr>
          <w:rFonts w:ascii="Century Gothic" w:hAnsi="Century Gothic"/>
        </w:rPr>
        <w:t>Al día siguiente de sernos notificada la sentencia, preparamos y publicamos resultados definitivos de baremo tras recursos alzada: 04-11-2019</w:t>
      </w:r>
    </w:p>
    <w:p w:rsidR="00677E15" w:rsidRDefault="006B6C3D" w:rsidP="00B4557D">
      <w:pPr>
        <w:spacing w:line="288" w:lineRule="auto"/>
        <w:jc w:val="both"/>
        <w:rPr>
          <w:rFonts w:ascii="Century Gothic" w:hAnsi="Century Gothic"/>
        </w:rPr>
      </w:pPr>
      <w:r w:rsidRPr="00B4557D">
        <w:rPr>
          <w:rFonts w:ascii="Century Gothic" w:hAnsi="Century Gothic"/>
        </w:rPr>
        <w:t>Resultado final tras recursos alzada: 04-11-2019</w:t>
      </w:r>
    </w:p>
    <w:p w:rsidR="00677E15" w:rsidRDefault="006B6C3D" w:rsidP="00B4557D">
      <w:pPr>
        <w:spacing w:line="288" w:lineRule="auto"/>
        <w:jc w:val="both"/>
        <w:rPr>
          <w:rFonts w:ascii="Century Gothic" w:hAnsi="Century Gothic"/>
        </w:rPr>
      </w:pPr>
      <w:r w:rsidRPr="00B4557D">
        <w:rPr>
          <w:rFonts w:ascii="Century Gothic" w:hAnsi="Century Gothic"/>
        </w:rPr>
        <w:t>Está prevista la publicación en el BON de la propuesta de nombramiento para el próximo 20 de noviembre.</w:t>
      </w:r>
    </w:p>
    <w:p w:rsidR="00677E15" w:rsidRDefault="006B6C3D" w:rsidP="00B4557D">
      <w:pPr>
        <w:spacing w:line="288" w:lineRule="auto"/>
        <w:jc w:val="both"/>
        <w:rPr>
          <w:rFonts w:ascii="Century Gothic" w:hAnsi="Century Gothic"/>
        </w:rPr>
      </w:pPr>
      <w:r w:rsidRPr="00B4557D">
        <w:rPr>
          <w:rFonts w:ascii="Century Gothic" w:hAnsi="Century Gothic"/>
        </w:rPr>
        <w:t>Por tanto, a la vista del cronograma de desarrollo de este proceso selectivo de enfermería, se puede concluir que, debido a los recursos y la reclamación judicial interpuesta, se han ido produciendo numerosas publicaciones de resultados y en alguna ocasión se han aplicado pequeñas medidas prudentes de espera</w:t>
      </w:r>
      <w:r w:rsidR="00B4557D" w:rsidRPr="00B4557D">
        <w:rPr>
          <w:rFonts w:ascii="Century Gothic" w:hAnsi="Century Gothic"/>
        </w:rPr>
        <w:t>.</w:t>
      </w:r>
    </w:p>
    <w:p w:rsidR="00677E15" w:rsidRDefault="008E22F4" w:rsidP="00B4557D">
      <w:pPr>
        <w:tabs>
          <w:tab w:val="left" w:pos="720"/>
        </w:tabs>
        <w:spacing w:line="288" w:lineRule="auto"/>
        <w:jc w:val="both"/>
        <w:rPr>
          <w:rFonts w:ascii="Century Gothic" w:hAnsi="Century Gothic"/>
        </w:rPr>
      </w:pPr>
      <w:r w:rsidRPr="00B4557D">
        <w:rPr>
          <w:rFonts w:ascii="Century Gothic" w:hAnsi="Century Gothic"/>
        </w:rPr>
        <w:t>Es cuanto tengo el honor de informar en cumplimiento de lo dispuesto en el artículo 1</w:t>
      </w:r>
      <w:r w:rsidR="00677E15">
        <w:rPr>
          <w:rFonts w:ascii="Century Gothic" w:hAnsi="Century Gothic"/>
        </w:rPr>
        <w:t>9</w:t>
      </w:r>
      <w:r w:rsidRPr="00B4557D">
        <w:rPr>
          <w:rFonts w:ascii="Century Gothic" w:hAnsi="Century Gothic"/>
        </w:rPr>
        <w:t>4 del Reglamento del Parlamento de Navarra.</w:t>
      </w:r>
    </w:p>
    <w:p w:rsidR="00677E15" w:rsidRDefault="003A7C8F" w:rsidP="00B4557D">
      <w:pPr>
        <w:spacing w:line="288" w:lineRule="auto"/>
        <w:ind w:left="567" w:right="567"/>
        <w:jc w:val="center"/>
        <w:outlineLvl w:val="0"/>
        <w:rPr>
          <w:rFonts w:ascii="Century Gothic" w:hAnsi="Century Gothic"/>
        </w:rPr>
      </w:pPr>
      <w:r>
        <w:rPr>
          <w:rFonts w:ascii="Century Gothic" w:hAnsi="Century Gothic"/>
        </w:rPr>
        <w:t xml:space="preserve">Pamplona, </w:t>
      </w:r>
      <w:bookmarkStart w:id="0" w:name="_GoBack"/>
      <w:bookmarkEnd w:id="0"/>
      <w:r w:rsidR="00DD3407" w:rsidRPr="00B4557D">
        <w:rPr>
          <w:rFonts w:ascii="Century Gothic" w:hAnsi="Century Gothic"/>
        </w:rPr>
        <w:t>1</w:t>
      </w:r>
      <w:r w:rsidR="006B6C3D" w:rsidRPr="00B4557D">
        <w:rPr>
          <w:rFonts w:ascii="Century Gothic" w:hAnsi="Century Gothic"/>
        </w:rPr>
        <w:t>1</w:t>
      </w:r>
      <w:r w:rsidR="00DD3407" w:rsidRPr="00B4557D">
        <w:rPr>
          <w:rFonts w:ascii="Century Gothic" w:hAnsi="Century Gothic"/>
        </w:rPr>
        <w:t xml:space="preserve"> de </w:t>
      </w:r>
      <w:r w:rsidR="006B6C3D" w:rsidRPr="00B4557D">
        <w:rPr>
          <w:rFonts w:ascii="Century Gothic" w:hAnsi="Century Gothic"/>
        </w:rPr>
        <w:t>novi</w:t>
      </w:r>
      <w:r w:rsidR="00DD3407" w:rsidRPr="00B4557D">
        <w:rPr>
          <w:rFonts w:ascii="Century Gothic" w:hAnsi="Century Gothic"/>
        </w:rPr>
        <w:t>embre de 201</w:t>
      </w:r>
      <w:r w:rsidR="006B6C3D" w:rsidRPr="00B4557D">
        <w:rPr>
          <w:rFonts w:ascii="Century Gothic" w:hAnsi="Century Gothic"/>
        </w:rPr>
        <w:t>9</w:t>
      </w:r>
    </w:p>
    <w:p w:rsidR="00677E15" w:rsidRPr="00677E15" w:rsidRDefault="00677E15" w:rsidP="00677E15">
      <w:pPr>
        <w:spacing w:line="288" w:lineRule="auto"/>
        <w:ind w:left="567" w:right="567"/>
        <w:jc w:val="center"/>
        <w:outlineLvl w:val="0"/>
        <w:rPr>
          <w:rFonts w:ascii="Century Gothic" w:hAnsi="Century Gothic"/>
        </w:rPr>
      </w:pPr>
      <w:r w:rsidRPr="00B4557D">
        <w:rPr>
          <w:rFonts w:ascii="Century Gothic" w:hAnsi="Century Gothic"/>
        </w:rPr>
        <w:t>La Consejera de Salud</w:t>
      </w:r>
      <w:r>
        <w:rPr>
          <w:rFonts w:ascii="Century Gothic" w:hAnsi="Century Gothic"/>
        </w:rPr>
        <w:t xml:space="preserve">: </w:t>
      </w:r>
      <w:r w:rsidR="006B6C3D" w:rsidRPr="00B4557D">
        <w:rPr>
          <w:rFonts w:ascii="Century Gothic" w:hAnsi="Century Gothic"/>
          <w:lang w:val="pt-BR"/>
        </w:rPr>
        <w:t xml:space="preserve">Santos </w:t>
      </w:r>
      <w:proofErr w:type="spellStart"/>
      <w:r w:rsidR="006B6C3D" w:rsidRPr="00B4557D">
        <w:rPr>
          <w:rFonts w:ascii="Century Gothic" w:hAnsi="Century Gothic"/>
          <w:lang w:val="pt-BR"/>
        </w:rPr>
        <w:t>Indur</w:t>
      </w:r>
      <w:r>
        <w:rPr>
          <w:rFonts w:ascii="Century Gothic" w:hAnsi="Century Gothic"/>
          <w:lang w:val="pt-BR"/>
        </w:rPr>
        <w:t>á</w:t>
      </w:r>
      <w:r w:rsidR="006B6C3D" w:rsidRPr="00B4557D">
        <w:rPr>
          <w:rFonts w:ascii="Century Gothic" w:hAnsi="Century Gothic"/>
          <w:lang w:val="pt-BR"/>
        </w:rPr>
        <w:t>in</w:t>
      </w:r>
      <w:proofErr w:type="spellEnd"/>
      <w:r w:rsidR="006B6C3D" w:rsidRPr="00B4557D">
        <w:rPr>
          <w:rFonts w:ascii="Century Gothic" w:hAnsi="Century Gothic"/>
          <w:lang w:val="pt-BR"/>
        </w:rPr>
        <w:t xml:space="preserve"> </w:t>
      </w:r>
      <w:proofErr w:type="spellStart"/>
      <w:r w:rsidR="006B6C3D" w:rsidRPr="00B4557D">
        <w:rPr>
          <w:rFonts w:ascii="Century Gothic" w:hAnsi="Century Gothic"/>
          <w:lang w:val="pt-BR"/>
        </w:rPr>
        <w:t>Orduna</w:t>
      </w:r>
      <w:proofErr w:type="spellEnd"/>
    </w:p>
    <w:p w:rsidR="00B4557D" w:rsidRPr="00B4557D" w:rsidRDefault="00B4557D" w:rsidP="00B4557D">
      <w:pPr>
        <w:spacing w:line="288" w:lineRule="auto"/>
        <w:ind w:left="567" w:right="567"/>
        <w:jc w:val="center"/>
        <w:rPr>
          <w:rFonts w:ascii="Century Gothic" w:hAnsi="Century Gothic"/>
        </w:rPr>
      </w:pPr>
    </w:p>
    <w:sectPr w:rsidR="00B4557D" w:rsidRPr="00B455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0B" w:rsidRDefault="003D480B" w:rsidP="00EA272D">
      <w:r>
        <w:separator/>
      </w:r>
    </w:p>
  </w:endnote>
  <w:endnote w:type="continuationSeparator" w:id="0">
    <w:p w:rsidR="003D480B" w:rsidRDefault="003D480B" w:rsidP="00EA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0B" w:rsidRDefault="003D480B" w:rsidP="00EA272D">
      <w:r>
        <w:separator/>
      </w:r>
    </w:p>
  </w:footnote>
  <w:footnote w:type="continuationSeparator" w:id="0">
    <w:p w:rsidR="003D480B" w:rsidRDefault="003D480B" w:rsidP="00EA2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D6107"/>
    <w:multiLevelType w:val="hybridMultilevel"/>
    <w:tmpl w:val="E68E66D6"/>
    <w:lvl w:ilvl="0" w:tplc="77F8EE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86"/>
    <w:rsid w:val="00037B8E"/>
    <w:rsid w:val="000D4E6D"/>
    <w:rsid w:val="001746A9"/>
    <w:rsid w:val="001B0DFF"/>
    <w:rsid w:val="001B38AB"/>
    <w:rsid w:val="001C586E"/>
    <w:rsid w:val="001F0B7D"/>
    <w:rsid w:val="00224DD3"/>
    <w:rsid w:val="0027389E"/>
    <w:rsid w:val="002E1BA1"/>
    <w:rsid w:val="0030152D"/>
    <w:rsid w:val="00323178"/>
    <w:rsid w:val="00352F86"/>
    <w:rsid w:val="003A7C8F"/>
    <w:rsid w:val="003C24B4"/>
    <w:rsid w:val="003D480B"/>
    <w:rsid w:val="003F5394"/>
    <w:rsid w:val="00405095"/>
    <w:rsid w:val="004547D6"/>
    <w:rsid w:val="005043E5"/>
    <w:rsid w:val="005B62DD"/>
    <w:rsid w:val="005C3D95"/>
    <w:rsid w:val="005D1478"/>
    <w:rsid w:val="005D1EF4"/>
    <w:rsid w:val="00604151"/>
    <w:rsid w:val="0061516C"/>
    <w:rsid w:val="006401AF"/>
    <w:rsid w:val="00650499"/>
    <w:rsid w:val="00677E15"/>
    <w:rsid w:val="006A3884"/>
    <w:rsid w:val="006B6C3D"/>
    <w:rsid w:val="00705657"/>
    <w:rsid w:val="007624CD"/>
    <w:rsid w:val="00767225"/>
    <w:rsid w:val="00785484"/>
    <w:rsid w:val="00792383"/>
    <w:rsid w:val="007C399E"/>
    <w:rsid w:val="007E01F6"/>
    <w:rsid w:val="007F1E12"/>
    <w:rsid w:val="008102BF"/>
    <w:rsid w:val="008211BF"/>
    <w:rsid w:val="0084431F"/>
    <w:rsid w:val="008802EE"/>
    <w:rsid w:val="008B34FB"/>
    <w:rsid w:val="008C3095"/>
    <w:rsid w:val="008C3C86"/>
    <w:rsid w:val="008C6D68"/>
    <w:rsid w:val="008D2538"/>
    <w:rsid w:val="008E22F4"/>
    <w:rsid w:val="00924B2C"/>
    <w:rsid w:val="00957BB8"/>
    <w:rsid w:val="009973D8"/>
    <w:rsid w:val="009C2D47"/>
    <w:rsid w:val="009E6428"/>
    <w:rsid w:val="00A17B37"/>
    <w:rsid w:val="00A21489"/>
    <w:rsid w:val="00A36A73"/>
    <w:rsid w:val="00A570B4"/>
    <w:rsid w:val="00B4557D"/>
    <w:rsid w:val="00B630A8"/>
    <w:rsid w:val="00B86EE7"/>
    <w:rsid w:val="00C21200"/>
    <w:rsid w:val="00C2191B"/>
    <w:rsid w:val="00C627C9"/>
    <w:rsid w:val="00CB5CEF"/>
    <w:rsid w:val="00CE7955"/>
    <w:rsid w:val="00D3223C"/>
    <w:rsid w:val="00D32919"/>
    <w:rsid w:val="00D815D7"/>
    <w:rsid w:val="00D8699C"/>
    <w:rsid w:val="00DD3407"/>
    <w:rsid w:val="00E10712"/>
    <w:rsid w:val="00E264F8"/>
    <w:rsid w:val="00EA272D"/>
    <w:rsid w:val="00EC707F"/>
    <w:rsid w:val="00F5728B"/>
    <w:rsid w:val="00FA5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A272D"/>
    <w:pPr>
      <w:tabs>
        <w:tab w:val="center" w:pos="4252"/>
        <w:tab w:val="right" w:pos="8504"/>
      </w:tabs>
    </w:pPr>
  </w:style>
  <w:style w:type="character" w:customStyle="1" w:styleId="EncabezadoCar">
    <w:name w:val="Encabezado Car"/>
    <w:link w:val="Encabezado"/>
    <w:rsid w:val="00EA272D"/>
    <w:rPr>
      <w:sz w:val="24"/>
      <w:szCs w:val="24"/>
    </w:rPr>
  </w:style>
  <w:style w:type="paragraph" w:styleId="Piedepgina">
    <w:name w:val="footer"/>
    <w:basedOn w:val="Normal"/>
    <w:link w:val="PiedepginaCar"/>
    <w:rsid w:val="00EA272D"/>
    <w:pPr>
      <w:tabs>
        <w:tab w:val="center" w:pos="4252"/>
        <w:tab w:val="right" w:pos="8504"/>
      </w:tabs>
    </w:pPr>
  </w:style>
  <w:style w:type="character" w:customStyle="1" w:styleId="PiedepginaCar">
    <w:name w:val="Pie de página Car"/>
    <w:link w:val="Piedepgina"/>
    <w:rsid w:val="00EA272D"/>
    <w:rPr>
      <w:sz w:val="24"/>
      <w:szCs w:val="24"/>
    </w:rPr>
  </w:style>
  <w:style w:type="paragraph" w:styleId="Textodeglobo">
    <w:name w:val="Balloon Text"/>
    <w:basedOn w:val="Normal"/>
    <w:link w:val="TextodegloboCar"/>
    <w:rsid w:val="006B6C3D"/>
    <w:rPr>
      <w:rFonts w:ascii="Tahoma" w:hAnsi="Tahoma" w:cs="Tahoma"/>
      <w:sz w:val="16"/>
      <w:szCs w:val="16"/>
    </w:rPr>
  </w:style>
  <w:style w:type="character" w:customStyle="1" w:styleId="TextodegloboCar">
    <w:name w:val="Texto de globo Car"/>
    <w:link w:val="Textodeglobo"/>
    <w:rsid w:val="006B6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A272D"/>
    <w:pPr>
      <w:tabs>
        <w:tab w:val="center" w:pos="4252"/>
        <w:tab w:val="right" w:pos="8504"/>
      </w:tabs>
    </w:pPr>
  </w:style>
  <w:style w:type="character" w:customStyle="1" w:styleId="EncabezadoCar">
    <w:name w:val="Encabezado Car"/>
    <w:link w:val="Encabezado"/>
    <w:rsid w:val="00EA272D"/>
    <w:rPr>
      <w:sz w:val="24"/>
      <w:szCs w:val="24"/>
    </w:rPr>
  </w:style>
  <w:style w:type="paragraph" w:styleId="Piedepgina">
    <w:name w:val="footer"/>
    <w:basedOn w:val="Normal"/>
    <w:link w:val="PiedepginaCar"/>
    <w:rsid w:val="00EA272D"/>
    <w:pPr>
      <w:tabs>
        <w:tab w:val="center" w:pos="4252"/>
        <w:tab w:val="right" w:pos="8504"/>
      </w:tabs>
    </w:pPr>
  </w:style>
  <w:style w:type="character" w:customStyle="1" w:styleId="PiedepginaCar">
    <w:name w:val="Pie de página Car"/>
    <w:link w:val="Piedepgina"/>
    <w:rsid w:val="00EA272D"/>
    <w:rPr>
      <w:sz w:val="24"/>
      <w:szCs w:val="24"/>
    </w:rPr>
  </w:style>
  <w:style w:type="paragraph" w:styleId="Textodeglobo">
    <w:name w:val="Balloon Text"/>
    <w:basedOn w:val="Normal"/>
    <w:link w:val="TextodegloboCar"/>
    <w:rsid w:val="006B6C3D"/>
    <w:rPr>
      <w:rFonts w:ascii="Tahoma" w:hAnsi="Tahoma" w:cs="Tahoma"/>
      <w:sz w:val="16"/>
      <w:szCs w:val="16"/>
    </w:rPr>
  </w:style>
  <w:style w:type="character" w:customStyle="1" w:styleId="TextodegloboCar">
    <w:name w:val="Texto de globo Car"/>
    <w:link w:val="Textodeglobo"/>
    <w:rsid w:val="006B6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RESPUESTA PREGUNTA PARLAMENTARIA MARISA DE SIMÓN CABALLERO</vt:lpstr>
    </vt:vector>
  </TitlesOfParts>
  <Company>Gobierno de Navarra</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 PARLAMENTARIA MARISA DE SIMÓN CABALLERO</dc:title>
  <dc:creator>n441000</dc:creator>
  <cp:lastModifiedBy>Aranaz, Carlota</cp:lastModifiedBy>
  <cp:revision>5</cp:revision>
  <cp:lastPrinted>2019-11-12T18:08:00Z</cp:lastPrinted>
  <dcterms:created xsi:type="dcterms:W3CDTF">2019-11-22T09:08:00Z</dcterms:created>
  <dcterms:modified xsi:type="dcterms:W3CDTF">2020-01-24T13:23:00Z</dcterms:modified>
</cp:coreProperties>
</file>