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14" w:rsidRDefault="00774081" w:rsidP="00774081">
      <w:pPr>
        <w:spacing w:before="240" w:line="360" w:lineRule="auto"/>
        <w:ind w:firstLine="709"/>
        <w:jc w:val="both"/>
        <w:rPr>
          <w:rFonts w:ascii="Arial" w:hAnsi="Arial" w:cs="Arial"/>
          <w:bCs/>
        </w:rPr>
      </w:pPr>
      <w:r>
        <w:rPr>
          <w:rFonts w:ascii="Arial" w:hAnsi="Arial"/>
        </w:rPr>
        <w:t xml:space="preserve">Navarra Suma talde parlamentarioko foru parlamentari </w:t>
      </w:r>
      <w:proofErr w:type="spellStart"/>
      <w:r>
        <w:rPr>
          <w:rFonts w:ascii="Arial" w:hAnsi="Arial"/>
        </w:rPr>
        <w:t>María</w:t>
      </w:r>
      <w:proofErr w:type="spellEnd"/>
      <w:r>
        <w:rPr>
          <w:rFonts w:ascii="Arial" w:hAnsi="Arial"/>
        </w:rPr>
        <w:t xml:space="preserve"> </w:t>
      </w:r>
      <w:proofErr w:type="spellStart"/>
      <w:r>
        <w:rPr>
          <w:rFonts w:ascii="Arial" w:hAnsi="Arial"/>
        </w:rPr>
        <w:t>Jesús</w:t>
      </w:r>
      <w:proofErr w:type="spellEnd"/>
      <w:r>
        <w:rPr>
          <w:rFonts w:ascii="Arial" w:hAnsi="Arial"/>
        </w:rPr>
        <w:t xml:space="preserve"> </w:t>
      </w:r>
      <w:proofErr w:type="spellStart"/>
      <w:r>
        <w:rPr>
          <w:rFonts w:ascii="Arial" w:hAnsi="Arial"/>
        </w:rPr>
        <w:t>Valdemoros</w:t>
      </w:r>
      <w:proofErr w:type="spellEnd"/>
      <w:r>
        <w:rPr>
          <w:rFonts w:ascii="Arial" w:hAnsi="Arial"/>
        </w:rPr>
        <w:t xml:space="preserve"> Erro andreak erantzuteko galdera bat egin du —2359 sarrera-zenbakiarekin erregistratu zen, 2019ko urriaren 16an (10-19/PES-00126)—, jakin nahi baitu ea Nafarroako Gobernuak asmorik baduen 2020rako hazkunde ekonomikoaren aurreikuspen berriak egiteko. Hona Nafarroako Gobernuko Ekonomia eta Ogasuneko kontseilariak horri buruz ematen dion informazioa:</w:t>
      </w:r>
    </w:p>
    <w:p w:rsidR="006E7F14" w:rsidRDefault="00774081" w:rsidP="00774081">
      <w:pPr>
        <w:spacing w:line="360" w:lineRule="auto"/>
        <w:jc w:val="both"/>
        <w:rPr>
          <w:rFonts w:ascii="Arial" w:hAnsi="Arial" w:cs="Arial"/>
        </w:rPr>
      </w:pPr>
      <w:r>
        <w:rPr>
          <w:rFonts w:ascii="Arial" w:hAnsi="Arial"/>
        </w:rPr>
        <w:t xml:space="preserve">Nahiz eta nazioartean ziurgabetasunak egon, erakunde askok 2019ko eta 2020ko hazkunde nazionalaren itxaropenak hainbat hamarren jaistea eragin dutenak, oraingoz arrazoi objektiborik ez dago Nafarroako Gobernuak dituen aurreikuspen ekonomikoak berrikustea justifikatzen duenik. </w:t>
      </w:r>
    </w:p>
    <w:p w:rsidR="006E7F14" w:rsidRDefault="00774081" w:rsidP="00774081">
      <w:pPr>
        <w:spacing w:line="360" w:lineRule="auto"/>
        <w:jc w:val="both"/>
        <w:rPr>
          <w:rFonts w:ascii="Arial" w:hAnsi="Arial" w:cs="Arial"/>
        </w:rPr>
      </w:pPr>
      <w:r>
        <w:rPr>
          <w:rFonts w:ascii="Arial" w:hAnsi="Arial"/>
        </w:rPr>
        <w:t>Justifikazio hori hiru argudio nagusitan oinarritzen da, jarraian garatuko ditugunak:</w:t>
      </w:r>
    </w:p>
    <w:p w:rsidR="006E7F14" w:rsidRDefault="00774081" w:rsidP="00774081">
      <w:pPr>
        <w:numPr>
          <w:ilvl w:val="0"/>
          <w:numId w:val="3"/>
        </w:numPr>
        <w:spacing w:line="360" w:lineRule="auto"/>
        <w:ind w:left="0" w:firstLine="0"/>
        <w:jc w:val="both"/>
        <w:rPr>
          <w:rFonts w:ascii="Arial" w:hAnsi="Arial" w:cs="Arial"/>
        </w:rPr>
      </w:pPr>
      <w:r>
        <w:rPr>
          <w:rFonts w:ascii="Arial" w:hAnsi="Arial"/>
        </w:rPr>
        <w:t xml:space="preserve">Lehendabizikoa da Kontabilitate Nazionaleko serieak direla-eta Estatistika Institutu Nazionalak irailean egindako berrikuspen estatistikoak 2019ko Espainiako proiekzio ekonomikoen beherapena eragin duela; gorabehera horrek ez du eraginik Nafarroari buruzkoetan, </w:t>
      </w:r>
      <w:proofErr w:type="spellStart"/>
      <w:r>
        <w:rPr>
          <w:rFonts w:ascii="Arial" w:hAnsi="Arial"/>
        </w:rPr>
        <w:t>NASTAT-Nafarroako</w:t>
      </w:r>
      <w:proofErr w:type="spellEnd"/>
      <w:r>
        <w:rPr>
          <w:rFonts w:ascii="Arial" w:hAnsi="Arial"/>
        </w:rPr>
        <w:t xml:space="preserve"> Estatistika Institutuak estimatzen baititu.</w:t>
      </w:r>
    </w:p>
    <w:p w:rsidR="006E7F14" w:rsidRDefault="00774081" w:rsidP="00774081">
      <w:pPr>
        <w:spacing w:line="360" w:lineRule="auto"/>
        <w:jc w:val="both"/>
        <w:rPr>
          <w:rFonts w:ascii="Arial" w:hAnsi="Arial" w:cs="Arial"/>
        </w:rPr>
      </w:pPr>
      <w:r>
        <w:rPr>
          <w:rFonts w:ascii="Arial" w:hAnsi="Arial"/>
        </w:rPr>
        <w:t xml:space="preserve">Kontu nazionalek ekonomiaren neurketa egokia egin behar dutenez, komenigarria da aldizka eguneratzea haien konpilaziorako erabilitako estatistika-iturriak eta zenbatespen-metodoak. Behar horri erantzuteko, Estatistikako Institutu Nazionala nazioko eta eskualdeetako kontuetako eragiketa guztien serie berrikusiak zabaltzen hasi da. Eragiketa horien zenbatespenaren erantzulea Espainiako Urteko Kontabilitate Nazionala da. Zeregin horren ondorioz, eta hemen interesatzen zaigunari begiratuta, </w:t>
      </w:r>
      <w:proofErr w:type="spellStart"/>
      <w:r>
        <w:rPr>
          <w:rFonts w:ascii="Arial" w:hAnsi="Arial"/>
        </w:rPr>
        <w:t>EINek</w:t>
      </w:r>
      <w:proofErr w:type="spellEnd"/>
      <w:r>
        <w:rPr>
          <w:rFonts w:ascii="Arial" w:hAnsi="Arial"/>
        </w:rPr>
        <w:t xml:space="preserve"> beherantz berrikusi zuen azken hiru urteetako Espainiako </w:t>
      </w:r>
      <w:proofErr w:type="spellStart"/>
      <w:r>
        <w:rPr>
          <w:rFonts w:ascii="Arial" w:hAnsi="Arial"/>
        </w:rPr>
        <w:t>BPGaren</w:t>
      </w:r>
      <w:proofErr w:type="spellEnd"/>
      <w:r>
        <w:rPr>
          <w:rFonts w:ascii="Arial" w:hAnsi="Arial"/>
        </w:rPr>
        <w:t xml:space="preserve"> hazkundearen datua.</w:t>
      </w:r>
    </w:p>
    <w:p w:rsidR="006E7F14" w:rsidRDefault="00774081" w:rsidP="00774081">
      <w:pPr>
        <w:spacing w:line="360" w:lineRule="auto"/>
        <w:jc w:val="both"/>
        <w:rPr>
          <w:rFonts w:ascii="Arial" w:hAnsi="Arial" w:cs="Arial"/>
        </w:rPr>
      </w:pPr>
      <w:r>
        <w:rPr>
          <w:rFonts w:ascii="Arial" w:hAnsi="Arial"/>
        </w:rPr>
        <w:t xml:space="preserve">Berrikuspen horri egokitzen lehenengoetako bat Espainiako Bankua izan zen. Irailean bertan, ekainean jaulkitako proiekzio </w:t>
      </w:r>
      <w:proofErr w:type="spellStart"/>
      <w:r>
        <w:rPr>
          <w:rFonts w:ascii="Arial" w:hAnsi="Arial"/>
        </w:rPr>
        <w:t>makroekonomikoak</w:t>
      </w:r>
      <w:proofErr w:type="spellEnd"/>
      <w:r>
        <w:rPr>
          <w:rFonts w:ascii="Arial" w:hAnsi="Arial"/>
        </w:rPr>
        <w:t xml:space="preserve"> eguneratu zituen, eta, igorritako oharrean jasotzen denez, 2019ko aurreikuspenaren murrizketaren erdia arrazoi estatistiko hauei egozten die: </w:t>
      </w:r>
      <w:r>
        <w:rPr>
          <w:rFonts w:ascii="Arial" w:hAnsi="Arial"/>
          <w:i/>
          <w:iCs/>
        </w:rPr>
        <w:t xml:space="preserve">“2019ko </w:t>
      </w:r>
      <w:proofErr w:type="spellStart"/>
      <w:r>
        <w:rPr>
          <w:rFonts w:ascii="Arial" w:hAnsi="Arial"/>
          <w:i/>
          <w:iCs/>
        </w:rPr>
        <w:t>BPGaren</w:t>
      </w:r>
      <w:proofErr w:type="spellEnd"/>
      <w:r>
        <w:rPr>
          <w:rFonts w:ascii="Arial" w:hAnsi="Arial"/>
          <w:i/>
          <w:iCs/>
        </w:rPr>
        <w:t xml:space="preserve"> hazkunde-proiekzioa beherantz berrikusi da, lau hamarren, Kontabilitate Nazionaleko datuen berrikuspenaren eta joan den udaberriaz geroztik izandako bilakaera ekonomiko txarrenaren eta hark epe laburreko aurreikuspenetan izandako ondorioen tamaina bereko ekarpenekin, gutxi gorabehera".</w:t>
      </w:r>
      <w:r>
        <w:rPr>
          <w:rFonts w:ascii="Arial" w:hAnsi="Arial"/>
          <w:i/>
        </w:rPr>
        <w:t xml:space="preserve"> </w:t>
      </w:r>
    </w:p>
    <w:p w:rsidR="006E7F14" w:rsidRDefault="00774081" w:rsidP="00774081">
      <w:pPr>
        <w:spacing w:line="360" w:lineRule="auto"/>
        <w:jc w:val="both"/>
        <w:rPr>
          <w:rFonts w:ascii="Arial" w:hAnsi="Arial" w:cs="Arial"/>
        </w:rPr>
      </w:pPr>
      <w:r>
        <w:rPr>
          <w:rFonts w:ascii="Arial" w:hAnsi="Arial"/>
        </w:rPr>
        <w:t xml:space="preserve">Era berean, </w:t>
      </w:r>
      <w:proofErr w:type="spellStart"/>
      <w:r>
        <w:rPr>
          <w:rFonts w:ascii="Arial" w:hAnsi="Arial"/>
        </w:rPr>
        <w:t>BBVAren</w:t>
      </w:r>
      <w:proofErr w:type="spellEnd"/>
      <w:r>
        <w:rPr>
          <w:rFonts w:ascii="Arial" w:hAnsi="Arial"/>
        </w:rPr>
        <w:t xml:space="preserve"> azterlanen zerbitzuak ere lau hamarren murriztu zuen Espainiako ekonomiarako aurreikuspena aurten,% 2,3tik % 1,9ra, eta aitortu zuen </w:t>
      </w:r>
      <w:r>
        <w:rPr>
          <w:rFonts w:ascii="Arial" w:hAnsi="Arial"/>
        </w:rPr>
        <w:lastRenderedPageBreak/>
        <w:t>murrizketaren zatirik handiena Estatistikako Institutu Nazionalaren Kontabilitate Nazionalaren beheranzko berrikuspenari egotzi behar zitzaiola.</w:t>
      </w:r>
    </w:p>
    <w:p w:rsidR="006E7F14" w:rsidRDefault="00774081" w:rsidP="00774081">
      <w:pPr>
        <w:spacing w:line="360" w:lineRule="auto"/>
        <w:jc w:val="both"/>
        <w:rPr>
          <w:rFonts w:ascii="Arial" w:hAnsi="Arial" w:cs="Arial"/>
        </w:rPr>
      </w:pPr>
      <w:r>
        <w:rPr>
          <w:rFonts w:ascii="Arial" w:hAnsi="Arial"/>
        </w:rPr>
        <w:t xml:space="preserve">Galderak 2020ko aurreikuspenean jartzen du arreta, nahiz eta Espainiako ekonomiarako 2019rako aurreikusitako hazkunde-tasaren murrizketa 2020koa bezain garrantzitsua izan den, edo kasu batzuetan handiagoa. Aipatutako </w:t>
      </w:r>
      <w:proofErr w:type="spellStart"/>
      <w:r>
        <w:rPr>
          <w:rFonts w:ascii="Arial" w:hAnsi="Arial"/>
        </w:rPr>
        <w:t>BBVAk</w:t>
      </w:r>
      <w:proofErr w:type="spellEnd"/>
      <w:r>
        <w:rPr>
          <w:rFonts w:ascii="Arial" w:hAnsi="Arial"/>
        </w:rPr>
        <w:t xml:space="preserve"> eta Espainiako Bankuak ez ezik, beste erakunde batzuek ere Espainiarako proiekzio ekonomikoak murriztu zituzten udaren bueltan. 1. taulan, ospe handiko erakundeek uda aurretik eta ondoren Espainiako hazkundeari buruz zituzten aurreikuspenak alderatzen dira, eta kopuruetatik ondorioztatzen da hazkunde-proiekzioen beherakada antzekoa izan dela 2019an eta 2020an.</w:t>
      </w:r>
    </w:p>
    <w:p w:rsidR="00774081" w:rsidRPr="00F973CA" w:rsidRDefault="00774081" w:rsidP="00774081">
      <w:pPr>
        <w:spacing w:line="360" w:lineRule="auto"/>
        <w:jc w:val="center"/>
        <w:rPr>
          <w:rFonts w:asciiTheme="minorHAnsi" w:hAnsiTheme="minorHAnsi" w:cs="Arial"/>
          <w:sz w:val="18"/>
          <w:szCs w:val="18"/>
        </w:rPr>
      </w:pPr>
      <w:r w:rsidRPr="00F973CA">
        <w:rPr>
          <w:rFonts w:asciiTheme="minorHAnsi" w:hAnsiTheme="minorHAnsi"/>
          <w:sz w:val="18"/>
          <w:szCs w:val="18"/>
        </w:rPr>
        <w:t>1. taula Espainiari buruzko hazkunde-aurreikuspenak, 2019an eta 2020an</w:t>
      </w: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955"/>
        <w:gridCol w:w="969"/>
        <w:gridCol w:w="1206"/>
        <w:gridCol w:w="955"/>
        <w:gridCol w:w="969"/>
        <w:gridCol w:w="1206"/>
      </w:tblGrid>
      <w:tr w:rsidR="00774081" w:rsidRPr="00F973CA" w:rsidTr="00F14771">
        <w:trPr>
          <w:jc w:val="center"/>
        </w:trPr>
        <w:tc>
          <w:tcPr>
            <w:tcW w:w="2076" w:type="dxa"/>
            <w:shd w:val="clear" w:color="auto" w:fill="auto"/>
            <w:vAlign w:val="center"/>
          </w:tcPr>
          <w:p w:rsidR="00774081" w:rsidRPr="00F973CA" w:rsidRDefault="00774081" w:rsidP="00F14771">
            <w:pPr>
              <w:jc w:val="both"/>
              <w:rPr>
                <w:rFonts w:asciiTheme="minorHAnsi" w:hAnsiTheme="minorHAnsi" w:cs="Arial"/>
                <w:sz w:val="18"/>
                <w:szCs w:val="18"/>
              </w:rPr>
            </w:pPr>
            <w:r w:rsidRPr="00F973CA">
              <w:rPr>
                <w:rFonts w:asciiTheme="minorHAnsi" w:hAnsiTheme="minorHAnsi"/>
                <w:sz w:val="18"/>
                <w:szCs w:val="18"/>
              </w:rPr>
              <w:t>Erakundea</w:t>
            </w:r>
          </w:p>
        </w:tc>
        <w:tc>
          <w:tcPr>
            <w:tcW w:w="969" w:type="dxa"/>
            <w:shd w:val="clear" w:color="auto" w:fill="auto"/>
            <w:vAlign w:val="center"/>
          </w:tcPr>
          <w:p w:rsidR="00774081" w:rsidRPr="00F973CA" w:rsidRDefault="00774081" w:rsidP="00F973CA">
            <w:pPr>
              <w:jc w:val="center"/>
              <w:rPr>
                <w:rFonts w:asciiTheme="minorHAnsi" w:hAnsiTheme="minorHAnsi" w:cs="Arial"/>
                <w:sz w:val="18"/>
                <w:szCs w:val="18"/>
              </w:rPr>
            </w:pPr>
            <w:r w:rsidRPr="00F973CA">
              <w:rPr>
                <w:rFonts w:asciiTheme="minorHAnsi" w:hAnsiTheme="minorHAnsi"/>
                <w:sz w:val="18"/>
                <w:szCs w:val="18"/>
              </w:rPr>
              <w:t xml:space="preserve">2019 </w:t>
            </w:r>
            <w:r w:rsidR="00F973CA">
              <w:rPr>
                <w:rFonts w:asciiTheme="minorHAnsi" w:hAnsiTheme="minorHAnsi" w:cs="Arial"/>
                <w:sz w:val="18"/>
                <w:szCs w:val="18"/>
              </w:rPr>
              <w:br/>
            </w:r>
            <w:r w:rsidRPr="00F973CA">
              <w:rPr>
                <w:rFonts w:asciiTheme="minorHAnsi" w:hAnsiTheme="minorHAnsi"/>
                <w:sz w:val="18"/>
                <w:szCs w:val="18"/>
              </w:rPr>
              <w:t>lehenago</w:t>
            </w:r>
          </w:p>
        </w:tc>
        <w:tc>
          <w:tcPr>
            <w:tcW w:w="997" w:type="dxa"/>
            <w:shd w:val="clear" w:color="auto" w:fill="auto"/>
            <w:vAlign w:val="center"/>
          </w:tcPr>
          <w:p w:rsidR="00774081" w:rsidRPr="00F973CA" w:rsidRDefault="00774081" w:rsidP="00F973CA">
            <w:pPr>
              <w:jc w:val="center"/>
              <w:rPr>
                <w:rFonts w:asciiTheme="minorHAnsi" w:hAnsiTheme="minorHAnsi" w:cs="Arial"/>
                <w:sz w:val="18"/>
                <w:szCs w:val="18"/>
              </w:rPr>
            </w:pPr>
            <w:r w:rsidRPr="00F973CA">
              <w:rPr>
                <w:rFonts w:asciiTheme="minorHAnsi" w:hAnsiTheme="minorHAnsi"/>
                <w:sz w:val="18"/>
                <w:szCs w:val="18"/>
              </w:rPr>
              <w:t>2019</w:t>
            </w:r>
            <w:r w:rsidR="00F973CA">
              <w:rPr>
                <w:rFonts w:asciiTheme="minorHAnsi" w:hAnsiTheme="minorHAnsi"/>
                <w:sz w:val="18"/>
                <w:szCs w:val="18"/>
              </w:rPr>
              <w:br/>
            </w:r>
            <w:r w:rsidRPr="00F973CA">
              <w:rPr>
                <w:rFonts w:asciiTheme="minorHAnsi" w:hAnsiTheme="minorHAnsi"/>
                <w:sz w:val="18"/>
                <w:szCs w:val="18"/>
              </w:rPr>
              <w:t>ondoren</w:t>
            </w:r>
          </w:p>
        </w:tc>
        <w:tc>
          <w:tcPr>
            <w:tcW w:w="1067" w:type="dxa"/>
            <w:shd w:val="clear" w:color="auto" w:fill="auto"/>
            <w:vAlign w:val="center"/>
          </w:tcPr>
          <w:p w:rsidR="00774081" w:rsidRPr="00F973CA" w:rsidRDefault="00774081" w:rsidP="00F973CA">
            <w:pPr>
              <w:jc w:val="center"/>
              <w:rPr>
                <w:rFonts w:asciiTheme="minorHAnsi" w:hAnsiTheme="minorHAnsi" w:cs="Arial"/>
                <w:sz w:val="18"/>
                <w:szCs w:val="18"/>
              </w:rPr>
            </w:pPr>
            <w:r w:rsidRPr="00F973CA">
              <w:rPr>
                <w:rFonts w:asciiTheme="minorHAnsi" w:hAnsiTheme="minorHAnsi"/>
                <w:sz w:val="18"/>
                <w:szCs w:val="18"/>
              </w:rPr>
              <w:t>Aldea</w:t>
            </w:r>
            <w:r w:rsidR="00F973CA">
              <w:rPr>
                <w:rFonts w:asciiTheme="minorHAnsi" w:hAnsiTheme="minorHAnsi"/>
                <w:sz w:val="18"/>
                <w:szCs w:val="18"/>
              </w:rPr>
              <w:br/>
            </w:r>
            <w:r w:rsidRPr="00F973CA">
              <w:rPr>
                <w:rFonts w:asciiTheme="minorHAnsi" w:hAnsiTheme="minorHAnsi"/>
                <w:sz w:val="18"/>
                <w:szCs w:val="18"/>
              </w:rPr>
              <w:t>(ehunekotan)</w:t>
            </w:r>
          </w:p>
        </w:tc>
        <w:tc>
          <w:tcPr>
            <w:tcW w:w="969" w:type="dxa"/>
            <w:shd w:val="clear" w:color="auto" w:fill="auto"/>
            <w:vAlign w:val="center"/>
          </w:tcPr>
          <w:p w:rsidR="00774081" w:rsidRPr="00F973CA" w:rsidRDefault="00774081" w:rsidP="00F973CA">
            <w:pPr>
              <w:jc w:val="center"/>
              <w:rPr>
                <w:rFonts w:asciiTheme="minorHAnsi" w:hAnsiTheme="minorHAnsi" w:cs="Arial"/>
                <w:sz w:val="18"/>
                <w:szCs w:val="18"/>
              </w:rPr>
            </w:pPr>
            <w:r w:rsidRPr="00F973CA">
              <w:rPr>
                <w:rFonts w:asciiTheme="minorHAnsi" w:hAnsiTheme="minorHAnsi"/>
                <w:sz w:val="18"/>
                <w:szCs w:val="18"/>
              </w:rPr>
              <w:t>2020</w:t>
            </w:r>
            <w:r w:rsidR="00F973CA">
              <w:rPr>
                <w:rFonts w:asciiTheme="minorHAnsi" w:hAnsiTheme="minorHAnsi"/>
                <w:sz w:val="18"/>
                <w:szCs w:val="18"/>
              </w:rPr>
              <w:br/>
            </w:r>
            <w:r w:rsidRPr="00F973CA">
              <w:rPr>
                <w:rFonts w:asciiTheme="minorHAnsi" w:hAnsiTheme="minorHAnsi"/>
                <w:sz w:val="18"/>
                <w:szCs w:val="18"/>
              </w:rPr>
              <w:t>lehenago</w:t>
            </w:r>
          </w:p>
        </w:tc>
        <w:tc>
          <w:tcPr>
            <w:tcW w:w="997" w:type="dxa"/>
            <w:shd w:val="clear" w:color="auto" w:fill="auto"/>
            <w:vAlign w:val="center"/>
          </w:tcPr>
          <w:p w:rsidR="00774081" w:rsidRPr="00F973CA" w:rsidRDefault="00774081" w:rsidP="00F973CA">
            <w:pPr>
              <w:jc w:val="center"/>
              <w:rPr>
                <w:rFonts w:asciiTheme="minorHAnsi" w:hAnsiTheme="minorHAnsi" w:cs="Arial"/>
                <w:sz w:val="18"/>
                <w:szCs w:val="18"/>
              </w:rPr>
            </w:pPr>
            <w:r w:rsidRPr="00F973CA">
              <w:rPr>
                <w:rFonts w:asciiTheme="minorHAnsi" w:hAnsiTheme="minorHAnsi"/>
                <w:sz w:val="18"/>
                <w:szCs w:val="18"/>
              </w:rPr>
              <w:t>2020</w:t>
            </w:r>
            <w:r w:rsidR="00F973CA">
              <w:rPr>
                <w:rFonts w:asciiTheme="minorHAnsi" w:hAnsiTheme="minorHAnsi"/>
                <w:sz w:val="18"/>
                <w:szCs w:val="18"/>
              </w:rPr>
              <w:br/>
            </w:r>
            <w:r w:rsidRPr="00F973CA">
              <w:rPr>
                <w:rFonts w:asciiTheme="minorHAnsi" w:hAnsiTheme="minorHAnsi"/>
                <w:sz w:val="18"/>
                <w:szCs w:val="18"/>
              </w:rPr>
              <w:t>ondoren</w:t>
            </w:r>
          </w:p>
        </w:tc>
        <w:tc>
          <w:tcPr>
            <w:tcW w:w="1067" w:type="dxa"/>
            <w:shd w:val="clear" w:color="auto" w:fill="auto"/>
            <w:vAlign w:val="center"/>
          </w:tcPr>
          <w:p w:rsidR="00774081" w:rsidRPr="00F973CA" w:rsidRDefault="00774081" w:rsidP="00F973CA">
            <w:pPr>
              <w:jc w:val="center"/>
              <w:rPr>
                <w:rFonts w:asciiTheme="minorHAnsi" w:hAnsiTheme="minorHAnsi" w:cs="Arial"/>
                <w:sz w:val="18"/>
                <w:szCs w:val="18"/>
              </w:rPr>
            </w:pPr>
            <w:r w:rsidRPr="00F973CA">
              <w:rPr>
                <w:rFonts w:asciiTheme="minorHAnsi" w:hAnsiTheme="minorHAnsi"/>
                <w:sz w:val="18"/>
                <w:szCs w:val="18"/>
              </w:rPr>
              <w:t>Aldea</w:t>
            </w:r>
            <w:r w:rsidR="00F973CA">
              <w:rPr>
                <w:rFonts w:asciiTheme="minorHAnsi" w:hAnsiTheme="minorHAnsi"/>
                <w:sz w:val="18"/>
                <w:szCs w:val="18"/>
              </w:rPr>
              <w:br/>
            </w:r>
            <w:r w:rsidRPr="00F973CA">
              <w:rPr>
                <w:rFonts w:asciiTheme="minorHAnsi" w:hAnsiTheme="minorHAnsi"/>
                <w:sz w:val="18"/>
                <w:szCs w:val="18"/>
              </w:rPr>
              <w:t>(ehunekotan)</w:t>
            </w:r>
          </w:p>
        </w:tc>
      </w:tr>
      <w:tr w:rsidR="00774081" w:rsidRPr="00F973CA" w:rsidTr="00F14771">
        <w:trPr>
          <w:trHeight w:val="227"/>
          <w:jc w:val="center"/>
        </w:trPr>
        <w:tc>
          <w:tcPr>
            <w:tcW w:w="2076" w:type="dxa"/>
            <w:shd w:val="clear" w:color="auto" w:fill="auto"/>
            <w:vAlign w:val="bottom"/>
          </w:tcPr>
          <w:p w:rsidR="00774081" w:rsidRPr="00F973CA" w:rsidRDefault="00774081" w:rsidP="00F14771">
            <w:pPr>
              <w:jc w:val="both"/>
              <w:rPr>
                <w:rFonts w:asciiTheme="minorHAnsi" w:hAnsiTheme="minorHAnsi" w:cs="Arial"/>
                <w:sz w:val="18"/>
                <w:szCs w:val="18"/>
              </w:rPr>
            </w:pPr>
            <w:r w:rsidRPr="00F973CA">
              <w:rPr>
                <w:rFonts w:asciiTheme="minorHAnsi" w:hAnsiTheme="minorHAnsi"/>
                <w:sz w:val="18"/>
                <w:szCs w:val="18"/>
              </w:rPr>
              <w:t>Espainiako Bankua</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2,4</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2,0</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-0,4</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1,9</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1,7</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-0,2</w:t>
            </w:r>
          </w:p>
        </w:tc>
      </w:tr>
      <w:tr w:rsidR="00774081" w:rsidRPr="00F973CA" w:rsidTr="00F14771">
        <w:trPr>
          <w:trHeight w:val="227"/>
          <w:jc w:val="center"/>
        </w:trPr>
        <w:tc>
          <w:tcPr>
            <w:tcW w:w="2076" w:type="dxa"/>
            <w:shd w:val="clear" w:color="auto" w:fill="auto"/>
            <w:vAlign w:val="bottom"/>
          </w:tcPr>
          <w:p w:rsidR="00774081" w:rsidRPr="00F973CA" w:rsidRDefault="00774081" w:rsidP="00F14771">
            <w:pPr>
              <w:jc w:val="both"/>
              <w:rPr>
                <w:rFonts w:asciiTheme="minorHAnsi" w:hAnsiTheme="minorHAnsi" w:cs="Arial"/>
                <w:sz w:val="18"/>
                <w:szCs w:val="18"/>
              </w:rPr>
            </w:pPr>
            <w:r w:rsidRPr="00F973CA">
              <w:rPr>
                <w:rFonts w:asciiTheme="minorHAnsi" w:hAnsiTheme="minorHAnsi"/>
                <w:sz w:val="18"/>
                <w:szCs w:val="18"/>
              </w:rPr>
              <w:t>FUNCAS</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2,2</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1,9</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-0,3</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2,0</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1,5</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-0,5</w:t>
            </w:r>
          </w:p>
        </w:tc>
      </w:tr>
      <w:tr w:rsidR="00774081" w:rsidRPr="00F973CA" w:rsidTr="00F14771">
        <w:trPr>
          <w:trHeight w:val="227"/>
          <w:jc w:val="center"/>
        </w:trPr>
        <w:tc>
          <w:tcPr>
            <w:tcW w:w="2076" w:type="dxa"/>
            <w:shd w:val="clear" w:color="auto" w:fill="auto"/>
            <w:vAlign w:val="bottom"/>
          </w:tcPr>
          <w:p w:rsidR="00774081" w:rsidRPr="00F973CA" w:rsidRDefault="00774081" w:rsidP="00F14771">
            <w:pPr>
              <w:jc w:val="both"/>
              <w:rPr>
                <w:rFonts w:asciiTheme="minorHAnsi" w:hAnsiTheme="minorHAnsi" w:cs="Arial"/>
                <w:sz w:val="18"/>
                <w:szCs w:val="18"/>
              </w:rPr>
            </w:pPr>
            <w:r w:rsidRPr="00F973CA">
              <w:rPr>
                <w:rFonts w:asciiTheme="minorHAnsi" w:hAnsiTheme="minorHAnsi"/>
                <w:sz w:val="18"/>
                <w:szCs w:val="18"/>
              </w:rPr>
              <w:t>BBVA</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2,3</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1,9</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-0,4</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1,9</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1,6</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-0,3</w:t>
            </w:r>
          </w:p>
        </w:tc>
      </w:tr>
      <w:tr w:rsidR="00774081" w:rsidRPr="00F973CA" w:rsidTr="00F14771">
        <w:trPr>
          <w:trHeight w:val="227"/>
          <w:jc w:val="center"/>
        </w:trPr>
        <w:tc>
          <w:tcPr>
            <w:tcW w:w="2076" w:type="dxa"/>
            <w:shd w:val="clear" w:color="auto" w:fill="auto"/>
            <w:vAlign w:val="bottom"/>
          </w:tcPr>
          <w:p w:rsidR="00774081" w:rsidRPr="00F973CA" w:rsidRDefault="00774081" w:rsidP="00F14771">
            <w:pPr>
              <w:jc w:val="both"/>
              <w:rPr>
                <w:rFonts w:asciiTheme="minorHAnsi" w:hAnsiTheme="minorHAnsi" w:cs="Arial"/>
                <w:sz w:val="18"/>
                <w:szCs w:val="18"/>
              </w:rPr>
            </w:pPr>
            <w:r w:rsidRPr="00F973CA">
              <w:rPr>
                <w:rFonts w:asciiTheme="minorHAnsi" w:hAnsiTheme="minorHAnsi"/>
                <w:sz w:val="18"/>
                <w:szCs w:val="18"/>
              </w:rPr>
              <w:t>NMF</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2,1</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2,2</w:t>
            </w:r>
          </w:p>
        </w:tc>
        <w:tc>
          <w:tcPr>
            <w:tcW w:w="1067" w:type="dxa"/>
            <w:shd w:val="clear" w:color="auto" w:fill="auto"/>
            <w:vAlign w:val="bottom"/>
          </w:tcPr>
          <w:p w:rsidR="00774081" w:rsidRPr="00F973CA" w:rsidRDefault="00774081" w:rsidP="00F14771">
            <w:pPr>
              <w:jc w:val="center"/>
              <w:rPr>
                <w:rFonts w:asciiTheme="minorHAnsi" w:hAnsiTheme="minorHAnsi" w:cs="Arial"/>
                <w:color w:val="00B050"/>
                <w:sz w:val="18"/>
                <w:szCs w:val="18"/>
              </w:rPr>
            </w:pPr>
            <w:r w:rsidRPr="00F973CA">
              <w:rPr>
                <w:rFonts w:asciiTheme="minorHAnsi" w:hAnsiTheme="minorHAnsi"/>
                <w:color w:val="00B050"/>
                <w:sz w:val="18"/>
                <w:szCs w:val="18"/>
              </w:rPr>
              <w:t>+0,1</w:t>
            </w:r>
          </w:p>
        </w:tc>
        <w:tc>
          <w:tcPr>
            <w:tcW w:w="969"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1,9</w:t>
            </w:r>
          </w:p>
        </w:tc>
        <w:tc>
          <w:tcPr>
            <w:tcW w:w="997" w:type="dxa"/>
            <w:shd w:val="clear" w:color="auto" w:fill="auto"/>
            <w:vAlign w:val="bottom"/>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 1,8</w:t>
            </w:r>
          </w:p>
        </w:tc>
        <w:tc>
          <w:tcPr>
            <w:tcW w:w="1067" w:type="dxa"/>
            <w:shd w:val="clear" w:color="auto" w:fill="auto"/>
            <w:vAlign w:val="bottom"/>
          </w:tcPr>
          <w:p w:rsidR="00774081" w:rsidRPr="00F973CA" w:rsidRDefault="00774081" w:rsidP="00F14771">
            <w:pPr>
              <w:jc w:val="center"/>
              <w:rPr>
                <w:rFonts w:asciiTheme="minorHAnsi" w:hAnsiTheme="minorHAnsi" w:cs="Arial"/>
                <w:color w:val="FF0000"/>
                <w:sz w:val="18"/>
                <w:szCs w:val="18"/>
              </w:rPr>
            </w:pPr>
            <w:r w:rsidRPr="00F973CA">
              <w:rPr>
                <w:rFonts w:asciiTheme="minorHAnsi" w:hAnsiTheme="minorHAnsi"/>
                <w:color w:val="FF0000"/>
                <w:sz w:val="18"/>
                <w:szCs w:val="18"/>
              </w:rPr>
              <w:t>-0,1</w:t>
            </w:r>
          </w:p>
        </w:tc>
      </w:tr>
    </w:tbl>
    <w:p w:rsidR="006E7F14" w:rsidRPr="006E7F14" w:rsidRDefault="006E7F14" w:rsidP="00774081">
      <w:pPr>
        <w:spacing w:line="360" w:lineRule="auto"/>
        <w:jc w:val="both"/>
        <w:rPr>
          <w:rFonts w:ascii="Arial" w:hAnsi="Arial" w:cs="Arial"/>
          <w:sz w:val="18"/>
          <w:szCs w:val="18"/>
          <w:lang w:val="es-ES_tradnl"/>
        </w:rPr>
      </w:pPr>
    </w:p>
    <w:p w:rsidR="006E7F14" w:rsidRDefault="00774081" w:rsidP="00774081">
      <w:pPr>
        <w:spacing w:line="360" w:lineRule="auto"/>
        <w:jc w:val="both"/>
        <w:rPr>
          <w:rFonts w:ascii="Arial" w:hAnsi="Arial" w:cs="Arial"/>
        </w:rPr>
      </w:pPr>
      <w:r>
        <w:rPr>
          <w:rFonts w:ascii="Arial" w:hAnsi="Arial"/>
        </w:rPr>
        <w:t xml:space="preserve">Espainiako Bankuaren kasuan, adibidez, beheranzko berrikuspena 4 eta 2 hamarrenekoa da 2019an eta 2020an, hurrenez </w:t>
      </w:r>
      <w:proofErr w:type="spellStart"/>
      <w:r>
        <w:rPr>
          <w:rFonts w:ascii="Arial" w:hAnsi="Arial"/>
        </w:rPr>
        <w:t>hurren</w:t>
      </w:r>
      <w:proofErr w:type="spellEnd"/>
      <w:r>
        <w:rPr>
          <w:rFonts w:ascii="Arial" w:hAnsi="Arial"/>
        </w:rPr>
        <w:t>.</w:t>
      </w:r>
    </w:p>
    <w:p w:rsidR="006E7F14" w:rsidRDefault="00774081" w:rsidP="00774081">
      <w:pPr>
        <w:spacing w:line="360" w:lineRule="auto"/>
        <w:jc w:val="both"/>
        <w:rPr>
          <w:rFonts w:ascii="Arial" w:hAnsi="Arial" w:cs="Arial"/>
        </w:rPr>
      </w:pPr>
      <w:r>
        <w:rPr>
          <w:rFonts w:ascii="Arial" w:hAnsi="Arial"/>
        </w:rPr>
        <w:t>2019ko aurreikuspen-zifra jaisteak 2020ko estimazioa baldintzatzen du, zeina estatistikoki beherantz baitoa, jarraian azaltzen den bezala, hiruhileko bide bererako urteko batez bestekoa txikiagoa baita.</w:t>
      </w:r>
    </w:p>
    <w:p w:rsidR="006E7F14" w:rsidRDefault="00774081" w:rsidP="00774081">
      <w:pPr>
        <w:numPr>
          <w:ilvl w:val="0"/>
          <w:numId w:val="3"/>
        </w:numPr>
        <w:spacing w:line="360" w:lineRule="auto"/>
        <w:ind w:left="0" w:firstLine="0"/>
        <w:jc w:val="both"/>
        <w:rPr>
          <w:rFonts w:ascii="Arial" w:hAnsi="Arial" w:cs="Arial"/>
        </w:rPr>
      </w:pPr>
      <w:r>
        <w:rPr>
          <w:rFonts w:ascii="Arial" w:hAnsi="Arial"/>
        </w:rPr>
        <w:t xml:space="preserve">Ildo horretan, eta argudiatzeko bigarren bloke gisa, 2020rako espero den hiruhileko profila ia ez da aldatu. </w:t>
      </w:r>
    </w:p>
    <w:p w:rsidR="006E7F14" w:rsidRDefault="00774081" w:rsidP="00774081">
      <w:pPr>
        <w:spacing w:line="360" w:lineRule="auto"/>
        <w:jc w:val="both"/>
        <w:rPr>
          <w:rFonts w:ascii="Arial" w:hAnsi="Arial" w:cs="Arial"/>
        </w:rPr>
      </w:pPr>
      <w:r>
        <w:rPr>
          <w:rFonts w:ascii="Arial" w:hAnsi="Arial"/>
        </w:rPr>
        <w:t xml:space="preserve">Aurtengo maiatzean eta ekainean, erakundeek % 2,0 inguruko hazkunde-aurreikuspena egiten zuten Espainiarako 2020rako, eta kopuru hori bateragarria da batez besteko hiruhilekoko aurrerapenekin (% 0,4-% 0,5). Izan ere, hiruhilekoko profil hori ia ez da aldatu udararen pasata egindako aurreikuspenak jaitsi ondoren; alabaina, hiruhilekoko aldaketa berberetarako (% 0,4tik % 0,5era), 2020ko Espainiako </w:t>
      </w:r>
      <w:proofErr w:type="spellStart"/>
      <w:r>
        <w:rPr>
          <w:rFonts w:ascii="Arial" w:hAnsi="Arial"/>
        </w:rPr>
        <w:t>BPGa</w:t>
      </w:r>
      <w:proofErr w:type="spellEnd"/>
      <w:r>
        <w:rPr>
          <w:rFonts w:ascii="Arial" w:hAnsi="Arial"/>
        </w:rPr>
        <w:t xml:space="preserve"> % 1,7-% 1,8 haziko litzateke orain, eta maila horretantxe kokatzen dira egungo aurreikuspenak. </w:t>
      </w:r>
    </w:p>
    <w:p w:rsidR="006E7F14" w:rsidRDefault="00774081" w:rsidP="00774081">
      <w:pPr>
        <w:spacing w:line="360" w:lineRule="auto"/>
        <w:jc w:val="both"/>
        <w:rPr>
          <w:rFonts w:ascii="Arial" w:hAnsi="Arial" w:cs="Arial"/>
        </w:rPr>
      </w:pPr>
      <w:r>
        <w:rPr>
          <w:rFonts w:ascii="Arial" w:hAnsi="Arial"/>
        </w:rPr>
        <w:t xml:space="preserve">Horregatik, eta Espainiako kasuan 2020ko berrikuspena, hein handi batean, 2019ko eragin estatistikoaren ondorio denez, ez dago hori dela-eta Nafarroakoak aldatzeko arrazoirik; izan ere, jarraian azaltzen den bezala, aurreikusitako % 2,7a betetzeko bidean daude. </w:t>
      </w:r>
    </w:p>
    <w:p w:rsidR="006E7F14" w:rsidRDefault="00774081" w:rsidP="00774081">
      <w:pPr>
        <w:numPr>
          <w:ilvl w:val="0"/>
          <w:numId w:val="3"/>
        </w:numPr>
        <w:spacing w:line="360" w:lineRule="auto"/>
        <w:ind w:left="0" w:firstLine="0"/>
        <w:jc w:val="both"/>
        <w:rPr>
          <w:rFonts w:ascii="Arial" w:hAnsi="Arial" w:cs="Arial"/>
        </w:rPr>
      </w:pPr>
      <w:r>
        <w:rPr>
          <w:rFonts w:ascii="Arial" w:hAnsi="Arial"/>
        </w:rPr>
        <w:lastRenderedPageBreak/>
        <w:t>Azkenik, posible da eskualde-ekonomiak urte honetarako aurreikusitako % 2,7ko hazkundea lortzea, eta ez dago pisuzko arrazoirik 2020rako proiektatutako % 2,2a aldatzeko (2. taula).</w:t>
      </w:r>
    </w:p>
    <w:p w:rsidR="006E7F14" w:rsidRDefault="00774081" w:rsidP="00774081">
      <w:pPr>
        <w:spacing w:line="360" w:lineRule="auto"/>
        <w:jc w:val="both"/>
        <w:rPr>
          <w:rFonts w:ascii="Arial" w:hAnsi="Arial" w:cs="Arial"/>
        </w:rPr>
      </w:pPr>
      <w:r>
        <w:rPr>
          <w:rFonts w:ascii="Arial" w:hAnsi="Arial"/>
        </w:rPr>
        <w:t xml:space="preserve">Egia da eskualdeko egoeraren araberako adierazle batzuk agortze-sintomak ematen hasi direla, baina orain arte, hiruhileko batetik aurrera aurreratzen ari den jardueraren leuntze- eta moderazio-parametroen barruan sartzen dira.  </w:t>
      </w:r>
    </w:p>
    <w:p w:rsidR="006E7F14" w:rsidRDefault="00774081" w:rsidP="00774081">
      <w:pPr>
        <w:spacing w:line="360" w:lineRule="auto"/>
        <w:jc w:val="both"/>
        <w:rPr>
          <w:rFonts w:ascii="Arial" w:hAnsi="Arial" w:cs="Arial"/>
        </w:rPr>
      </w:pPr>
      <w:r>
        <w:rPr>
          <w:rFonts w:ascii="Arial" w:hAnsi="Arial"/>
        </w:rPr>
        <w:t xml:space="preserve">Joan den urriaren 31n </w:t>
      </w:r>
      <w:proofErr w:type="spellStart"/>
      <w:r>
        <w:rPr>
          <w:rFonts w:ascii="Arial" w:hAnsi="Arial"/>
        </w:rPr>
        <w:t>NASTAT-Nafarroako</w:t>
      </w:r>
      <w:proofErr w:type="spellEnd"/>
      <w:r>
        <w:rPr>
          <w:rFonts w:ascii="Arial" w:hAnsi="Arial"/>
        </w:rPr>
        <w:t xml:space="preserve"> Estatistika Institutuak Nafarroako </w:t>
      </w:r>
      <w:proofErr w:type="spellStart"/>
      <w:r>
        <w:rPr>
          <w:rFonts w:ascii="Arial" w:hAnsi="Arial"/>
        </w:rPr>
        <w:t>BPGaren</w:t>
      </w:r>
      <w:proofErr w:type="spellEnd"/>
      <w:r>
        <w:rPr>
          <w:rFonts w:ascii="Arial" w:hAnsi="Arial"/>
        </w:rPr>
        <w:t xml:space="preserve"> aurrerapena zabaldu zuen, hirugarren hiruhilekoari zegokiona; BPG hori urte arteko % 2,5 hazi da. Bada, 2019ko lehen eta bigarren hiruhilekoekiko dakarren </w:t>
      </w:r>
      <w:proofErr w:type="spellStart"/>
      <w:r>
        <w:rPr>
          <w:rFonts w:ascii="Arial" w:hAnsi="Arial"/>
        </w:rPr>
        <w:t>dezelerazioa</w:t>
      </w:r>
      <w:proofErr w:type="spellEnd"/>
      <w:r>
        <w:rPr>
          <w:rFonts w:ascii="Arial" w:hAnsi="Arial"/>
        </w:rPr>
        <w:t xml:space="preserve"> bat dator urte osorako espero den % 2,7arekin; izan ere, laugarren hiruhilekoko datua jakin gabe, </w:t>
      </w:r>
      <w:proofErr w:type="spellStart"/>
      <w:r>
        <w:rPr>
          <w:rFonts w:ascii="Arial" w:hAnsi="Arial"/>
        </w:rPr>
        <w:t>BPGa</w:t>
      </w:r>
      <w:proofErr w:type="spellEnd"/>
      <w:r>
        <w:rPr>
          <w:rFonts w:ascii="Arial" w:hAnsi="Arial"/>
        </w:rPr>
        <w:t xml:space="preserve"> batez beste % 2,7 hazi da urtarriletik irailera bitartean.</w:t>
      </w:r>
    </w:p>
    <w:p w:rsidR="006E7F14" w:rsidRDefault="00774081" w:rsidP="00774081">
      <w:pPr>
        <w:spacing w:line="360" w:lineRule="auto"/>
        <w:jc w:val="both"/>
        <w:rPr>
          <w:rFonts w:ascii="Arial" w:hAnsi="Arial" w:cs="Arial"/>
        </w:rPr>
      </w:pPr>
      <w:r>
        <w:rPr>
          <w:rFonts w:ascii="Arial" w:hAnsi="Arial"/>
        </w:rPr>
        <w:t xml:space="preserve">Era berean, laugarren hiruhilekoan ezagututako lehen datu ekonomikoek ez dute adierazten jarduera gehiago okertu denik. Gizarte Segurantzako afiliazioak % 2,7 hazi ziren urrian, iraileko tasa bera, eta autoen ekoizpenak % 46,9 egin du gora urrian </w:t>
      </w:r>
      <w:proofErr w:type="spellStart"/>
      <w:r>
        <w:rPr>
          <w:rFonts w:ascii="Arial" w:hAnsi="Arial"/>
        </w:rPr>
        <w:t>—hilabete</w:t>
      </w:r>
      <w:proofErr w:type="spellEnd"/>
      <w:r>
        <w:rPr>
          <w:rFonts w:ascii="Arial" w:hAnsi="Arial"/>
        </w:rPr>
        <w:t xml:space="preserve"> horretako industria ekoizpenaren indizean eragina izanen duen igoera da </w:t>
      </w:r>
      <w:proofErr w:type="spellStart"/>
      <w:r>
        <w:rPr>
          <w:rFonts w:ascii="Arial" w:hAnsi="Arial"/>
        </w:rPr>
        <w:t>hori—</w:t>
      </w:r>
      <w:proofErr w:type="spellEnd"/>
      <w:r>
        <w:rPr>
          <w:rFonts w:ascii="Arial" w:hAnsi="Arial"/>
        </w:rPr>
        <w:t>. Gainera, azaroan eta abenduan 2018ko epe berean baino ia % 14,0 auto gehiago fabrikatzea aurreikusten da, eta hori, zalantzarik gabe, hazkundearen kontrahorma baten gisakoa da azken hiruhilekoan.</w:t>
      </w:r>
    </w:p>
    <w:p w:rsidR="00774081" w:rsidRPr="00F973CA" w:rsidRDefault="00774081" w:rsidP="00774081">
      <w:pPr>
        <w:spacing w:line="360" w:lineRule="auto"/>
        <w:jc w:val="center"/>
        <w:rPr>
          <w:rFonts w:asciiTheme="minorHAnsi" w:hAnsiTheme="minorHAnsi" w:cs="Arial"/>
          <w:sz w:val="18"/>
          <w:szCs w:val="18"/>
        </w:rPr>
      </w:pPr>
      <w:bookmarkStart w:id="0" w:name="_GoBack"/>
      <w:r w:rsidRPr="00F973CA">
        <w:rPr>
          <w:rFonts w:asciiTheme="minorHAnsi" w:hAnsiTheme="minorHAnsi"/>
          <w:sz w:val="18"/>
          <w:szCs w:val="18"/>
        </w:rPr>
        <w:t xml:space="preserve">2. taula 2019-2020 urteetako Nafarroako agertoki </w:t>
      </w:r>
      <w:proofErr w:type="spellStart"/>
      <w:r w:rsidRPr="00F973CA">
        <w:rPr>
          <w:rFonts w:asciiTheme="minorHAnsi" w:hAnsiTheme="minorHAnsi"/>
          <w:sz w:val="18"/>
          <w:szCs w:val="18"/>
        </w:rPr>
        <w:t>makroekonomikoa</w:t>
      </w:r>
      <w:proofErr w:type="spellEnd"/>
    </w:p>
    <w:p w:rsidR="00774081" w:rsidRPr="00F973CA" w:rsidRDefault="00774081" w:rsidP="00774081">
      <w:pPr>
        <w:spacing w:line="360" w:lineRule="auto"/>
        <w:jc w:val="center"/>
        <w:rPr>
          <w:rFonts w:asciiTheme="minorHAnsi" w:hAnsiTheme="minorHAnsi" w:cs="Arial"/>
          <w:sz w:val="18"/>
          <w:szCs w:val="18"/>
        </w:rPr>
      </w:pPr>
      <w:r w:rsidRPr="00F973CA">
        <w:rPr>
          <w:rFonts w:asciiTheme="minorHAnsi" w:hAnsiTheme="minorHAnsi"/>
          <w:sz w:val="18"/>
          <w:szCs w:val="18"/>
        </w:rPr>
        <w:t>Urteko arteko aldearen tasak (%)</w:t>
      </w:r>
    </w:p>
    <w:tbl>
      <w:tblPr>
        <w:tblW w:w="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1215"/>
        <w:gridCol w:w="1215"/>
      </w:tblGrid>
      <w:tr w:rsidR="00774081" w:rsidRPr="00F973CA" w:rsidTr="00F14771">
        <w:trPr>
          <w:trHeight w:val="674"/>
          <w:jc w:val="center"/>
        </w:trPr>
        <w:tc>
          <w:tcPr>
            <w:tcW w:w="2700" w:type="dxa"/>
            <w:shd w:val="clear" w:color="auto" w:fill="auto"/>
            <w:vAlign w:val="center"/>
          </w:tcPr>
          <w:p w:rsidR="00774081" w:rsidRPr="00F973CA" w:rsidRDefault="00774081" w:rsidP="00F14771">
            <w:pPr>
              <w:jc w:val="both"/>
              <w:rPr>
                <w:rFonts w:asciiTheme="minorHAnsi" w:hAnsiTheme="minorHAnsi" w:cs="Arial"/>
                <w:b/>
                <w:bCs/>
                <w:sz w:val="18"/>
                <w:szCs w:val="18"/>
              </w:rPr>
            </w:pPr>
            <w:r w:rsidRPr="00F973CA">
              <w:rPr>
                <w:rFonts w:asciiTheme="minorHAnsi" w:hAnsiTheme="minorHAnsi"/>
                <w:b/>
                <w:sz w:val="18"/>
                <w:szCs w:val="18"/>
              </w:rPr>
              <w:t> </w:t>
            </w:r>
          </w:p>
        </w:tc>
        <w:tc>
          <w:tcPr>
            <w:tcW w:w="1215" w:type="dxa"/>
            <w:shd w:val="clear" w:color="auto" w:fill="auto"/>
            <w:vAlign w:val="center"/>
          </w:tcPr>
          <w:p w:rsidR="00774081" w:rsidRPr="00F973CA" w:rsidRDefault="00774081" w:rsidP="00F14771">
            <w:pPr>
              <w:jc w:val="center"/>
              <w:rPr>
                <w:rFonts w:asciiTheme="minorHAnsi" w:hAnsiTheme="minorHAnsi" w:cs="Arial"/>
                <w:bCs/>
                <w:sz w:val="18"/>
                <w:szCs w:val="18"/>
              </w:rPr>
            </w:pPr>
            <w:r w:rsidRPr="00F973CA">
              <w:rPr>
                <w:rFonts w:asciiTheme="minorHAnsi" w:hAnsiTheme="minorHAnsi"/>
                <w:sz w:val="18"/>
                <w:szCs w:val="18"/>
              </w:rPr>
              <w:t>2019(p)</w:t>
            </w:r>
          </w:p>
        </w:tc>
        <w:tc>
          <w:tcPr>
            <w:tcW w:w="1215" w:type="dxa"/>
            <w:shd w:val="clear" w:color="auto" w:fill="auto"/>
            <w:vAlign w:val="center"/>
          </w:tcPr>
          <w:p w:rsidR="00774081" w:rsidRPr="00F973CA" w:rsidRDefault="00774081" w:rsidP="00F14771">
            <w:pPr>
              <w:jc w:val="center"/>
              <w:rPr>
                <w:rFonts w:asciiTheme="minorHAnsi" w:hAnsiTheme="minorHAnsi" w:cs="Arial"/>
                <w:bCs/>
                <w:sz w:val="18"/>
                <w:szCs w:val="18"/>
              </w:rPr>
            </w:pPr>
            <w:r w:rsidRPr="00F973CA">
              <w:rPr>
                <w:rFonts w:asciiTheme="minorHAnsi" w:hAnsiTheme="minorHAnsi"/>
                <w:sz w:val="18"/>
                <w:szCs w:val="18"/>
              </w:rPr>
              <w:t>2020(p)</w:t>
            </w:r>
          </w:p>
        </w:tc>
      </w:tr>
      <w:tr w:rsidR="00774081" w:rsidRPr="00F973CA" w:rsidTr="00F14771">
        <w:trPr>
          <w:trHeight w:val="376"/>
          <w:jc w:val="center"/>
        </w:trPr>
        <w:tc>
          <w:tcPr>
            <w:tcW w:w="2700" w:type="dxa"/>
            <w:shd w:val="clear" w:color="auto" w:fill="auto"/>
            <w:vAlign w:val="center"/>
          </w:tcPr>
          <w:p w:rsidR="00774081" w:rsidRPr="00F973CA" w:rsidRDefault="00774081" w:rsidP="00F14771">
            <w:pPr>
              <w:rPr>
                <w:rFonts w:asciiTheme="minorHAnsi" w:hAnsiTheme="minorHAnsi" w:cs="Arial"/>
                <w:b/>
                <w:bCs/>
                <w:sz w:val="18"/>
                <w:szCs w:val="18"/>
              </w:rPr>
            </w:pPr>
            <w:r w:rsidRPr="00F973CA">
              <w:rPr>
                <w:rFonts w:asciiTheme="minorHAnsi" w:hAnsiTheme="minorHAnsi"/>
                <w:sz w:val="18"/>
                <w:szCs w:val="18"/>
              </w:rPr>
              <w:t xml:space="preserve">BPG erreala </w:t>
            </w:r>
          </w:p>
        </w:tc>
        <w:tc>
          <w:tcPr>
            <w:tcW w:w="1215" w:type="dxa"/>
            <w:shd w:val="clear" w:color="auto" w:fill="auto"/>
            <w:vAlign w:val="center"/>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2,7</w:t>
            </w:r>
          </w:p>
        </w:tc>
        <w:tc>
          <w:tcPr>
            <w:tcW w:w="1215" w:type="dxa"/>
            <w:shd w:val="clear" w:color="auto" w:fill="auto"/>
            <w:vAlign w:val="center"/>
          </w:tcPr>
          <w:p w:rsidR="00774081" w:rsidRPr="00F973CA" w:rsidRDefault="00774081" w:rsidP="00F14771">
            <w:pPr>
              <w:jc w:val="center"/>
              <w:rPr>
                <w:rFonts w:asciiTheme="minorHAnsi" w:hAnsiTheme="minorHAnsi" w:cs="Arial"/>
                <w:sz w:val="18"/>
                <w:szCs w:val="18"/>
              </w:rPr>
            </w:pPr>
            <w:r w:rsidRPr="00F973CA">
              <w:rPr>
                <w:rFonts w:asciiTheme="minorHAnsi" w:hAnsiTheme="minorHAnsi"/>
                <w:sz w:val="18"/>
                <w:szCs w:val="18"/>
              </w:rPr>
              <w:t>2,2</w:t>
            </w:r>
          </w:p>
        </w:tc>
      </w:tr>
    </w:tbl>
    <w:p w:rsidR="006E7F14" w:rsidRPr="00F973CA" w:rsidRDefault="00F973CA" w:rsidP="00774081">
      <w:pPr>
        <w:spacing w:before="120" w:line="300" w:lineRule="exact"/>
        <w:ind w:left="1416" w:firstLine="708"/>
        <w:rPr>
          <w:rFonts w:asciiTheme="minorHAnsi" w:hAnsiTheme="minorHAnsi" w:cs="Arial"/>
          <w:i/>
          <w:sz w:val="16"/>
          <w:szCs w:val="16"/>
        </w:rPr>
      </w:pPr>
      <w:r w:rsidRPr="00F973CA">
        <w:rPr>
          <w:rFonts w:asciiTheme="minorHAnsi" w:hAnsiTheme="minorHAnsi"/>
          <w:i/>
          <w:sz w:val="16"/>
          <w:szCs w:val="16"/>
        </w:rPr>
        <w:t>(p) Aurreikuspena.</w:t>
      </w:r>
    </w:p>
    <w:bookmarkEnd w:id="0"/>
    <w:p w:rsidR="00774081" w:rsidRPr="002078F3" w:rsidRDefault="00774081" w:rsidP="00774081">
      <w:pPr>
        <w:spacing w:line="360" w:lineRule="auto"/>
        <w:jc w:val="both"/>
        <w:rPr>
          <w:rFonts w:ascii="Arial" w:hAnsi="Arial" w:cs="Arial"/>
          <w:lang w:val="es-ES_tradnl"/>
        </w:rPr>
      </w:pPr>
    </w:p>
    <w:p w:rsidR="006E7F14" w:rsidRDefault="00774081" w:rsidP="00774081">
      <w:pPr>
        <w:spacing w:line="360" w:lineRule="auto"/>
        <w:jc w:val="both"/>
        <w:rPr>
          <w:rFonts w:ascii="Arial" w:hAnsi="Arial" w:cs="Arial"/>
        </w:rPr>
      </w:pPr>
      <w:r>
        <w:rPr>
          <w:rFonts w:ascii="Arial" w:hAnsi="Arial"/>
        </w:rPr>
        <w:t xml:space="preserve">Espero dugu, beraz, 2019ko hazkunde ekonomikoak helburu den % 2,7 ingurukoa izatea Nafarroan. </w:t>
      </w:r>
    </w:p>
    <w:p w:rsidR="00774081" w:rsidRPr="002078F3" w:rsidRDefault="00774081" w:rsidP="006E7F14">
      <w:pPr>
        <w:spacing w:line="360" w:lineRule="auto"/>
        <w:jc w:val="both"/>
        <w:rPr>
          <w:rFonts w:ascii="Arial" w:hAnsi="Arial" w:cs="Arial"/>
        </w:rPr>
      </w:pPr>
      <w:r>
        <w:rPr>
          <w:rFonts w:ascii="Arial" w:hAnsi="Arial"/>
        </w:rPr>
        <w:t xml:space="preserve">2020rako, aurreikuspenari eusten zaio. Kontuan izan behar da arantzel-borrokak, </w:t>
      </w:r>
      <w:proofErr w:type="spellStart"/>
      <w:r>
        <w:rPr>
          <w:rFonts w:ascii="Arial" w:hAnsi="Arial"/>
        </w:rPr>
        <w:t>brexit-ak</w:t>
      </w:r>
      <w:proofErr w:type="spellEnd"/>
      <w:r>
        <w:rPr>
          <w:rFonts w:ascii="Arial" w:hAnsi="Arial"/>
        </w:rPr>
        <w:t xml:space="preserve"> eta Alemaniaren ahuleziak Nafarroako ekonomian izanen duten inpaktua jasotzeko, jada kuantifikatzen ari dela jardueraren hazkundea bost hamarren moteltzea 2019tik 2020ra bitartean: % 2,7tik % 2,2ra. Moderazio hori batez beste Espainiarako proiektatzen diren hiru hamarrenak baino zuhurragoa da (1. taula). Gainera, ez dirudi kanpoko narriadurak gehiagora joko duenik. Erakundeak Espainiarentzat hazkunde txikiagoa aurreikusten ari dira datorren urtean, baina beste lurralde batzuentzat, Europakoa kasu, susperraldi arin eta apala espero da 2020an, Nazioarteko Diru Funtsaren arabera.</w:t>
      </w:r>
    </w:p>
    <w:p w:rsidR="006E7F14" w:rsidRDefault="00774081" w:rsidP="00774081">
      <w:pPr>
        <w:spacing w:line="360" w:lineRule="auto"/>
        <w:jc w:val="both"/>
        <w:rPr>
          <w:rFonts w:ascii="Arial" w:hAnsi="Arial" w:cs="Arial"/>
          <w:color w:val="FF0000"/>
        </w:rPr>
      </w:pPr>
      <w:r>
        <w:rPr>
          <w:rFonts w:ascii="Arial" w:hAnsi="Arial"/>
        </w:rPr>
        <w:t xml:space="preserve">Gogoratu behar da, halaber, gure aurreikuspenak </w:t>
      </w:r>
      <w:proofErr w:type="spellStart"/>
      <w:r>
        <w:rPr>
          <w:rFonts w:ascii="Arial" w:hAnsi="Arial"/>
        </w:rPr>
        <w:t>Airefek</w:t>
      </w:r>
      <w:proofErr w:type="spellEnd"/>
      <w:r>
        <w:rPr>
          <w:rFonts w:ascii="Arial" w:hAnsi="Arial"/>
        </w:rPr>
        <w:t xml:space="preserve"> bermatzen dituela, zeinak irailaren 6an igorritako 55/19 txostenean zuhurtzat jotzen baititu, aldagaiaren konfiantza-tartearen erdialdean edo behealdean daudelako, beheranzko joerak egoteko aukera barne. </w:t>
      </w:r>
    </w:p>
    <w:p w:rsidR="006E7F14" w:rsidRDefault="00774081" w:rsidP="00774081">
      <w:pPr>
        <w:spacing w:line="360" w:lineRule="auto"/>
        <w:jc w:val="both"/>
        <w:rPr>
          <w:rFonts w:ascii="Arial" w:hAnsi="Arial" w:cs="Arial"/>
          <w:color w:val="FF0000"/>
        </w:rPr>
      </w:pPr>
      <w:r>
        <w:rPr>
          <w:rFonts w:ascii="Arial" w:hAnsi="Arial"/>
        </w:rPr>
        <w:t xml:space="preserve">Azken batean, egia bada ere Nafarroako ingurune ekonomikoa moteltzen ari dela, moderazio hori makro agertokian jasota zegoen, urtero hazkunde-tasa txikiagoak proiektatzen baitziren. </w:t>
      </w:r>
      <w:proofErr w:type="spellStart"/>
      <w:r>
        <w:rPr>
          <w:rFonts w:ascii="Arial" w:hAnsi="Arial"/>
        </w:rPr>
        <w:t>Desazelerazio</w:t>
      </w:r>
      <w:proofErr w:type="spellEnd"/>
      <w:r>
        <w:rPr>
          <w:rFonts w:ascii="Arial" w:hAnsi="Arial"/>
        </w:rPr>
        <w:t xml:space="preserve"> horren intentsitatea edo abiadura erabilitako proiekzio-parametroen eta -tarteen barruan sartzen da, diogun bezala.  Era berean, azken egunotan datu ekonomiko hobeak ezagutuz joan dira Europan, hala nola manufaktura-industriaren enpresa-konfiantza, eta aurreikuspenen kutsu apokaliptikoa murriztu egin da, eta horrek egungo gure agertoki makroari eustea indartzen du. </w:t>
      </w:r>
    </w:p>
    <w:p w:rsidR="006E7F14" w:rsidRDefault="00774081" w:rsidP="00774081">
      <w:pPr>
        <w:pStyle w:val="ANUEVO"/>
        <w:spacing w:line="360" w:lineRule="auto"/>
        <w:rPr>
          <w:rFonts w:cs="Arial"/>
          <w:i w:val="0"/>
          <w:color w:val="auto"/>
          <w:sz w:val="24"/>
          <w:szCs w:val="24"/>
        </w:rPr>
      </w:pPr>
      <w:r>
        <w:rPr>
          <w:i w:val="0"/>
          <w:color w:val="auto"/>
          <w:sz w:val="24"/>
          <w:szCs w:val="24"/>
        </w:rPr>
        <w:t>Hori guztia jakinarazten dizut, Nafarroako Parlamentuko Erregelamenduaren 194. artikulua betez.</w:t>
      </w:r>
    </w:p>
    <w:p w:rsidR="006E7F14" w:rsidRDefault="00774081" w:rsidP="00774081">
      <w:pPr>
        <w:ind w:firstLine="708"/>
        <w:rPr>
          <w:rFonts w:ascii="Arial" w:hAnsi="Arial" w:cs="Arial"/>
        </w:rPr>
      </w:pPr>
      <w:r>
        <w:rPr>
          <w:rFonts w:ascii="Arial" w:hAnsi="Arial"/>
        </w:rPr>
        <w:t>Iruñean, 2019ko azaroaren 22an</w:t>
      </w:r>
    </w:p>
    <w:p w:rsidR="00774081" w:rsidRPr="002078F3" w:rsidRDefault="00774081" w:rsidP="00774081">
      <w:pPr>
        <w:spacing w:before="240" w:line="360" w:lineRule="auto"/>
        <w:ind w:firstLine="709"/>
        <w:jc w:val="center"/>
        <w:rPr>
          <w:rFonts w:ascii="Arial" w:hAnsi="Arial" w:cs="Arial"/>
          <w:bCs/>
        </w:rPr>
      </w:pPr>
      <w:r>
        <w:rPr>
          <w:rFonts w:ascii="Arial" w:hAnsi="Arial"/>
          <w:bCs/>
        </w:rPr>
        <w:t xml:space="preserve">Ekonomia eta Ogasuneko kontseilaria: </w:t>
      </w:r>
      <w:proofErr w:type="spellStart"/>
      <w:r>
        <w:rPr>
          <w:rFonts w:ascii="Arial" w:hAnsi="Arial"/>
          <w:bCs/>
        </w:rPr>
        <w:t>Elma</w:t>
      </w:r>
      <w:proofErr w:type="spellEnd"/>
      <w:r>
        <w:rPr>
          <w:rFonts w:ascii="Arial" w:hAnsi="Arial"/>
          <w:bCs/>
        </w:rPr>
        <w:t xml:space="preserve"> Saiz </w:t>
      </w:r>
      <w:proofErr w:type="spellStart"/>
      <w:r>
        <w:rPr>
          <w:rFonts w:ascii="Arial" w:hAnsi="Arial"/>
          <w:bCs/>
        </w:rPr>
        <w:t>Delgado</w:t>
      </w:r>
      <w:proofErr w:type="spellEnd"/>
    </w:p>
    <w:sectPr w:rsidR="00774081" w:rsidRPr="002078F3" w:rsidSect="006E7F14">
      <w:headerReference w:type="first" r:id="rId8"/>
      <w:pgSz w:w="11906" w:h="16838" w:code="9"/>
      <w:pgMar w:top="1560" w:right="1418" w:bottom="993"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73" w:rsidRDefault="00BA5873">
      <w:r>
        <w:separator/>
      </w:r>
    </w:p>
  </w:endnote>
  <w:endnote w:type="continuationSeparator" w:id="0">
    <w:p w:rsidR="00BA5873" w:rsidRDefault="00BA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Liberation Mon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73" w:rsidRDefault="00BA5873">
      <w:r>
        <w:separator/>
      </w:r>
    </w:p>
  </w:footnote>
  <w:footnote w:type="continuationSeparator" w:id="0">
    <w:p w:rsidR="00BA5873" w:rsidRDefault="00BA5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83" w:rsidRDefault="00287783"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222"/>
    <w:multiLevelType w:val="hybridMultilevel"/>
    <w:tmpl w:val="4F722936"/>
    <w:lvl w:ilvl="0" w:tplc="6F86F6D0">
      <w:start w:val="1"/>
      <w:numFmt w:val="bullet"/>
      <w:lvlText w:val="-"/>
      <w:lvlJc w:val="left"/>
      <w:pPr>
        <w:ind w:left="720" w:hanging="360"/>
      </w:pPr>
      <w:rPr>
        <w:rFonts w:ascii="Arial" w:hAnsi="Aria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0C4CBD"/>
    <w:multiLevelType w:val="hybridMultilevel"/>
    <w:tmpl w:val="9C028A2C"/>
    <w:lvl w:ilvl="0" w:tplc="F88257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65A6539"/>
    <w:multiLevelType w:val="hybridMultilevel"/>
    <w:tmpl w:val="34E80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0E4A33"/>
    <w:rsid w:val="00114D0A"/>
    <w:rsid w:val="001356D8"/>
    <w:rsid w:val="001861B5"/>
    <w:rsid w:val="001D0436"/>
    <w:rsid w:val="001E3FB5"/>
    <w:rsid w:val="001E7275"/>
    <w:rsid w:val="00205437"/>
    <w:rsid w:val="00287783"/>
    <w:rsid w:val="002D1038"/>
    <w:rsid w:val="002E36EF"/>
    <w:rsid w:val="003326DB"/>
    <w:rsid w:val="00355E3F"/>
    <w:rsid w:val="003737A4"/>
    <w:rsid w:val="00377B13"/>
    <w:rsid w:val="003B6B5E"/>
    <w:rsid w:val="003C04F6"/>
    <w:rsid w:val="00437DEA"/>
    <w:rsid w:val="005332E5"/>
    <w:rsid w:val="00556C67"/>
    <w:rsid w:val="006612AD"/>
    <w:rsid w:val="006D16AF"/>
    <w:rsid w:val="006E7F14"/>
    <w:rsid w:val="00774081"/>
    <w:rsid w:val="008B423E"/>
    <w:rsid w:val="008F42F9"/>
    <w:rsid w:val="009C012B"/>
    <w:rsid w:val="009C19CF"/>
    <w:rsid w:val="009D24AE"/>
    <w:rsid w:val="00A2166B"/>
    <w:rsid w:val="00A91ABD"/>
    <w:rsid w:val="00A95C02"/>
    <w:rsid w:val="00B819BB"/>
    <w:rsid w:val="00BA45A1"/>
    <w:rsid w:val="00BA5873"/>
    <w:rsid w:val="00BC6038"/>
    <w:rsid w:val="00CC156D"/>
    <w:rsid w:val="00DF6784"/>
    <w:rsid w:val="00F14771"/>
    <w:rsid w:val="00F44D88"/>
    <w:rsid w:val="00F65F6B"/>
    <w:rsid w:val="00F973CA"/>
    <w:rsid w:val="00FE62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u-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984</Words>
  <Characters>7022</Characters>
  <Application>Microsoft Office Word</Application>
  <DocSecurity>0</DocSecurity>
  <Lines>58</Lines>
  <Paragraphs>15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Iñaki De Santiago</cp:lastModifiedBy>
  <cp:revision>4</cp:revision>
  <cp:lastPrinted>2006-05-15T11:01:00Z</cp:lastPrinted>
  <dcterms:created xsi:type="dcterms:W3CDTF">2020-01-28T08:44:00Z</dcterms:created>
  <dcterms:modified xsi:type="dcterms:W3CDTF">2020-01-28T09:14:00Z</dcterms:modified>
</cp:coreProperties>
</file>