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8B" w:rsidRDefault="003B5F30" w:rsidP="00C946CD">
      <w:pPr>
        <w:tabs>
          <w:tab w:val="left" w:pos="3780"/>
        </w:tabs>
        <w:spacing w:line="288" w:lineRule="auto"/>
        <w:jc w:val="both"/>
        <w:rPr>
          <w:rFonts w:ascii="Century Gothic" w:hAnsi="Century Gothic"/>
        </w:rPr>
      </w:pPr>
      <w:r>
        <w:rPr>
          <w:rFonts w:ascii="Century Gothic" w:hAnsi="Century Gothic"/>
        </w:rPr>
        <w:t xml:space="preserve">Navarra Suma talde parlamentarioari atxikitako foru parlamentari Cristina Ibarrola </w:t>
      </w:r>
      <w:proofErr w:type="spellStart"/>
      <w:r>
        <w:rPr>
          <w:rFonts w:ascii="Century Gothic" w:hAnsi="Century Gothic"/>
        </w:rPr>
        <w:t>Guillén</w:t>
      </w:r>
      <w:proofErr w:type="spellEnd"/>
      <w:r>
        <w:rPr>
          <w:rFonts w:ascii="Century Gothic" w:hAnsi="Century Gothic"/>
        </w:rPr>
        <w:t xml:space="preserve"> andreak 10-19- PES-00121 idatzizko galdera aurkeztu du, zeinaren bidez “informazioa eskatzen baitu tabakoaren aurkako tratamenduaren finantzaketari buruz”. Hona Nafarroako Gobernuko Osasuneko kontseilariak horri buruz eman beharreko informazioa:</w:t>
      </w:r>
    </w:p>
    <w:p w:rsidR="00E7518B" w:rsidRDefault="00DB4445" w:rsidP="00C946CD">
      <w:pPr>
        <w:spacing w:line="288" w:lineRule="auto"/>
        <w:jc w:val="both"/>
        <w:rPr>
          <w:rFonts w:ascii="Century Gothic" w:hAnsi="Century Gothic"/>
        </w:rPr>
      </w:pPr>
      <w:r>
        <w:rPr>
          <w:rFonts w:ascii="Century Gothic" w:hAnsi="Century Gothic"/>
        </w:rPr>
        <w:t>Farmazia Zuzendariordetzak honako informazio hau eman digu:</w:t>
      </w:r>
    </w:p>
    <w:p w:rsidR="00E7518B" w:rsidRDefault="00C55606" w:rsidP="00C946CD">
      <w:pPr>
        <w:spacing w:line="288" w:lineRule="auto"/>
        <w:jc w:val="both"/>
        <w:rPr>
          <w:rFonts w:ascii="Century Gothic" w:hAnsi="Century Gothic"/>
        </w:rPr>
      </w:pPr>
      <w:r>
        <w:rPr>
          <w:rFonts w:ascii="Century Gothic" w:hAnsi="Century Gothic"/>
        </w:rPr>
        <w:t>Osasun Ministerioak, Sendagaien Prezioak aztertzen dituen Ministerioarteko Batzordearen bidez, 2019ko irailaren 30ean eta 2019ko urriaren 30ean bildu baita, erabaki zuen CHAMPIX (</w:t>
      </w:r>
      <w:proofErr w:type="spellStart"/>
      <w:r>
        <w:rPr>
          <w:rFonts w:ascii="Century Gothic" w:hAnsi="Century Gothic"/>
        </w:rPr>
        <w:t>bareniklina</w:t>
      </w:r>
      <w:proofErr w:type="spellEnd"/>
      <w:r>
        <w:rPr>
          <w:rFonts w:ascii="Century Gothic" w:hAnsi="Century Gothic"/>
        </w:rPr>
        <w:t>) eta ZYNTABAC (</w:t>
      </w:r>
      <w:proofErr w:type="spellStart"/>
      <w:r>
        <w:rPr>
          <w:rFonts w:ascii="Century Gothic" w:hAnsi="Century Gothic"/>
        </w:rPr>
        <w:t>bupropiona</w:t>
      </w:r>
      <w:proofErr w:type="spellEnd"/>
      <w:r>
        <w:rPr>
          <w:rFonts w:ascii="Century Gothic" w:hAnsi="Century Gothic"/>
        </w:rPr>
        <w:t>) sendagaiak finantzatzea, honako baldintza hauetan:</w:t>
      </w:r>
    </w:p>
    <w:p w:rsidR="00DB4445" w:rsidRPr="00C946CD" w:rsidRDefault="00DB4445" w:rsidP="00C946CD">
      <w:pPr>
        <w:spacing w:line="288" w:lineRule="auto"/>
        <w:jc w:val="both"/>
        <w:rPr>
          <w:rFonts w:ascii="Century Gothic" w:hAnsi="Century Gothic"/>
          <w:b/>
        </w:rPr>
      </w:pPr>
      <w:r>
        <w:rPr>
          <w:rFonts w:ascii="Century Gothic" w:hAnsi="Century Gothic"/>
          <w:b/>
        </w:rPr>
        <w:t>Finantzatzeko baldintzak:</w:t>
      </w:r>
    </w:p>
    <w:p w:rsidR="00E7518B" w:rsidRDefault="00DB4445" w:rsidP="00C946CD">
      <w:pPr>
        <w:spacing w:line="288" w:lineRule="auto"/>
        <w:jc w:val="both"/>
        <w:rPr>
          <w:rFonts w:ascii="Century Gothic" w:hAnsi="Century Gothic"/>
        </w:rPr>
      </w:pPr>
      <w:r>
        <w:rPr>
          <w:rFonts w:ascii="Century Gothic" w:hAnsi="Century Gothic"/>
        </w:rPr>
        <w:t xml:space="preserve">- Sendagaiaren preskripzioa egiteko, pazienteek tabako-mendekotasuna gainditzeko laguntza-programa batean (banakakoa </w:t>
      </w:r>
      <w:proofErr w:type="spellStart"/>
      <w:r>
        <w:rPr>
          <w:rFonts w:ascii="Century Gothic" w:hAnsi="Century Gothic"/>
        </w:rPr>
        <w:t>eta/edo</w:t>
      </w:r>
      <w:proofErr w:type="spellEnd"/>
      <w:r>
        <w:rPr>
          <w:rFonts w:ascii="Century Gothic" w:hAnsi="Century Gothic"/>
        </w:rPr>
        <w:t xml:space="preserve"> taldekoa) sartuta egon behar dute, eta programa horrek </w:t>
      </w:r>
      <w:proofErr w:type="spellStart"/>
      <w:r>
        <w:rPr>
          <w:rFonts w:ascii="Century Gothic" w:hAnsi="Century Gothic"/>
        </w:rPr>
        <w:t>autonomia-erkidegoetan/INGESAn</w:t>
      </w:r>
      <w:proofErr w:type="spellEnd"/>
      <w:r>
        <w:rPr>
          <w:rFonts w:ascii="Century Gothic" w:hAnsi="Century Gothic"/>
        </w:rPr>
        <w:t xml:space="preserve"> edo mutualitateetan ezarrita egon behar du.</w:t>
      </w:r>
    </w:p>
    <w:p w:rsidR="00DB4445" w:rsidRPr="00C946CD" w:rsidRDefault="00DB4445" w:rsidP="00C946CD">
      <w:pPr>
        <w:spacing w:line="288" w:lineRule="auto"/>
        <w:jc w:val="both"/>
        <w:rPr>
          <w:rFonts w:ascii="Century Gothic" w:hAnsi="Century Gothic"/>
          <w:b/>
        </w:rPr>
      </w:pPr>
      <w:r>
        <w:rPr>
          <w:rFonts w:ascii="Century Gothic" w:hAnsi="Century Gothic"/>
          <w:b/>
        </w:rPr>
        <w:t>Gainera, pazienteek honako ezaugarri hauek bete beharko dituzte:</w:t>
      </w:r>
    </w:p>
    <w:p w:rsidR="00DB4445" w:rsidRPr="00C946CD" w:rsidRDefault="00DB4445" w:rsidP="00C946CD">
      <w:pPr>
        <w:spacing w:line="288" w:lineRule="auto"/>
        <w:jc w:val="both"/>
        <w:rPr>
          <w:rFonts w:ascii="Century Gothic" w:hAnsi="Century Gothic"/>
        </w:rPr>
      </w:pPr>
      <w:r>
        <w:rPr>
          <w:rFonts w:ascii="Century Gothic" w:hAnsi="Century Gothic"/>
        </w:rPr>
        <w:t>Erretzeari uzteko berariazko motibazioa duten pazienteak, azken urtean erretzeari uzteko saiakera egin izana egiazta dezaketenak.</w:t>
      </w:r>
    </w:p>
    <w:p w:rsidR="00E7518B" w:rsidRDefault="00DB4445" w:rsidP="00C946CD">
      <w:pPr>
        <w:spacing w:line="288" w:lineRule="auto"/>
        <w:jc w:val="both"/>
        <w:rPr>
          <w:rFonts w:ascii="Century Gothic" w:hAnsi="Century Gothic"/>
        </w:rPr>
      </w:pPr>
      <w:r>
        <w:rPr>
          <w:rFonts w:ascii="Century Gothic" w:hAnsi="Century Gothic"/>
        </w:rPr>
        <w:t xml:space="preserve">Egunean 10 zigarro edo gehiago erretzen dituzten eta, gainera, </w:t>
      </w:r>
      <w:proofErr w:type="spellStart"/>
      <w:r>
        <w:rPr>
          <w:rFonts w:ascii="Century Gothic" w:hAnsi="Century Gothic"/>
        </w:rPr>
        <w:t>Fagerström</w:t>
      </w:r>
      <w:proofErr w:type="spellEnd"/>
      <w:r>
        <w:rPr>
          <w:rFonts w:ascii="Century Gothic" w:hAnsi="Century Gothic"/>
        </w:rPr>
        <w:t xml:space="preserve"> testaren bidez kalifikatutako ≥ 7 mendekotasun-maila handia duten pazienteak.</w:t>
      </w:r>
    </w:p>
    <w:p w:rsidR="00E7518B" w:rsidRDefault="00DB4445" w:rsidP="00C946CD">
      <w:pPr>
        <w:spacing w:line="288" w:lineRule="auto"/>
        <w:jc w:val="both"/>
        <w:rPr>
          <w:rFonts w:ascii="Century Gothic" w:hAnsi="Century Gothic"/>
        </w:rPr>
      </w:pPr>
      <w:r>
        <w:rPr>
          <w:rFonts w:ascii="Century Gothic" w:hAnsi="Century Gothic"/>
        </w:rPr>
        <w:t xml:space="preserve">- Urtean erretzeari uzteko ahalegin bat finantzatuko da gaixo bakoitzeko, laguntza </w:t>
      </w:r>
      <w:proofErr w:type="spellStart"/>
      <w:r>
        <w:rPr>
          <w:rFonts w:ascii="Century Gothic" w:hAnsi="Century Gothic"/>
        </w:rPr>
        <w:t>farmakologikoarekin</w:t>
      </w:r>
      <w:proofErr w:type="spellEnd"/>
      <w:r>
        <w:rPr>
          <w:rFonts w:ascii="Century Gothic" w:hAnsi="Century Gothic"/>
        </w:rPr>
        <w:t>.</w:t>
      </w:r>
    </w:p>
    <w:p w:rsidR="00DB4445" w:rsidRPr="00C946CD" w:rsidRDefault="00DB4445" w:rsidP="00C946CD">
      <w:pPr>
        <w:spacing w:line="288" w:lineRule="auto"/>
        <w:rPr>
          <w:rFonts w:ascii="Century Gothic" w:hAnsi="Century Gothic"/>
          <w:b/>
        </w:rPr>
      </w:pPr>
      <w:r>
        <w:rPr>
          <w:rFonts w:ascii="Century Gothic" w:hAnsi="Century Gothic"/>
          <w:b/>
        </w:rPr>
        <w:t>Batzordeak erabakitako beste betekizun batzuk:</w:t>
      </w:r>
    </w:p>
    <w:p w:rsidR="00DB4445" w:rsidRPr="00C946CD" w:rsidRDefault="00DB4445" w:rsidP="00C946CD">
      <w:pPr>
        <w:spacing w:line="288" w:lineRule="auto"/>
        <w:rPr>
          <w:rFonts w:ascii="Century Gothic" w:hAnsi="Century Gothic"/>
        </w:rPr>
      </w:pPr>
      <w:r>
        <w:rPr>
          <w:rFonts w:ascii="Century Gothic" w:hAnsi="Century Gothic"/>
        </w:rPr>
        <w:t xml:space="preserve">• Medikamentu horren preskripzioa </w:t>
      </w:r>
      <w:proofErr w:type="spellStart"/>
      <w:r>
        <w:rPr>
          <w:rFonts w:ascii="Century Gothic" w:hAnsi="Century Gothic"/>
        </w:rPr>
        <w:t>autonomia-erkidego/INGESA</w:t>
      </w:r>
      <w:proofErr w:type="spellEnd"/>
      <w:r>
        <w:rPr>
          <w:rFonts w:ascii="Century Gothic" w:hAnsi="Century Gothic"/>
        </w:rPr>
        <w:t xml:space="preserve"> edo mutualitate bakoitzean tabakoa erretzeari uzteko programan hala definitzen diren sendagile profesionaletara mugatzen da.</w:t>
      </w:r>
    </w:p>
    <w:p w:rsidR="00DB4445" w:rsidRPr="00C946CD" w:rsidRDefault="00DB4445" w:rsidP="00C946CD">
      <w:pPr>
        <w:spacing w:line="288" w:lineRule="auto"/>
        <w:rPr>
          <w:rFonts w:ascii="Century Gothic" w:hAnsi="Century Gothic"/>
        </w:rPr>
      </w:pPr>
      <w:r>
        <w:rPr>
          <w:rFonts w:ascii="Century Gothic" w:hAnsi="Century Gothic"/>
        </w:rPr>
        <w:t>• Preskripzio bakoitza ontzi baten bidez eginen da, hau da, hilabeteko tratamenduaren baliokidea izanen da, eta tratamenduaren eraginkortasunaren bilakaera baloratu beharko da hurrengo errezeta eman aurretik.</w:t>
      </w:r>
    </w:p>
    <w:p w:rsidR="00DB4445" w:rsidRPr="00C946CD" w:rsidRDefault="00DB4445" w:rsidP="00C946CD">
      <w:pPr>
        <w:spacing w:line="288" w:lineRule="auto"/>
        <w:rPr>
          <w:rFonts w:ascii="Century Gothic" w:hAnsi="Century Gothic"/>
        </w:rPr>
      </w:pPr>
      <w:r>
        <w:rPr>
          <w:rFonts w:ascii="Century Gothic" w:hAnsi="Century Gothic"/>
        </w:rPr>
        <w:t>• Tratamendua gehienez ere hamabi astera artekoa izanen da, fitxa teknikoan deskribatuta dagoen bezala.</w:t>
      </w:r>
    </w:p>
    <w:p w:rsidR="00DB4445" w:rsidRPr="00C946CD" w:rsidRDefault="00DB4445" w:rsidP="00C946CD">
      <w:pPr>
        <w:spacing w:line="288" w:lineRule="auto"/>
        <w:rPr>
          <w:rFonts w:ascii="Century Gothic" w:hAnsi="Century Gothic"/>
        </w:rPr>
      </w:pPr>
      <w:r>
        <w:rPr>
          <w:rFonts w:ascii="Century Gothic" w:hAnsi="Century Gothic"/>
        </w:rPr>
        <w:t>• Sendagai hori Osasun Sistema Nazionalaren errezeta elektronikoko sistemaren bidez emanen da.</w:t>
      </w:r>
    </w:p>
    <w:p w:rsidR="00E7518B" w:rsidRDefault="00DB4445" w:rsidP="00C946CD">
      <w:pPr>
        <w:spacing w:line="288" w:lineRule="auto"/>
        <w:rPr>
          <w:rFonts w:ascii="Century Gothic" w:hAnsi="Century Gothic"/>
        </w:rPr>
      </w:pPr>
      <w:r>
        <w:rPr>
          <w:rFonts w:ascii="Century Gothic" w:hAnsi="Century Gothic"/>
        </w:rPr>
        <w:lastRenderedPageBreak/>
        <w:t>- Finantzaketa hori fakturazio-izendegian gauzatuko da, 2020ko urtarrilaren 1etik aurrera.</w:t>
      </w:r>
    </w:p>
    <w:p w:rsidR="00E7518B" w:rsidRDefault="00DB4445" w:rsidP="00C946CD">
      <w:pPr>
        <w:spacing w:line="288" w:lineRule="auto"/>
        <w:jc w:val="both"/>
        <w:rPr>
          <w:rFonts w:ascii="Century Gothic" w:hAnsi="Century Gothic"/>
        </w:rPr>
      </w:pPr>
      <w:r>
        <w:rPr>
          <w:rFonts w:ascii="Century Gothic" w:hAnsi="Century Gothic"/>
        </w:rPr>
        <w:t>Egiazta daitekeenez, finantzaketa baldintzak Nafarroak 2017an ezarri zituen ia berberak dira. Izan ere, Lurralde Arteko Kontseiluko Farmazia Batzorde Iraunkorrean, erabakigarria izan zen Nafarroak bere emaitzak aurkeztu izana, programa urtebete funtzionatzen egon ondoren, Osasun Ministerioak sendagai horiek farmazia-prestazioan nola sartu negoziatzen hasteko erabakia har zezan.</w:t>
      </w:r>
    </w:p>
    <w:p w:rsidR="00E7518B" w:rsidRDefault="00C55606" w:rsidP="00C946CD">
      <w:pPr>
        <w:spacing w:line="288" w:lineRule="auto"/>
        <w:jc w:val="both"/>
        <w:rPr>
          <w:rFonts w:ascii="Century Gothic" w:hAnsi="Century Gothic"/>
        </w:rPr>
      </w:pPr>
      <w:r>
        <w:rPr>
          <w:rFonts w:ascii="Century Gothic" w:hAnsi="Century Gothic"/>
        </w:rPr>
        <w:t xml:space="preserve">Cristina Ibarrola andreak aipatzen duen artikulua Trapero doktorearen </w:t>
      </w:r>
      <w:proofErr w:type="spellStart"/>
      <w:r>
        <w:rPr>
          <w:rFonts w:ascii="Century Gothic" w:hAnsi="Century Gothic"/>
          <w:i/>
        </w:rPr>
        <w:t>Cost-effectiveness</w:t>
      </w:r>
      <w:proofErr w:type="spellEnd"/>
      <w:r>
        <w:rPr>
          <w:rFonts w:ascii="Century Gothic" w:hAnsi="Century Gothic"/>
          <w:i/>
        </w:rPr>
        <w:t xml:space="preserve"> </w:t>
      </w:r>
      <w:proofErr w:type="spellStart"/>
      <w:r>
        <w:rPr>
          <w:rFonts w:ascii="Century Gothic" w:hAnsi="Century Gothic"/>
          <w:i/>
        </w:rPr>
        <w:t>of</w:t>
      </w:r>
      <w:proofErr w:type="spellEnd"/>
      <w:r>
        <w:rPr>
          <w:rFonts w:ascii="Century Gothic" w:hAnsi="Century Gothic"/>
          <w:i/>
        </w:rPr>
        <w:t xml:space="preserve"> </w:t>
      </w:r>
      <w:proofErr w:type="spellStart"/>
      <w:r>
        <w:rPr>
          <w:rFonts w:ascii="Century Gothic" w:hAnsi="Century Gothic"/>
          <w:i/>
        </w:rPr>
        <w:t>alternative</w:t>
      </w:r>
      <w:proofErr w:type="spellEnd"/>
      <w:r>
        <w:rPr>
          <w:rFonts w:ascii="Century Gothic" w:hAnsi="Century Gothic"/>
          <w:i/>
        </w:rPr>
        <w:t xml:space="preserve"> smoking </w:t>
      </w:r>
      <w:proofErr w:type="spellStart"/>
      <w:r>
        <w:rPr>
          <w:rFonts w:ascii="Century Gothic" w:hAnsi="Century Gothic"/>
          <w:i/>
        </w:rPr>
        <w:t>cessation</w:t>
      </w:r>
      <w:proofErr w:type="spellEnd"/>
      <w:r>
        <w:rPr>
          <w:rFonts w:ascii="Century Gothic" w:hAnsi="Century Gothic"/>
          <w:i/>
        </w:rPr>
        <w:t xml:space="preserve"> </w:t>
      </w:r>
      <w:proofErr w:type="spellStart"/>
      <w:r>
        <w:rPr>
          <w:rFonts w:ascii="Century Gothic" w:hAnsi="Century Gothic"/>
          <w:i/>
        </w:rPr>
        <w:t>scenarios</w:t>
      </w:r>
      <w:proofErr w:type="spellEnd"/>
      <w:r>
        <w:rPr>
          <w:rFonts w:ascii="Century Gothic" w:hAnsi="Century Gothic"/>
          <w:i/>
        </w:rPr>
        <w:t xml:space="preserve"> </w:t>
      </w:r>
      <w:proofErr w:type="spellStart"/>
      <w:r>
        <w:rPr>
          <w:rFonts w:ascii="Century Gothic" w:hAnsi="Century Gothic"/>
          <w:i/>
        </w:rPr>
        <w:t>in</w:t>
      </w:r>
      <w:proofErr w:type="spellEnd"/>
      <w:r>
        <w:rPr>
          <w:rFonts w:ascii="Century Gothic" w:hAnsi="Century Gothic"/>
          <w:i/>
        </w:rPr>
        <w:t xml:space="preserve"> </w:t>
      </w:r>
      <w:proofErr w:type="spellStart"/>
      <w:r>
        <w:rPr>
          <w:rFonts w:ascii="Century Gothic" w:hAnsi="Century Gothic"/>
          <w:i/>
        </w:rPr>
        <w:t>Spain</w:t>
      </w:r>
      <w:proofErr w:type="spellEnd"/>
      <w:r>
        <w:rPr>
          <w:rFonts w:ascii="Century Gothic" w:hAnsi="Century Gothic"/>
          <w:i/>
        </w:rPr>
        <w:t xml:space="preserve">: </w:t>
      </w:r>
      <w:proofErr w:type="spellStart"/>
      <w:r>
        <w:rPr>
          <w:rFonts w:ascii="Century Gothic" w:hAnsi="Century Gothic"/>
          <w:i/>
        </w:rPr>
        <w:t>results</w:t>
      </w:r>
      <w:proofErr w:type="spellEnd"/>
      <w:r>
        <w:rPr>
          <w:rFonts w:ascii="Century Gothic" w:hAnsi="Century Gothic"/>
          <w:i/>
        </w:rPr>
        <w:t xml:space="preserve"> </w:t>
      </w:r>
      <w:proofErr w:type="spellStart"/>
      <w:r>
        <w:rPr>
          <w:rFonts w:ascii="Century Gothic" w:hAnsi="Century Gothic"/>
          <w:i/>
        </w:rPr>
        <w:t>from</w:t>
      </w:r>
      <w:proofErr w:type="spellEnd"/>
      <w:r>
        <w:rPr>
          <w:rFonts w:ascii="Century Gothic" w:hAnsi="Century Gothic"/>
          <w:i/>
        </w:rPr>
        <w:t xml:space="preserve"> </w:t>
      </w:r>
      <w:proofErr w:type="spellStart"/>
      <w:r>
        <w:rPr>
          <w:rFonts w:ascii="Century Gothic" w:hAnsi="Century Gothic"/>
          <w:i/>
        </w:rPr>
        <w:t>the</w:t>
      </w:r>
      <w:proofErr w:type="spellEnd"/>
      <w:r>
        <w:rPr>
          <w:rFonts w:ascii="Century Gothic" w:hAnsi="Century Gothic"/>
          <w:i/>
        </w:rPr>
        <w:t xml:space="preserve"> EQUIPTMOD</w:t>
      </w:r>
      <w:r>
        <w:rPr>
          <w:rFonts w:ascii="Century Gothic" w:hAnsi="Century Gothic"/>
        </w:rPr>
        <w:t xml:space="preserve"> da, eta 2017an egin zen. Ministerioak ezarri dituen prezio berriekin</w:t>
      </w:r>
      <w:r>
        <w:rPr>
          <w:rFonts w:ascii="Century Gothic" w:hAnsi="Century Gothic"/>
          <w:b/>
        </w:rPr>
        <w:t>, ondorioak guztiz desberdinak dira.</w:t>
      </w:r>
      <w:r>
        <w:rPr>
          <w:rFonts w:ascii="Century Gothic" w:hAnsi="Century Gothic"/>
        </w:rPr>
        <w:t xml:space="preserve"> Izan ere, urriaren 30eko Sendagaien Prezioak aztertzen dituen Ministerioarteko Batzordean Trapero andrearen beste azterlan bat erantsi zitzaigun, Osasun Ministerioak propio eskatua, eta haren arabera prezioen agertoki berri horrekin kostu-eraginkortasun handiena duen aukera </w:t>
      </w:r>
      <w:proofErr w:type="spellStart"/>
      <w:r>
        <w:rPr>
          <w:rFonts w:ascii="Century Gothic" w:hAnsi="Century Gothic"/>
        </w:rPr>
        <w:t>bupropion</w:t>
      </w:r>
      <w:proofErr w:type="spellEnd"/>
      <w:r>
        <w:rPr>
          <w:rFonts w:ascii="Century Gothic" w:hAnsi="Century Gothic"/>
        </w:rPr>
        <w:t xml:space="preserve"> da. </w:t>
      </w:r>
    </w:p>
    <w:p w:rsidR="005A6041" w:rsidRPr="00C946CD" w:rsidRDefault="005A6041" w:rsidP="00C946CD">
      <w:pPr>
        <w:spacing w:line="288" w:lineRule="auto"/>
        <w:rPr>
          <w:rFonts w:ascii="Century Gothic" w:hAnsi="Century Gothic"/>
        </w:rPr>
      </w:pPr>
      <w:r>
        <w:rPr>
          <w:rFonts w:ascii="Century Gothic" w:hAnsi="Century Gothic"/>
        </w:rPr>
        <w:t>Laborategiaren salmenta-prezio berriak:</w:t>
      </w:r>
    </w:p>
    <w:p w:rsidR="005A6041" w:rsidRPr="00C946CD" w:rsidRDefault="005A6041" w:rsidP="00C946CD">
      <w:pPr>
        <w:spacing w:line="288" w:lineRule="auto"/>
        <w:rPr>
          <w:rFonts w:ascii="Century Gothic" w:hAnsi="Century Gothic"/>
          <w:lang w:val="es-ES_tradnl"/>
        </w:rPr>
      </w:pPr>
    </w:p>
    <w:tbl>
      <w:tblPr>
        <w:tblW w:w="8829" w:type="dxa"/>
        <w:tblInd w:w="-214" w:type="dxa"/>
        <w:tblCellMar>
          <w:left w:w="70" w:type="dxa"/>
          <w:right w:w="70" w:type="dxa"/>
        </w:tblCellMar>
        <w:tblLook w:val="04A0" w:firstRow="1" w:lastRow="0" w:firstColumn="1" w:lastColumn="0" w:noHBand="0" w:noVBand="1"/>
      </w:tblPr>
      <w:tblGrid>
        <w:gridCol w:w="7169"/>
        <w:gridCol w:w="1660"/>
      </w:tblGrid>
      <w:tr w:rsidR="005A6041" w:rsidRPr="00A5619A" w:rsidTr="00A5619A">
        <w:trPr>
          <w:trHeight w:val="20"/>
        </w:trPr>
        <w:tc>
          <w:tcPr>
            <w:tcW w:w="7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r w:rsidRPr="00A5619A">
              <w:rPr>
                <w:rFonts w:asciiTheme="minorHAnsi" w:hAnsiTheme="minorHAnsi"/>
                <w:color w:val="000000"/>
                <w:sz w:val="18"/>
                <w:szCs w:val="18"/>
              </w:rPr>
              <w:t>PVL berriak</w:t>
            </w: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xml:space="preserve">CHAMPIX 0,5 mg, PILULAZ ESTALITAKO KONPRIMATUAK , 56 </w:t>
            </w:r>
            <w:proofErr w:type="spellStart"/>
            <w:r w:rsidRPr="00A5619A">
              <w:rPr>
                <w:rFonts w:asciiTheme="minorHAnsi" w:hAnsiTheme="minorHAnsi"/>
                <w:color w:val="000000"/>
                <w:sz w:val="18"/>
                <w:szCs w:val="18"/>
              </w:rPr>
              <w:t>konprimatu</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r w:rsidRPr="00A5619A">
              <w:rPr>
                <w:rFonts w:asciiTheme="minorHAnsi" w:hAnsiTheme="minorHAnsi"/>
                <w:color w:val="000000"/>
                <w:sz w:val="18"/>
                <w:szCs w:val="18"/>
              </w:rPr>
              <w:t>67,02</w:t>
            </w: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xml:space="preserve">CHAMPIX 0,5 mg eta 1 mg, pilulaz estalitako </w:t>
            </w:r>
            <w:proofErr w:type="spellStart"/>
            <w:r w:rsidRPr="00A5619A">
              <w:rPr>
                <w:rFonts w:asciiTheme="minorHAnsi" w:hAnsiTheme="minorHAnsi"/>
                <w:color w:val="000000"/>
                <w:sz w:val="18"/>
                <w:szCs w:val="18"/>
              </w:rPr>
              <w:t>konprimatuak</w:t>
            </w:r>
            <w:proofErr w:type="spellEnd"/>
            <w:r w:rsidRPr="00A5619A">
              <w:rPr>
                <w:rFonts w:asciiTheme="minorHAnsi" w:hAnsiTheme="minorHAnsi"/>
                <w:color w:val="000000"/>
                <w:sz w:val="18"/>
                <w:szCs w:val="18"/>
              </w:rPr>
              <w:t>, 11x 0,5 mg + 14 x 1 mg + 28 x 1 mg</w:t>
            </w:r>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r w:rsidRPr="00A5619A">
              <w:rPr>
                <w:rFonts w:asciiTheme="minorHAnsi" w:hAnsiTheme="minorHAnsi"/>
                <w:color w:val="000000"/>
                <w:sz w:val="18"/>
                <w:szCs w:val="18"/>
              </w:rPr>
              <w:t>62,05</w:t>
            </w: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xml:space="preserve">CHAMPIX 1 mg, pilulaz estalitako </w:t>
            </w:r>
            <w:proofErr w:type="spellStart"/>
            <w:r w:rsidRPr="00A5619A">
              <w:rPr>
                <w:rFonts w:asciiTheme="minorHAnsi" w:hAnsiTheme="minorHAnsi"/>
                <w:color w:val="000000"/>
                <w:sz w:val="18"/>
                <w:szCs w:val="18"/>
              </w:rPr>
              <w:t>konprimatuak</w:t>
            </w:r>
            <w:proofErr w:type="spellEnd"/>
            <w:r w:rsidRPr="00A5619A">
              <w:rPr>
                <w:rFonts w:asciiTheme="minorHAnsi" w:hAnsiTheme="minorHAnsi"/>
                <w:color w:val="000000"/>
                <w:sz w:val="18"/>
                <w:szCs w:val="18"/>
              </w:rPr>
              <w:t xml:space="preserve">, 112 </w:t>
            </w:r>
            <w:proofErr w:type="spellStart"/>
            <w:r w:rsidRPr="00A5619A">
              <w:rPr>
                <w:rFonts w:asciiTheme="minorHAnsi" w:hAnsiTheme="minorHAnsi"/>
                <w:color w:val="000000"/>
                <w:sz w:val="18"/>
                <w:szCs w:val="18"/>
              </w:rPr>
              <w:t>konprimatu</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xml:space="preserve">CHAMPIX 1 mg, pilulaz estalitako </w:t>
            </w:r>
            <w:proofErr w:type="spellStart"/>
            <w:r w:rsidRPr="00A5619A">
              <w:rPr>
                <w:rFonts w:asciiTheme="minorHAnsi" w:hAnsiTheme="minorHAnsi"/>
                <w:color w:val="000000"/>
                <w:sz w:val="18"/>
                <w:szCs w:val="18"/>
              </w:rPr>
              <w:t>konprimatuak</w:t>
            </w:r>
            <w:proofErr w:type="spellEnd"/>
            <w:r w:rsidRPr="00A5619A">
              <w:rPr>
                <w:rFonts w:asciiTheme="minorHAnsi" w:hAnsiTheme="minorHAnsi"/>
                <w:color w:val="000000"/>
                <w:sz w:val="18"/>
                <w:szCs w:val="18"/>
              </w:rPr>
              <w:t xml:space="preserve">, 56 </w:t>
            </w:r>
            <w:proofErr w:type="spellStart"/>
            <w:r w:rsidRPr="00A5619A">
              <w:rPr>
                <w:rFonts w:asciiTheme="minorHAnsi" w:hAnsiTheme="minorHAnsi"/>
                <w:color w:val="000000"/>
                <w:sz w:val="18"/>
                <w:szCs w:val="18"/>
              </w:rPr>
              <w:t>konprimatu</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r w:rsidRPr="00A5619A">
              <w:rPr>
                <w:rFonts w:asciiTheme="minorHAnsi" w:hAnsiTheme="minorHAnsi"/>
                <w:color w:val="000000"/>
                <w:sz w:val="18"/>
                <w:szCs w:val="18"/>
              </w:rPr>
              <w:t>64,54</w:t>
            </w: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noWrap/>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xml:space="preserve">ZYNTABAC 150 mg, askapen luzatuko </w:t>
            </w:r>
            <w:proofErr w:type="spellStart"/>
            <w:r w:rsidRPr="00A5619A">
              <w:rPr>
                <w:rFonts w:asciiTheme="minorHAnsi" w:hAnsiTheme="minorHAnsi"/>
                <w:color w:val="000000"/>
                <w:sz w:val="18"/>
                <w:szCs w:val="18"/>
              </w:rPr>
              <w:t>konprimatuak</w:t>
            </w:r>
            <w:proofErr w:type="spellEnd"/>
            <w:r w:rsidRPr="00A5619A">
              <w:rPr>
                <w:rFonts w:asciiTheme="minorHAnsi" w:hAnsiTheme="minorHAnsi"/>
                <w:color w:val="000000"/>
                <w:sz w:val="18"/>
                <w:szCs w:val="18"/>
              </w:rPr>
              <w:t xml:space="preserve"> , 30 </w:t>
            </w:r>
            <w:proofErr w:type="spellStart"/>
            <w:r w:rsidRPr="00A5619A">
              <w:rPr>
                <w:rFonts w:asciiTheme="minorHAnsi" w:hAnsiTheme="minorHAnsi"/>
                <w:color w:val="000000"/>
                <w:sz w:val="18"/>
                <w:szCs w:val="18"/>
              </w:rPr>
              <w:t>konprimatu</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r w:rsidRPr="00A5619A">
              <w:rPr>
                <w:rFonts w:asciiTheme="minorHAnsi" w:hAnsiTheme="minorHAnsi"/>
                <w:color w:val="000000"/>
                <w:sz w:val="18"/>
                <w:szCs w:val="18"/>
              </w:rPr>
              <w:t>10,41</w:t>
            </w:r>
          </w:p>
        </w:tc>
      </w:tr>
      <w:tr w:rsidR="005A6041" w:rsidRPr="00A5619A" w:rsidTr="00A5619A">
        <w:trPr>
          <w:trHeight w:val="20"/>
        </w:trPr>
        <w:tc>
          <w:tcPr>
            <w:tcW w:w="7169" w:type="dxa"/>
            <w:tcBorders>
              <w:top w:val="nil"/>
              <w:left w:val="single" w:sz="4" w:space="0" w:color="auto"/>
              <w:bottom w:val="single" w:sz="4" w:space="0" w:color="auto"/>
              <w:right w:val="single" w:sz="4" w:space="0" w:color="auto"/>
            </w:tcBorders>
            <w:shd w:val="clear" w:color="auto" w:fill="auto"/>
            <w:vAlign w:val="bottom"/>
            <w:hideMark/>
          </w:tcPr>
          <w:p w:rsidR="005A6041" w:rsidRPr="00A5619A" w:rsidRDefault="005A6041" w:rsidP="00A5619A">
            <w:pPr>
              <w:spacing w:before="40" w:after="40"/>
              <w:rPr>
                <w:rFonts w:asciiTheme="minorHAnsi" w:hAnsiTheme="minorHAnsi"/>
                <w:color w:val="000000"/>
                <w:sz w:val="18"/>
                <w:szCs w:val="18"/>
              </w:rPr>
            </w:pPr>
            <w:r w:rsidRPr="00A5619A">
              <w:rPr>
                <w:rFonts w:asciiTheme="minorHAnsi" w:hAnsiTheme="minorHAnsi"/>
                <w:color w:val="000000"/>
                <w:sz w:val="18"/>
                <w:szCs w:val="18"/>
              </w:rPr>
              <w:t xml:space="preserve">ZYNTABAC 150 mg, askapen luzatuko </w:t>
            </w:r>
            <w:proofErr w:type="spellStart"/>
            <w:r w:rsidRPr="00A5619A">
              <w:rPr>
                <w:rFonts w:asciiTheme="minorHAnsi" w:hAnsiTheme="minorHAnsi"/>
                <w:color w:val="000000"/>
                <w:sz w:val="18"/>
                <w:szCs w:val="18"/>
              </w:rPr>
              <w:t>konprimatuak</w:t>
            </w:r>
            <w:proofErr w:type="spellEnd"/>
            <w:r w:rsidRPr="00A5619A">
              <w:rPr>
                <w:rFonts w:asciiTheme="minorHAnsi" w:hAnsiTheme="minorHAnsi"/>
                <w:color w:val="000000"/>
                <w:sz w:val="18"/>
                <w:szCs w:val="18"/>
              </w:rPr>
              <w:t xml:space="preserve"> , 60 </w:t>
            </w:r>
            <w:proofErr w:type="spellStart"/>
            <w:r w:rsidRPr="00A5619A">
              <w:rPr>
                <w:rFonts w:asciiTheme="minorHAnsi" w:hAnsiTheme="minorHAnsi"/>
                <w:color w:val="000000"/>
                <w:sz w:val="18"/>
                <w:szCs w:val="18"/>
              </w:rPr>
              <w:t>konprimatu</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5A6041" w:rsidRPr="00A5619A" w:rsidRDefault="005A6041" w:rsidP="00A5619A">
            <w:pPr>
              <w:spacing w:before="40" w:after="40"/>
              <w:jc w:val="center"/>
              <w:rPr>
                <w:rFonts w:asciiTheme="minorHAnsi" w:hAnsiTheme="minorHAnsi"/>
                <w:color w:val="000000"/>
                <w:sz w:val="18"/>
                <w:szCs w:val="18"/>
              </w:rPr>
            </w:pPr>
            <w:r w:rsidRPr="00A5619A">
              <w:rPr>
                <w:rFonts w:asciiTheme="minorHAnsi" w:hAnsiTheme="minorHAnsi"/>
                <w:color w:val="000000"/>
                <w:sz w:val="18"/>
                <w:szCs w:val="18"/>
              </w:rPr>
              <w:t>20,82</w:t>
            </w:r>
          </w:p>
        </w:tc>
      </w:tr>
    </w:tbl>
    <w:p w:rsidR="00E7518B" w:rsidRDefault="00E7518B" w:rsidP="00C946CD">
      <w:pPr>
        <w:spacing w:line="288" w:lineRule="auto"/>
        <w:rPr>
          <w:rFonts w:ascii="Century Gothic" w:hAnsi="Century Gothic"/>
          <w:lang w:val="es-ES_tradnl"/>
        </w:rPr>
      </w:pPr>
    </w:p>
    <w:p w:rsidR="00E7518B" w:rsidRDefault="005A6041" w:rsidP="00C946CD">
      <w:pPr>
        <w:spacing w:line="288" w:lineRule="auto"/>
        <w:jc w:val="both"/>
        <w:rPr>
          <w:rFonts w:ascii="Century Gothic" w:hAnsi="Century Gothic"/>
        </w:rPr>
      </w:pPr>
      <w:r>
        <w:rPr>
          <w:rFonts w:ascii="Century Gothic" w:hAnsi="Century Gothic"/>
        </w:rPr>
        <w:t xml:space="preserve">Gogoeta ekonomiko horietaz gainera, komeni da gogoratzea paziente batzuek, beren ezaugarriengatik edo </w:t>
      </w:r>
      <w:proofErr w:type="spellStart"/>
      <w:r>
        <w:rPr>
          <w:rFonts w:ascii="Century Gothic" w:hAnsi="Century Gothic"/>
        </w:rPr>
        <w:t>kontraindikazioengatik</w:t>
      </w:r>
      <w:proofErr w:type="spellEnd"/>
      <w:r>
        <w:rPr>
          <w:rFonts w:ascii="Century Gothic" w:hAnsi="Century Gothic"/>
        </w:rPr>
        <w:t xml:space="preserve">, ezin izanen dutela </w:t>
      </w:r>
      <w:proofErr w:type="spellStart"/>
      <w:r>
        <w:rPr>
          <w:rFonts w:ascii="Century Gothic" w:hAnsi="Century Gothic"/>
        </w:rPr>
        <w:t>bareniklinarik</w:t>
      </w:r>
      <w:proofErr w:type="spellEnd"/>
      <w:r>
        <w:rPr>
          <w:rFonts w:ascii="Century Gothic" w:hAnsi="Century Gothic"/>
        </w:rPr>
        <w:t xml:space="preserve"> hartu, eta alderantziz.</w:t>
      </w:r>
      <w:bookmarkStart w:id="0" w:name="_GoBack"/>
      <w:bookmarkEnd w:id="0"/>
    </w:p>
    <w:p w:rsidR="00E7518B" w:rsidRDefault="005A6041" w:rsidP="00C946CD">
      <w:pPr>
        <w:spacing w:line="288" w:lineRule="auto"/>
        <w:jc w:val="both"/>
        <w:rPr>
          <w:rFonts w:ascii="Century Gothic" w:hAnsi="Century Gothic"/>
        </w:rPr>
      </w:pPr>
      <w:r>
        <w:rPr>
          <w:rFonts w:ascii="Century Gothic" w:hAnsi="Century Gothic"/>
        </w:rPr>
        <w:t xml:space="preserve">Bestalde, aurkeztutako azterlanak ez du aztertzen Nafarroak finantzatzen duen eta oraingoz Ministerioak finantzatuko ez duen beste aukera, nikotinaren ordezko adabakiena, zeinek hasiera batean </w:t>
      </w:r>
      <w:proofErr w:type="spellStart"/>
      <w:r>
        <w:rPr>
          <w:rFonts w:ascii="Century Gothic" w:hAnsi="Century Gothic"/>
        </w:rPr>
        <w:t>bupropionak</w:t>
      </w:r>
      <w:proofErr w:type="spellEnd"/>
      <w:r>
        <w:rPr>
          <w:rFonts w:ascii="Century Gothic" w:hAnsi="Century Gothic"/>
        </w:rPr>
        <w:t xml:space="preserve"> eta </w:t>
      </w:r>
      <w:proofErr w:type="spellStart"/>
      <w:r>
        <w:rPr>
          <w:rFonts w:ascii="Century Gothic" w:hAnsi="Century Gothic"/>
        </w:rPr>
        <w:t>bareniklinak</w:t>
      </w:r>
      <w:proofErr w:type="spellEnd"/>
      <w:r>
        <w:rPr>
          <w:rFonts w:ascii="Century Gothic" w:hAnsi="Century Gothic"/>
        </w:rPr>
        <w:t xml:space="preserve"> baino askoz </w:t>
      </w:r>
      <w:proofErr w:type="spellStart"/>
      <w:r>
        <w:rPr>
          <w:rFonts w:ascii="Century Gothic" w:hAnsi="Century Gothic"/>
        </w:rPr>
        <w:t>kontraindikazio</w:t>
      </w:r>
      <w:proofErr w:type="spellEnd"/>
      <w:r>
        <w:rPr>
          <w:rFonts w:ascii="Century Gothic" w:hAnsi="Century Gothic"/>
        </w:rPr>
        <w:t xml:space="preserve"> gutxiago eta ondorio kaltegarri potentzial gutxiago baitituzte; izan ere, Farmaziako Zuzendariordetza hornitzaileen artean lehiaketara atera zuen aukera hori, eta oso prezio lehiakorra lortu zuen.</w:t>
      </w:r>
    </w:p>
    <w:p w:rsidR="00E7518B" w:rsidRDefault="000E7848" w:rsidP="00C946CD">
      <w:pPr>
        <w:spacing w:line="288" w:lineRule="auto"/>
        <w:jc w:val="both"/>
        <w:rPr>
          <w:rFonts w:ascii="Century Gothic" w:hAnsi="Century Gothic"/>
        </w:rPr>
      </w:pPr>
      <w:r>
        <w:rPr>
          <w:rFonts w:ascii="Century Gothic" w:hAnsi="Century Gothic"/>
        </w:rPr>
        <w:t>Hortaz:</w:t>
      </w:r>
    </w:p>
    <w:p w:rsidR="00E7518B" w:rsidRDefault="000E7848" w:rsidP="00C946CD">
      <w:pPr>
        <w:spacing w:line="288" w:lineRule="auto"/>
        <w:jc w:val="both"/>
        <w:rPr>
          <w:rFonts w:ascii="Century Gothic" w:hAnsi="Century Gothic"/>
        </w:rPr>
      </w:pPr>
      <w:r>
        <w:rPr>
          <w:rFonts w:ascii="Century Gothic" w:hAnsi="Century Gothic"/>
        </w:rPr>
        <w:t xml:space="preserve">Osasun Departamentuak ez du tabakoaren mendekotasuna gainditzeko sendagaien finantzaketa-estrategia aldatzeko asmorik. Urtarriletik </w:t>
      </w:r>
      <w:r>
        <w:rPr>
          <w:rFonts w:ascii="Century Gothic" w:hAnsi="Century Gothic"/>
        </w:rPr>
        <w:lastRenderedPageBreak/>
        <w:t>aurrera, botika horiek farmazia-prestazioan sartzen direnean, prezioak nabarmen jaitsiko dira, gaur egungoekin alderatuta; beraz, tabakoa erretzeari uzteko programa gaur egun baino askoz ere merkeago aterako zaigu, eta tratamendu-aukera guztiak finantzatzen jarraituko dugu.</w:t>
      </w:r>
    </w:p>
    <w:p w:rsidR="00E7518B" w:rsidRDefault="00C946CD" w:rsidP="00C946CD">
      <w:pPr>
        <w:tabs>
          <w:tab w:val="left" w:pos="720"/>
        </w:tabs>
        <w:spacing w:line="288" w:lineRule="auto"/>
        <w:jc w:val="both"/>
        <w:rPr>
          <w:rFonts w:ascii="Century Gothic" w:hAnsi="Century Gothic"/>
        </w:rPr>
      </w:pPr>
      <w:r>
        <w:rPr>
          <w:rFonts w:ascii="Century Gothic" w:hAnsi="Century Gothic"/>
        </w:rPr>
        <w:t>Hori guztia jakinarazten dizut, Nafarroako Parlamentuko Erregelamenduaren 194. artikulua betez.</w:t>
      </w:r>
    </w:p>
    <w:p w:rsidR="00E7518B" w:rsidRDefault="00C946CD" w:rsidP="00C946CD">
      <w:pPr>
        <w:tabs>
          <w:tab w:val="left" w:pos="3780"/>
        </w:tabs>
        <w:spacing w:line="288" w:lineRule="auto"/>
        <w:jc w:val="center"/>
        <w:rPr>
          <w:rFonts w:ascii="Century Gothic" w:hAnsi="Century Gothic"/>
        </w:rPr>
      </w:pPr>
      <w:r>
        <w:rPr>
          <w:rFonts w:ascii="Century Gothic" w:hAnsi="Century Gothic"/>
        </w:rPr>
        <w:t>Iruñean, 2019ko azaroaren 12an</w:t>
      </w:r>
    </w:p>
    <w:p w:rsidR="00E7518B" w:rsidRPr="00E7518B" w:rsidRDefault="00E7518B" w:rsidP="00E7518B">
      <w:pPr>
        <w:spacing w:line="288" w:lineRule="auto"/>
        <w:ind w:left="567" w:right="567"/>
        <w:jc w:val="center"/>
        <w:outlineLvl w:val="0"/>
        <w:rPr>
          <w:rFonts w:ascii="Century Gothic" w:hAnsi="Century Gothic"/>
        </w:rPr>
      </w:pPr>
      <w:r>
        <w:rPr>
          <w:rFonts w:ascii="Century Gothic" w:hAnsi="Century Gothic"/>
        </w:rPr>
        <w:t xml:space="preserve">Osasuneko kontseilaria: Santos </w:t>
      </w:r>
      <w:proofErr w:type="spellStart"/>
      <w:r>
        <w:rPr>
          <w:rFonts w:ascii="Century Gothic" w:hAnsi="Century Gothic"/>
        </w:rPr>
        <w:t>Induráin</w:t>
      </w:r>
      <w:proofErr w:type="spellEnd"/>
      <w:r>
        <w:rPr>
          <w:rFonts w:ascii="Century Gothic" w:hAnsi="Century Gothic"/>
        </w:rPr>
        <w:t xml:space="preserve"> Orduna</w:t>
      </w:r>
    </w:p>
    <w:p w:rsidR="00C946CD" w:rsidRPr="00C946CD" w:rsidRDefault="00C946CD" w:rsidP="00C946CD">
      <w:pPr>
        <w:spacing w:line="288" w:lineRule="auto"/>
        <w:rPr>
          <w:rFonts w:ascii="Century Gothic" w:hAnsi="Century Gothic"/>
          <w:lang w:val="es-ES_tradnl"/>
        </w:rPr>
      </w:pPr>
    </w:p>
    <w:sectPr w:rsidR="00C946CD" w:rsidRPr="00C946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9"/>
    <w:rsid w:val="000E603F"/>
    <w:rsid w:val="000E7848"/>
    <w:rsid w:val="0012397A"/>
    <w:rsid w:val="003B5F30"/>
    <w:rsid w:val="005A6041"/>
    <w:rsid w:val="00662BE9"/>
    <w:rsid w:val="00827493"/>
    <w:rsid w:val="009B575A"/>
    <w:rsid w:val="00A5619A"/>
    <w:rsid w:val="00A61EEA"/>
    <w:rsid w:val="00C55606"/>
    <w:rsid w:val="00C946CD"/>
    <w:rsid w:val="00DB4445"/>
    <w:rsid w:val="00E7518B"/>
    <w:rsid w:val="00EA44A4"/>
    <w:rsid w:val="00F63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946CD"/>
    <w:rPr>
      <w:rFonts w:ascii="Tahoma" w:hAnsi="Tahoma" w:cs="Tahoma"/>
      <w:sz w:val="16"/>
      <w:szCs w:val="16"/>
    </w:rPr>
  </w:style>
  <w:style w:type="character" w:customStyle="1" w:styleId="TextodegloboCar">
    <w:name w:val="Texto de globo Car"/>
    <w:basedOn w:val="Fuentedeprrafopredeter"/>
    <w:link w:val="Textodeglobo"/>
    <w:rsid w:val="00C94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946CD"/>
    <w:rPr>
      <w:rFonts w:ascii="Tahoma" w:hAnsi="Tahoma" w:cs="Tahoma"/>
      <w:sz w:val="16"/>
      <w:szCs w:val="16"/>
    </w:rPr>
  </w:style>
  <w:style w:type="character" w:customStyle="1" w:styleId="TextodegloboCar">
    <w:name w:val="Texto de globo Car"/>
    <w:basedOn w:val="Fuentedeprrafopredeter"/>
    <w:link w:val="Textodeglobo"/>
    <w:rsid w:val="00C94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Andrés, Antonio (Subdirector de Farmacia)</dc:creator>
  <cp:lastModifiedBy>Iñaki De Santiago</cp:lastModifiedBy>
  <cp:revision>3</cp:revision>
  <cp:lastPrinted>2019-11-12T12:50:00Z</cp:lastPrinted>
  <dcterms:created xsi:type="dcterms:W3CDTF">2020-01-27T08:35:00Z</dcterms:created>
  <dcterms:modified xsi:type="dcterms:W3CDTF">2020-01-27T08:44:00Z</dcterms:modified>
</cp:coreProperties>
</file>