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19" w:rsidRDefault="00236189" w:rsidP="00236189">
      <w:pPr>
        <w:tabs>
          <w:tab w:val="left" w:pos="3780"/>
        </w:tabs>
        <w:spacing w:after="0" w:line="288" w:lineRule="auto"/>
        <w:jc w:val="both"/>
        <w:rPr>
          <w:rFonts w:ascii="Century Gothic" w:eastAsia="Times New Roman" w:hAnsi="Century Gothic" w:cs="Times New Roman"/>
          <w:sz w:val="24"/>
          <w:szCs w:val="24"/>
          <w:lang w:eastAsia="es-ES"/>
        </w:rPr>
      </w:pPr>
      <w:r w:rsidRPr="00236189">
        <w:rPr>
          <w:rFonts w:ascii="Century Gothic" w:eastAsia="Times New Roman" w:hAnsi="Century Gothic" w:cs="Times New Roman"/>
          <w:sz w:val="24"/>
          <w:szCs w:val="24"/>
          <w:lang w:eastAsia="es-ES"/>
        </w:rPr>
        <w:t>La Consejera de Salud del Gobierno de Navarra, en relación con la pregunta escrita (10-19-PES-00141)</w:t>
      </w:r>
      <w:r w:rsidR="00757A19">
        <w:rPr>
          <w:rFonts w:ascii="Century Gothic" w:eastAsia="Times New Roman" w:hAnsi="Century Gothic" w:cs="Times New Roman"/>
          <w:sz w:val="24"/>
          <w:szCs w:val="24"/>
          <w:lang w:eastAsia="es-ES"/>
        </w:rPr>
        <w:t>,</w:t>
      </w:r>
      <w:r w:rsidRPr="00236189">
        <w:rPr>
          <w:rFonts w:ascii="Century Gothic" w:eastAsia="Times New Roman" w:hAnsi="Century Gothic" w:cs="Times New Roman"/>
          <w:sz w:val="24"/>
          <w:szCs w:val="24"/>
          <w:lang w:eastAsia="es-ES"/>
        </w:rPr>
        <w:t xml:space="preserve">  presentada por el Parlamentario F</w:t>
      </w:r>
      <w:r w:rsidRPr="00236189">
        <w:rPr>
          <w:rFonts w:ascii="Century Gothic" w:eastAsia="Times New Roman" w:hAnsi="Century Gothic" w:cs="Times New Roman"/>
          <w:sz w:val="24"/>
          <w:szCs w:val="24"/>
          <w:lang w:eastAsia="es-ES"/>
        </w:rPr>
        <w:t>o</w:t>
      </w:r>
      <w:r w:rsidRPr="00236189">
        <w:rPr>
          <w:rFonts w:ascii="Century Gothic" w:eastAsia="Times New Roman" w:hAnsi="Century Gothic" w:cs="Times New Roman"/>
          <w:sz w:val="24"/>
          <w:szCs w:val="24"/>
          <w:lang w:eastAsia="es-ES"/>
        </w:rPr>
        <w:t xml:space="preserve">ral Ilmo. Sr. D. </w:t>
      </w:r>
      <w:proofErr w:type="spellStart"/>
      <w:r w:rsidRPr="00236189">
        <w:rPr>
          <w:rFonts w:ascii="Century Gothic" w:eastAsia="Times New Roman" w:hAnsi="Century Gothic" w:cs="Times New Roman"/>
          <w:sz w:val="24"/>
          <w:szCs w:val="24"/>
          <w:lang w:eastAsia="es-ES"/>
        </w:rPr>
        <w:t>Maiorga</w:t>
      </w:r>
      <w:proofErr w:type="spellEnd"/>
      <w:r w:rsidRPr="00236189">
        <w:rPr>
          <w:rFonts w:ascii="Century Gothic" w:eastAsia="Times New Roman" w:hAnsi="Century Gothic" w:cs="Times New Roman"/>
          <w:sz w:val="24"/>
          <w:szCs w:val="24"/>
          <w:lang w:eastAsia="es-ES"/>
        </w:rPr>
        <w:t xml:space="preserve"> Ramírez Erro, adscrito al Grupo Parlamentario de EH </w:t>
      </w:r>
      <w:bookmarkStart w:id="0" w:name="_GoBack"/>
      <w:r w:rsidR="00E5014D" w:rsidRPr="00236189">
        <w:rPr>
          <w:rFonts w:ascii="Century Gothic" w:eastAsia="Times New Roman" w:hAnsi="Century Gothic" w:cs="Times New Roman"/>
          <w:sz w:val="24"/>
          <w:szCs w:val="24"/>
          <w:lang w:eastAsia="es-ES"/>
        </w:rPr>
        <w:t>Bildu</w:t>
      </w:r>
      <w:bookmarkEnd w:id="0"/>
      <w:r w:rsidRPr="00236189">
        <w:rPr>
          <w:rFonts w:ascii="Century Gothic" w:eastAsia="Times New Roman" w:hAnsi="Century Gothic" w:cs="Times New Roman"/>
          <w:sz w:val="24"/>
          <w:szCs w:val="24"/>
          <w:lang w:eastAsia="es-ES"/>
        </w:rPr>
        <w:t>, que solicita “información sobre el proceso de retirada y trat</w:t>
      </w:r>
      <w:r w:rsidRPr="00236189">
        <w:rPr>
          <w:rFonts w:ascii="Century Gothic" w:eastAsia="Times New Roman" w:hAnsi="Century Gothic" w:cs="Times New Roman"/>
          <w:sz w:val="24"/>
          <w:szCs w:val="24"/>
          <w:lang w:eastAsia="es-ES"/>
        </w:rPr>
        <w:t>a</w:t>
      </w:r>
      <w:r w:rsidRPr="00236189">
        <w:rPr>
          <w:rFonts w:ascii="Century Gothic" w:eastAsia="Times New Roman" w:hAnsi="Century Gothic" w:cs="Times New Roman"/>
          <w:sz w:val="24"/>
          <w:szCs w:val="24"/>
          <w:lang w:eastAsia="es-ES"/>
        </w:rPr>
        <w:t>miento de las construcciones de amianto”, tiene el honor de remitirle la siguiente información:</w:t>
      </w:r>
    </w:p>
    <w:p w:rsidR="00CC302F" w:rsidRPr="00236189" w:rsidRDefault="00CC302F" w:rsidP="00236189">
      <w:pPr>
        <w:spacing w:line="288" w:lineRule="auto"/>
        <w:rPr>
          <w:rFonts w:ascii="Century Gothic" w:hAnsi="Century Gothic"/>
          <w:sz w:val="24"/>
          <w:szCs w:val="24"/>
          <w:lang w:val="es-ES_tradnl"/>
        </w:rPr>
      </w:pPr>
      <w:r w:rsidRPr="00236189">
        <w:rPr>
          <w:rFonts w:ascii="Century Gothic" w:hAnsi="Century Gothic"/>
          <w:sz w:val="24"/>
          <w:szCs w:val="24"/>
          <w:lang w:val="es-ES_tradnl"/>
        </w:rPr>
        <w:t>Con respecto a la situación actual del proceso de retirada y tratamie</w:t>
      </w:r>
      <w:r w:rsidRPr="00236189">
        <w:rPr>
          <w:rFonts w:ascii="Century Gothic" w:hAnsi="Century Gothic"/>
          <w:sz w:val="24"/>
          <w:szCs w:val="24"/>
          <w:lang w:val="es-ES_tradnl"/>
        </w:rPr>
        <w:t>n</w:t>
      </w:r>
      <w:r w:rsidRPr="00236189">
        <w:rPr>
          <w:rFonts w:ascii="Century Gothic" w:hAnsi="Century Gothic"/>
          <w:sz w:val="24"/>
          <w:szCs w:val="24"/>
          <w:lang w:val="es-ES_tradnl"/>
        </w:rPr>
        <w:t>to de las construcciones, materiales y estructuras de amianto:</w:t>
      </w:r>
    </w:p>
    <w:p w:rsidR="00CC302F" w:rsidRPr="00236189" w:rsidRDefault="00CC302F" w:rsidP="00236189">
      <w:pPr>
        <w:spacing w:line="288" w:lineRule="auto"/>
        <w:rPr>
          <w:rFonts w:ascii="Century Gothic" w:hAnsi="Century Gothic"/>
          <w:b/>
          <w:sz w:val="24"/>
          <w:szCs w:val="24"/>
          <w:lang w:val="es-ES_tradnl"/>
        </w:rPr>
      </w:pPr>
      <w:r w:rsidRPr="00236189">
        <w:rPr>
          <w:rFonts w:ascii="Century Gothic" w:hAnsi="Century Gothic"/>
          <w:b/>
          <w:sz w:val="24"/>
          <w:szCs w:val="24"/>
          <w:lang w:val="es-ES_tradnl"/>
        </w:rPr>
        <w:t>1.-Valoración de la eficacia u eficiencia de las medidas implementadas hasta este momento.</w:t>
      </w:r>
    </w:p>
    <w:p w:rsidR="00CC302F" w:rsidRPr="00236189" w:rsidRDefault="00B16A9B" w:rsidP="00236189">
      <w:pPr>
        <w:spacing w:line="288" w:lineRule="auto"/>
        <w:rPr>
          <w:rFonts w:ascii="Century Gothic" w:hAnsi="Century Gothic"/>
          <w:b/>
          <w:sz w:val="24"/>
          <w:szCs w:val="24"/>
          <w:lang w:val="es-ES_tradnl"/>
        </w:rPr>
      </w:pPr>
      <w:r w:rsidRPr="00236189">
        <w:rPr>
          <w:rFonts w:ascii="Century Gothic" w:hAnsi="Century Gothic"/>
          <w:b/>
          <w:sz w:val="24"/>
          <w:szCs w:val="24"/>
          <w:lang w:val="es-ES_tradnl"/>
        </w:rPr>
        <w:t>¿Se ha implantado alguna medida y se ha valorado su eficacia y ef</w:t>
      </w:r>
      <w:r w:rsidRPr="00236189">
        <w:rPr>
          <w:rFonts w:ascii="Century Gothic" w:hAnsi="Century Gothic"/>
          <w:b/>
          <w:sz w:val="24"/>
          <w:szCs w:val="24"/>
          <w:lang w:val="es-ES_tradnl"/>
        </w:rPr>
        <w:t>i</w:t>
      </w:r>
      <w:r w:rsidRPr="00236189">
        <w:rPr>
          <w:rFonts w:ascii="Century Gothic" w:hAnsi="Century Gothic"/>
          <w:b/>
          <w:sz w:val="24"/>
          <w:szCs w:val="24"/>
          <w:lang w:val="es-ES_tradnl"/>
        </w:rPr>
        <w:t>ciencia</w:t>
      </w:r>
      <w:r w:rsidR="002A2597" w:rsidRPr="00236189">
        <w:rPr>
          <w:rFonts w:ascii="Century Gothic" w:hAnsi="Century Gothic"/>
          <w:b/>
          <w:sz w:val="24"/>
          <w:szCs w:val="24"/>
          <w:lang w:val="es-ES_tradnl"/>
        </w:rPr>
        <w:t>?</w:t>
      </w:r>
    </w:p>
    <w:p w:rsidR="00B24324" w:rsidRPr="00236189" w:rsidRDefault="00B24324" w:rsidP="00236189">
      <w:p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Tras la constitución del nuevo gobierno y la designación de las personas responsables de la estructura de la Administración</w:t>
      </w:r>
      <w:r w:rsidR="006A4123" w:rsidRPr="00236189">
        <w:rPr>
          <w:rFonts w:ascii="Century Gothic" w:hAnsi="Century Gothic"/>
          <w:sz w:val="24"/>
          <w:szCs w:val="24"/>
          <w:lang w:val="es-ES_tradnl"/>
        </w:rPr>
        <w:t>,</w:t>
      </w:r>
      <w:r w:rsidRPr="00236189">
        <w:rPr>
          <w:rFonts w:ascii="Century Gothic" w:hAnsi="Century Gothic"/>
          <w:sz w:val="24"/>
          <w:szCs w:val="24"/>
          <w:lang w:val="es-ES_tradnl"/>
        </w:rPr>
        <w:t xml:space="preserve"> a lo largo de los m</w:t>
      </w:r>
      <w:r w:rsidRPr="00236189">
        <w:rPr>
          <w:rFonts w:ascii="Century Gothic" w:hAnsi="Century Gothic"/>
          <w:sz w:val="24"/>
          <w:szCs w:val="24"/>
          <w:lang w:val="es-ES_tradnl"/>
        </w:rPr>
        <w:t>e</w:t>
      </w:r>
      <w:r w:rsidRPr="00236189">
        <w:rPr>
          <w:rFonts w:ascii="Century Gothic" w:hAnsi="Century Gothic"/>
          <w:sz w:val="24"/>
          <w:szCs w:val="24"/>
          <w:lang w:val="es-ES_tradnl"/>
        </w:rPr>
        <w:t>ses de julio a octubre se está en periodo de estudio de la necesidad del plan de acción.</w:t>
      </w:r>
    </w:p>
    <w:p w:rsidR="00B24324" w:rsidRPr="00236189" w:rsidRDefault="00236189" w:rsidP="00236189">
      <w:pPr>
        <w:spacing w:line="288" w:lineRule="auto"/>
        <w:jc w:val="both"/>
        <w:rPr>
          <w:rFonts w:ascii="Century Gothic" w:hAnsi="Century Gothic"/>
          <w:b/>
          <w:sz w:val="24"/>
          <w:szCs w:val="24"/>
          <w:lang w:val="es-ES_tradnl"/>
        </w:rPr>
      </w:pPr>
      <w:r>
        <w:rPr>
          <w:rFonts w:ascii="Century Gothic" w:hAnsi="Century Gothic"/>
          <w:b/>
          <w:sz w:val="24"/>
          <w:szCs w:val="24"/>
          <w:lang w:val="es-ES_tradnl"/>
        </w:rPr>
        <w:t>L</w:t>
      </w:r>
      <w:r w:rsidR="00B24324" w:rsidRPr="00236189">
        <w:rPr>
          <w:rFonts w:ascii="Century Gothic" w:hAnsi="Century Gothic"/>
          <w:b/>
          <w:sz w:val="24"/>
          <w:szCs w:val="24"/>
          <w:lang w:val="es-ES_tradnl"/>
        </w:rPr>
        <w:t>as actuaciones históricas que se viene realizando sobre el amianto des</w:t>
      </w:r>
      <w:r>
        <w:rPr>
          <w:rFonts w:ascii="Century Gothic" w:hAnsi="Century Gothic"/>
          <w:b/>
          <w:sz w:val="24"/>
          <w:szCs w:val="24"/>
          <w:lang w:val="es-ES_tradnl"/>
        </w:rPr>
        <w:t>de distintas instancias de la</w:t>
      </w:r>
      <w:r w:rsidR="00B24324" w:rsidRPr="00236189">
        <w:rPr>
          <w:rFonts w:ascii="Century Gothic" w:hAnsi="Century Gothic"/>
          <w:b/>
          <w:sz w:val="24"/>
          <w:szCs w:val="24"/>
          <w:lang w:val="es-ES_tradnl"/>
        </w:rPr>
        <w:t xml:space="preserve"> administra</w:t>
      </w:r>
      <w:r>
        <w:rPr>
          <w:rFonts w:ascii="Century Gothic" w:hAnsi="Century Gothic"/>
          <w:b/>
          <w:sz w:val="24"/>
          <w:szCs w:val="24"/>
          <w:lang w:val="es-ES_tradnl"/>
        </w:rPr>
        <w:t>ción</w:t>
      </w:r>
      <w:r w:rsidR="00B24324" w:rsidRPr="00236189">
        <w:rPr>
          <w:rFonts w:ascii="Century Gothic" w:hAnsi="Century Gothic"/>
          <w:b/>
          <w:sz w:val="24"/>
          <w:szCs w:val="24"/>
          <w:lang w:val="es-ES_tradnl"/>
        </w:rPr>
        <w:t xml:space="preserve"> pública</w:t>
      </w:r>
      <w:r>
        <w:rPr>
          <w:rFonts w:ascii="Century Gothic" w:hAnsi="Century Gothic"/>
          <w:b/>
          <w:sz w:val="24"/>
          <w:szCs w:val="24"/>
          <w:lang w:val="es-ES_tradnl"/>
        </w:rPr>
        <w:t xml:space="preserve"> son</w:t>
      </w:r>
      <w:r w:rsidR="00B24324" w:rsidRPr="00236189">
        <w:rPr>
          <w:rFonts w:ascii="Century Gothic" w:hAnsi="Century Gothic"/>
          <w:b/>
          <w:sz w:val="24"/>
          <w:szCs w:val="24"/>
          <w:lang w:val="es-ES_tradnl"/>
        </w:rPr>
        <w:t xml:space="preserve">:  </w:t>
      </w:r>
    </w:p>
    <w:p w:rsidR="00B24324" w:rsidRPr="007B10BD" w:rsidRDefault="00B24324" w:rsidP="00236189">
      <w:pPr>
        <w:pStyle w:val="Prrafodelista"/>
        <w:numPr>
          <w:ilvl w:val="0"/>
          <w:numId w:val="1"/>
        </w:numPr>
        <w:spacing w:line="288" w:lineRule="auto"/>
        <w:jc w:val="both"/>
        <w:rPr>
          <w:rFonts w:ascii="Century Gothic" w:hAnsi="Century Gothic"/>
          <w:sz w:val="24"/>
          <w:szCs w:val="24"/>
          <w:u w:val="single"/>
          <w:lang w:val="es-ES_tradnl"/>
        </w:rPr>
      </w:pPr>
      <w:r w:rsidRPr="007B10BD">
        <w:rPr>
          <w:rFonts w:ascii="Century Gothic" w:hAnsi="Century Gothic"/>
          <w:sz w:val="24"/>
          <w:szCs w:val="24"/>
          <w:u w:val="single"/>
          <w:lang w:val="es-ES_tradnl"/>
        </w:rPr>
        <w:t xml:space="preserve">ISPLN: </w:t>
      </w:r>
    </w:p>
    <w:p w:rsidR="00757A1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Actualización del registro de las/los trabajadores expuestos, con la participación de la Sección de Vigilancia de la Salud en el Trabajo en la Comisión mixta formada con el Instituto Nacional de la Seguridad Social para informar sobre la d</w:t>
      </w:r>
      <w:r w:rsidRPr="00236189">
        <w:rPr>
          <w:rFonts w:ascii="Century Gothic" w:hAnsi="Century Gothic"/>
          <w:sz w:val="24"/>
          <w:szCs w:val="24"/>
          <w:lang w:val="es-ES_tradnl"/>
        </w:rPr>
        <w:t>e</w:t>
      </w:r>
      <w:r w:rsidRPr="00236189">
        <w:rPr>
          <w:rFonts w:ascii="Century Gothic" w:hAnsi="Century Gothic"/>
          <w:sz w:val="24"/>
          <w:szCs w:val="24"/>
          <w:lang w:val="es-ES_tradnl"/>
        </w:rPr>
        <w:t>terminación de contingencia. La comisión pretende resolver casos dudosos sobre la eventual exposición a fibras de amianto en el trabajo al objeto de evitar su judicialización.</w:t>
      </w:r>
    </w:p>
    <w:p w:rsidR="00757A1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Colaboración con el Ministerio de Sanidad en la elabor</w:t>
      </w:r>
      <w:r w:rsidRPr="00236189">
        <w:rPr>
          <w:rFonts w:ascii="Century Gothic" w:hAnsi="Century Gothic"/>
          <w:sz w:val="24"/>
          <w:szCs w:val="24"/>
          <w:lang w:val="es-ES_tradnl"/>
        </w:rPr>
        <w:t>a</w:t>
      </w:r>
      <w:r w:rsidRPr="00236189">
        <w:rPr>
          <w:rFonts w:ascii="Century Gothic" w:hAnsi="Century Gothic"/>
          <w:sz w:val="24"/>
          <w:szCs w:val="24"/>
          <w:lang w:val="es-ES_tradnl"/>
        </w:rPr>
        <w:t>ción de los informes anuales PIVISTEA. (</w:t>
      </w:r>
      <w:hyperlink r:id="rId6" w:history="1">
        <w:r w:rsidRPr="00236189">
          <w:rPr>
            <w:rStyle w:val="Hipervnculo"/>
            <w:rFonts w:ascii="Century Gothic" w:hAnsi="Century Gothic"/>
            <w:sz w:val="24"/>
            <w:szCs w:val="24"/>
            <w:lang w:val="es-ES_tradnl"/>
          </w:rPr>
          <w:t>https://www.mscbs.gob.es/ciudadanos/saludAmbLaboral/docs/PIVISTEA2016.pdf</w:t>
        </w:r>
      </w:hyperlink>
      <w:r w:rsidRPr="00236189">
        <w:rPr>
          <w:rFonts w:ascii="Century Gothic" w:hAnsi="Century Gothic"/>
          <w:sz w:val="24"/>
          <w:szCs w:val="24"/>
          <w:lang w:val="es-ES_tradnl"/>
        </w:rPr>
        <w:t>)</w:t>
      </w:r>
    </w:p>
    <w:p w:rsidR="00236189" w:rsidRPr="00236189" w:rsidRDefault="00236189" w:rsidP="00236189">
      <w:pPr>
        <w:spacing w:line="288" w:lineRule="auto"/>
        <w:ind w:left="1080"/>
        <w:jc w:val="both"/>
        <w:rPr>
          <w:rFonts w:ascii="Century Gothic" w:hAnsi="Century Gothic"/>
          <w:sz w:val="24"/>
          <w:szCs w:val="24"/>
          <w:lang w:val="es-ES_tradnl"/>
        </w:rPr>
      </w:pPr>
    </w:p>
    <w:p w:rsidR="00B24324" w:rsidRPr="0023618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Elaboración de informes y control de la ejecución de los planes de retirada de amianto presentados por las empr</w:t>
      </w:r>
      <w:r w:rsidRPr="00236189">
        <w:rPr>
          <w:rFonts w:ascii="Century Gothic" w:hAnsi="Century Gothic"/>
          <w:sz w:val="24"/>
          <w:szCs w:val="24"/>
          <w:lang w:val="es-ES_tradnl"/>
        </w:rPr>
        <w:t>e</w:t>
      </w:r>
      <w:r w:rsidRPr="00236189">
        <w:rPr>
          <w:rFonts w:ascii="Century Gothic" w:hAnsi="Century Gothic"/>
          <w:sz w:val="24"/>
          <w:szCs w:val="24"/>
          <w:lang w:val="es-ES_tradnl"/>
        </w:rPr>
        <w:t>sas de construcción, que deben ser empresas inscritas en el Registro de Empresas por Riesgo de Amianto (RERA) por pa</w:t>
      </w:r>
      <w:r w:rsidRPr="00236189">
        <w:rPr>
          <w:rFonts w:ascii="Century Gothic" w:hAnsi="Century Gothic"/>
          <w:sz w:val="24"/>
          <w:szCs w:val="24"/>
          <w:lang w:val="es-ES_tradnl"/>
        </w:rPr>
        <w:t>r</w:t>
      </w:r>
      <w:r w:rsidRPr="00236189">
        <w:rPr>
          <w:rFonts w:ascii="Century Gothic" w:hAnsi="Century Gothic"/>
          <w:sz w:val="24"/>
          <w:szCs w:val="24"/>
          <w:lang w:val="es-ES_tradnl"/>
        </w:rPr>
        <w:lastRenderedPageBreak/>
        <w:t>te de la Sección de Prevención de Riesgos Laborales del SSL/ISPLN.</w:t>
      </w:r>
    </w:p>
    <w:p w:rsidR="00B24324" w:rsidRPr="00236189" w:rsidRDefault="00B24324" w:rsidP="00236189">
      <w:pPr>
        <w:spacing w:line="288" w:lineRule="auto"/>
        <w:ind w:left="1416"/>
        <w:jc w:val="both"/>
        <w:rPr>
          <w:rFonts w:ascii="Century Gothic" w:hAnsi="Century Gothic"/>
          <w:sz w:val="24"/>
          <w:szCs w:val="24"/>
          <w:lang w:val="es-ES_tradnl"/>
        </w:rPr>
      </w:pPr>
      <w:r w:rsidRPr="00236189">
        <w:rPr>
          <w:rFonts w:ascii="Century Gothic" w:hAnsi="Century Gothic"/>
          <w:sz w:val="24"/>
          <w:szCs w:val="24"/>
          <w:lang w:val="es-ES_tradnl"/>
        </w:rPr>
        <w:t>El número de estos informes se han duplicado en lo que va de año respecto al mismo periodo del año anterior (n=90).</w:t>
      </w:r>
    </w:p>
    <w:p w:rsidR="00757A19" w:rsidRDefault="000A1FF8"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Se ha organizado un c</w:t>
      </w:r>
      <w:r w:rsidR="00B24324" w:rsidRPr="00236189">
        <w:rPr>
          <w:rFonts w:ascii="Century Gothic" w:hAnsi="Century Gothic"/>
          <w:sz w:val="24"/>
          <w:szCs w:val="24"/>
          <w:lang w:val="es-ES_tradnl"/>
        </w:rPr>
        <w:t xml:space="preserve">urso de identificación de MCA para personal técnico, </w:t>
      </w:r>
      <w:r w:rsidRPr="00236189">
        <w:rPr>
          <w:rFonts w:ascii="Century Gothic" w:hAnsi="Century Gothic"/>
          <w:sz w:val="24"/>
          <w:szCs w:val="24"/>
          <w:lang w:val="es-ES_tradnl"/>
        </w:rPr>
        <w:t>agentes y entidades preventivas y</w:t>
      </w:r>
      <w:r w:rsidR="00B24324" w:rsidRPr="00236189">
        <w:rPr>
          <w:rFonts w:ascii="Century Gothic" w:hAnsi="Century Gothic"/>
          <w:sz w:val="24"/>
          <w:szCs w:val="24"/>
          <w:lang w:val="es-ES_tradnl"/>
        </w:rPr>
        <w:t xml:space="preserve"> prof</w:t>
      </w:r>
      <w:r w:rsidR="00B24324" w:rsidRPr="00236189">
        <w:rPr>
          <w:rFonts w:ascii="Century Gothic" w:hAnsi="Century Gothic"/>
          <w:sz w:val="24"/>
          <w:szCs w:val="24"/>
          <w:lang w:val="es-ES_tradnl"/>
        </w:rPr>
        <w:t>e</w:t>
      </w:r>
      <w:r w:rsidR="00B24324" w:rsidRPr="00236189">
        <w:rPr>
          <w:rFonts w:ascii="Century Gothic" w:hAnsi="Century Gothic"/>
          <w:sz w:val="24"/>
          <w:szCs w:val="24"/>
          <w:lang w:val="es-ES_tradnl"/>
        </w:rPr>
        <w:t>sional</w:t>
      </w:r>
      <w:r w:rsidRPr="00236189">
        <w:rPr>
          <w:rFonts w:ascii="Century Gothic" w:hAnsi="Century Gothic"/>
          <w:sz w:val="24"/>
          <w:szCs w:val="24"/>
          <w:lang w:val="es-ES_tradnl"/>
        </w:rPr>
        <w:t>es de la construcción.</w:t>
      </w:r>
    </w:p>
    <w:p w:rsidR="00757A19" w:rsidRDefault="006A4123"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 xml:space="preserve">A raíz de las inundaciones del río Cidacos ocurridas el 18 de julio en la Zona Media, el Gobierno de Navarra indicó a los ayuntamientos afectados instrucciones para la recogida de los restos de materiales con amianto en huertas y cauce del río. Ofertó así mismo el pago de la retirada de acopios de estos residuos por una empresa especializada, aunque las entidades locales no han hecho uso de tal oferta. </w:t>
      </w:r>
    </w:p>
    <w:p w:rsidR="00757A19" w:rsidRDefault="006A4123" w:rsidP="00236189">
      <w:pPr>
        <w:pStyle w:val="Prrafodelista"/>
        <w:spacing w:line="288" w:lineRule="auto"/>
        <w:ind w:left="1440"/>
        <w:jc w:val="both"/>
        <w:rPr>
          <w:rFonts w:ascii="Century Gothic" w:hAnsi="Century Gothic"/>
          <w:sz w:val="24"/>
          <w:szCs w:val="24"/>
          <w:lang w:val="es-ES_tradnl"/>
        </w:rPr>
      </w:pPr>
      <w:r w:rsidRPr="00236189">
        <w:rPr>
          <w:rFonts w:ascii="Century Gothic" w:hAnsi="Century Gothic"/>
          <w:sz w:val="24"/>
          <w:szCs w:val="24"/>
          <w:lang w:val="es-ES_tradnl"/>
        </w:rPr>
        <w:t xml:space="preserve">En este contexto, posterior a las inundaciones, la Sección de Salud ambiental del ISPLN elaboró un informe de situación previa al </w:t>
      </w:r>
      <w:proofErr w:type="spellStart"/>
      <w:r w:rsidRPr="00236189">
        <w:rPr>
          <w:rFonts w:ascii="Century Gothic" w:hAnsi="Century Gothic"/>
          <w:sz w:val="24"/>
          <w:szCs w:val="24"/>
          <w:lang w:val="es-ES_tradnl"/>
        </w:rPr>
        <w:t>Auzolan</w:t>
      </w:r>
      <w:proofErr w:type="spellEnd"/>
      <w:r w:rsidRPr="00236189">
        <w:rPr>
          <w:rFonts w:ascii="Century Gothic" w:hAnsi="Century Gothic"/>
          <w:sz w:val="24"/>
          <w:szCs w:val="24"/>
          <w:lang w:val="es-ES_tradnl"/>
        </w:rPr>
        <w:t xml:space="preserve"> organizado por los vecinos de Tafalla para la limpieza de las orillas del río.</w:t>
      </w:r>
    </w:p>
    <w:p w:rsidR="00B24324" w:rsidRPr="007B10BD" w:rsidRDefault="00B24324" w:rsidP="00236189">
      <w:pPr>
        <w:pStyle w:val="Prrafodelista"/>
        <w:numPr>
          <w:ilvl w:val="0"/>
          <w:numId w:val="1"/>
        </w:numPr>
        <w:spacing w:line="288" w:lineRule="auto"/>
        <w:jc w:val="both"/>
        <w:rPr>
          <w:rFonts w:ascii="Century Gothic" w:hAnsi="Century Gothic"/>
          <w:sz w:val="24"/>
          <w:szCs w:val="24"/>
          <w:u w:val="single"/>
          <w:lang w:val="es-ES_tradnl"/>
        </w:rPr>
      </w:pPr>
      <w:r w:rsidRPr="007B10BD">
        <w:rPr>
          <w:rFonts w:ascii="Century Gothic" w:hAnsi="Century Gothic"/>
          <w:sz w:val="24"/>
          <w:szCs w:val="24"/>
          <w:u w:val="single"/>
          <w:lang w:val="es-ES_tradnl"/>
        </w:rPr>
        <w:t>Servicio de Neumología del CHN de SNS-O</w:t>
      </w:r>
    </w:p>
    <w:p w:rsidR="00757A19" w:rsidRDefault="00B24324" w:rsidP="00236189">
      <w:pPr>
        <w:pStyle w:val="Prrafodelista"/>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 xml:space="preserve">Se realiza la vigilancia </w:t>
      </w:r>
      <w:proofErr w:type="spellStart"/>
      <w:r w:rsidRPr="00236189">
        <w:rPr>
          <w:rFonts w:ascii="Century Gothic" w:hAnsi="Century Gothic"/>
          <w:sz w:val="24"/>
          <w:szCs w:val="24"/>
          <w:lang w:val="es-ES_tradnl"/>
        </w:rPr>
        <w:t>postocupacional</w:t>
      </w:r>
      <w:proofErr w:type="spellEnd"/>
      <w:r w:rsidRPr="00236189">
        <w:rPr>
          <w:rFonts w:ascii="Century Gothic" w:hAnsi="Century Gothic"/>
          <w:sz w:val="24"/>
          <w:szCs w:val="24"/>
          <w:lang w:val="es-ES_tradnl"/>
        </w:rPr>
        <w:t xml:space="preserve"> de la salud de trabajad</w:t>
      </w:r>
      <w:r w:rsidRPr="00236189">
        <w:rPr>
          <w:rFonts w:ascii="Century Gothic" w:hAnsi="Century Gothic"/>
          <w:sz w:val="24"/>
          <w:szCs w:val="24"/>
          <w:lang w:val="es-ES_tradnl"/>
        </w:rPr>
        <w:t>o</w:t>
      </w:r>
      <w:r w:rsidRPr="00236189">
        <w:rPr>
          <w:rFonts w:ascii="Century Gothic" w:hAnsi="Century Gothic"/>
          <w:sz w:val="24"/>
          <w:szCs w:val="24"/>
          <w:lang w:val="es-ES_tradnl"/>
        </w:rPr>
        <w:t>res expuestos de los/as trabajadoras registrados en la Sección de Vigilancia de la Salud del SSL (ISPLN)</w:t>
      </w:r>
    </w:p>
    <w:p w:rsidR="00B24324" w:rsidRPr="007B10BD" w:rsidRDefault="00B24324" w:rsidP="00236189">
      <w:pPr>
        <w:pStyle w:val="Prrafodelista"/>
        <w:numPr>
          <w:ilvl w:val="0"/>
          <w:numId w:val="1"/>
        </w:numPr>
        <w:spacing w:line="288" w:lineRule="auto"/>
        <w:jc w:val="both"/>
        <w:rPr>
          <w:rFonts w:ascii="Century Gothic" w:hAnsi="Century Gothic"/>
          <w:sz w:val="24"/>
          <w:szCs w:val="24"/>
          <w:u w:val="single"/>
          <w:lang w:val="es-ES_tradnl"/>
        </w:rPr>
      </w:pPr>
      <w:r w:rsidRPr="007B10BD">
        <w:rPr>
          <w:rFonts w:ascii="Century Gothic" w:hAnsi="Century Gothic"/>
          <w:sz w:val="24"/>
          <w:szCs w:val="24"/>
          <w:u w:val="single"/>
          <w:lang w:val="es-ES_tradnl"/>
        </w:rPr>
        <w:t xml:space="preserve">Departamento de Desarrollo Económico </w:t>
      </w:r>
    </w:p>
    <w:p w:rsidR="00B24324" w:rsidRPr="0023618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Se ubica el Registro de Empresas a Riesgo de Amianto (R</w:t>
      </w:r>
      <w:r w:rsidRPr="00236189">
        <w:rPr>
          <w:rFonts w:ascii="Century Gothic" w:hAnsi="Century Gothic"/>
          <w:sz w:val="24"/>
          <w:szCs w:val="24"/>
          <w:lang w:val="es-ES_tradnl"/>
        </w:rPr>
        <w:t>E</w:t>
      </w:r>
      <w:r w:rsidRPr="00236189">
        <w:rPr>
          <w:rFonts w:ascii="Century Gothic" w:hAnsi="Century Gothic"/>
          <w:sz w:val="24"/>
          <w:szCs w:val="24"/>
          <w:lang w:val="es-ES_tradnl"/>
        </w:rPr>
        <w:t xml:space="preserve">RA) </w:t>
      </w:r>
    </w:p>
    <w:p w:rsidR="00B24324" w:rsidRPr="0023618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Se aprueban los planes de trabajo de retirada de amianto informados favorablemente por la Sección de Prevención de Riesgos Laborales del ISPLN e Inspección de Trabajo.</w:t>
      </w:r>
    </w:p>
    <w:p w:rsidR="00757A1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Se otorgan ayudas económicas anuales para sustitución de cubiertas frágiles en las que se incluyen las de fibrocemento</w:t>
      </w:r>
    </w:p>
    <w:p w:rsidR="00B24324" w:rsidRPr="007B10BD" w:rsidRDefault="00B24324" w:rsidP="00236189">
      <w:pPr>
        <w:pStyle w:val="Prrafodelista"/>
        <w:numPr>
          <w:ilvl w:val="0"/>
          <w:numId w:val="1"/>
        </w:numPr>
        <w:spacing w:line="288" w:lineRule="auto"/>
        <w:jc w:val="both"/>
        <w:rPr>
          <w:rFonts w:ascii="Century Gothic" w:hAnsi="Century Gothic"/>
          <w:sz w:val="24"/>
          <w:szCs w:val="24"/>
          <w:u w:val="single"/>
          <w:lang w:val="es-ES_tradnl"/>
        </w:rPr>
      </w:pPr>
      <w:r w:rsidRPr="007B10BD">
        <w:rPr>
          <w:rFonts w:ascii="Century Gothic" w:hAnsi="Century Gothic"/>
          <w:sz w:val="24"/>
          <w:szCs w:val="24"/>
          <w:u w:val="single"/>
          <w:lang w:val="es-ES_tradnl"/>
        </w:rPr>
        <w:t>Departamento competente en materia de Sanidad ambiental</w:t>
      </w:r>
    </w:p>
    <w:p w:rsidR="00757A1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Gestión residuos de MCA</w:t>
      </w:r>
    </w:p>
    <w:p w:rsidR="00B24324" w:rsidRPr="007B10BD" w:rsidRDefault="00B24324" w:rsidP="00236189">
      <w:pPr>
        <w:pStyle w:val="Prrafodelista"/>
        <w:numPr>
          <w:ilvl w:val="0"/>
          <w:numId w:val="1"/>
        </w:numPr>
        <w:spacing w:line="288" w:lineRule="auto"/>
        <w:jc w:val="both"/>
        <w:rPr>
          <w:rFonts w:ascii="Century Gothic" w:hAnsi="Century Gothic"/>
          <w:sz w:val="24"/>
          <w:szCs w:val="24"/>
          <w:u w:val="single"/>
          <w:lang w:val="es-ES_tradnl"/>
        </w:rPr>
      </w:pPr>
      <w:r w:rsidRPr="007B10BD">
        <w:rPr>
          <w:rFonts w:ascii="Century Gothic" w:hAnsi="Century Gothic"/>
          <w:sz w:val="24"/>
          <w:szCs w:val="24"/>
          <w:u w:val="single"/>
          <w:lang w:val="es-ES_tradnl"/>
        </w:rPr>
        <w:t>Departamento competente en materia de vivienda</w:t>
      </w:r>
    </w:p>
    <w:p w:rsidR="00757A1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Registro de ubicación de MCA en viviendas de más de 50 años y unifamiliares de más de 75 años de antigüedad a partir del año 2018.</w:t>
      </w:r>
    </w:p>
    <w:p w:rsidR="00B24324" w:rsidRPr="007B10BD" w:rsidRDefault="00B24324" w:rsidP="00236189">
      <w:pPr>
        <w:pStyle w:val="Prrafodelista"/>
        <w:numPr>
          <w:ilvl w:val="0"/>
          <w:numId w:val="1"/>
        </w:numPr>
        <w:spacing w:line="288" w:lineRule="auto"/>
        <w:jc w:val="both"/>
        <w:rPr>
          <w:rFonts w:ascii="Century Gothic" w:hAnsi="Century Gothic"/>
          <w:sz w:val="24"/>
          <w:szCs w:val="24"/>
          <w:u w:val="single"/>
          <w:lang w:val="es-ES_tradnl"/>
        </w:rPr>
      </w:pPr>
      <w:r w:rsidRPr="007B10BD">
        <w:rPr>
          <w:rFonts w:ascii="Century Gothic" w:hAnsi="Century Gothic"/>
          <w:sz w:val="24"/>
          <w:szCs w:val="24"/>
          <w:u w:val="single"/>
          <w:lang w:val="es-ES_tradnl"/>
        </w:rPr>
        <w:t>Inspección de Trabajo y Seguridad Social (Administración General del Estado)</w:t>
      </w:r>
    </w:p>
    <w:p w:rsidR="00B24324" w:rsidRPr="00236189" w:rsidRDefault="00B24324" w:rsidP="00236189">
      <w:pPr>
        <w:pStyle w:val="Prrafodelista"/>
        <w:numPr>
          <w:ilvl w:val="1"/>
          <w:numId w:val="1"/>
        </w:num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lastRenderedPageBreak/>
        <w:t>Elaboración de informes y control de la ejecución de los planes de retirada de amianto presentados por las empr</w:t>
      </w:r>
      <w:r w:rsidRPr="00236189">
        <w:rPr>
          <w:rFonts w:ascii="Century Gothic" w:hAnsi="Century Gothic"/>
          <w:sz w:val="24"/>
          <w:szCs w:val="24"/>
          <w:lang w:val="es-ES_tradnl"/>
        </w:rPr>
        <w:t>e</w:t>
      </w:r>
      <w:r w:rsidRPr="00236189">
        <w:rPr>
          <w:rFonts w:ascii="Century Gothic" w:hAnsi="Century Gothic"/>
          <w:sz w:val="24"/>
          <w:szCs w:val="24"/>
          <w:lang w:val="es-ES_tradnl"/>
        </w:rPr>
        <w:t>sas.</w:t>
      </w:r>
    </w:p>
    <w:p w:rsidR="00B16A9B" w:rsidRPr="00236189" w:rsidRDefault="000A1FF8" w:rsidP="00236189">
      <w:pPr>
        <w:spacing w:line="288" w:lineRule="auto"/>
        <w:rPr>
          <w:rFonts w:ascii="Century Gothic" w:hAnsi="Century Gothic"/>
          <w:b/>
          <w:sz w:val="24"/>
          <w:szCs w:val="24"/>
          <w:lang w:val="es-ES_tradnl"/>
        </w:rPr>
      </w:pPr>
      <w:r w:rsidRPr="00236189">
        <w:rPr>
          <w:rFonts w:ascii="Century Gothic" w:hAnsi="Century Gothic"/>
          <w:b/>
          <w:sz w:val="24"/>
          <w:szCs w:val="24"/>
          <w:lang w:val="es-ES_tradnl"/>
        </w:rPr>
        <w:t>2</w:t>
      </w:r>
      <w:r w:rsidR="00B16A9B" w:rsidRPr="00236189">
        <w:rPr>
          <w:rFonts w:ascii="Century Gothic" w:hAnsi="Century Gothic"/>
          <w:b/>
          <w:sz w:val="24"/>
          <w:szCs w:val="24"/>
          <w:lang w:val="es-ES_tradnl"/>
        </w:rPr>
        <w:t>.-Nuevas medidas que en su caso el Gobierno de Navarra tiene previ</w:t>
      </w:r>
      <w:r w:rsidR="00B16A9B" w:rsidRPr="00236189">
        <w:rPr>
          <w:rFonts w:ascii="Century Gothic" w:hAnsi="Century Gothic"/>
          <w:b/>
          <w:sz w:val="24"/>
          <w:szCs w:val="24"/>
          <w:lang w:val="es-ES_tradnl"/>
        </w:rPr>
        <w:t>s</w:t>
      </w:r>
      <w:r w:rsidR="00B16A9B" w:rsidRPr="00236189">
        <w:rPr>
          <w:rFonts w:ascii="Century Gothic" w:hAnsi="Century Gothic"/>
          <w:b/>
          <w:sz w:val="24"/>
          <w:szCs w:val="24"/>
          <w:lang w:val="es-ES_tradnl"/>
        </w:rPr>
        <w:t>to implementar.</w:t>
      </w:r>
    </w:p>
    <w:p w:rsidR="00D26EF4" w:rsidRPr="00236189" w:rsidRDefault="00D26EF4" w:rsidP="00236189">
      <w:p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En abril de 2019 el Departamento de Salud, en representación del G</w:t>
      </w:r>
      <w:r w:rsidRPr="00236189">
        <w:rPr>
          <w:rFonts w:ascii="Century Gothic" w:hAnsi="Century Gothic"/>
          <w:sz w:val="24"/>
          <w:szCs w:val="24"/>
          <w:lang w:val="es-ES_tradnl"/>
        </w:rPr>
        <w:t>o</w:t>
      </w:r>
      <w:r w:rsidRPr="00236189">
        <w:rPr>
          <w:rFonts w:ascii="Century Gothic" w:hAnsi="Century Gothic"/>
          <w:sz w:val="24"/>
          <w:szCs w:val="24"/>
          <w:lang w:val="es-ES_tradnl"/>
        </w:rPr>
        <w:t>bierno de Navarra, presentó en Comisión de salud del Parlamento de Navarra el Plan Director de eliminación del amianto en Navarra, solic</w:t>
      </w:r>
      <w:r w:rsidRPr="00236189">
        <w:rPr>
          <w:rFonts w:ascii="Century Gothic" w:hAnsi="Century Gothic"/>
          <w:sz w:val="24"/>
          <w:szCs w:val="24"/>
          <w:lang w:val="es-ES_tradnl"/>
        </w:rPr>
        <w:t>i</w:t>
      </w:r>
      <w:r w:rsidRPr="00236189">
        <w:rPr>
          <w:rFonts w:ascii="Century Gothic" w:hAnsi="Century Gothic"/>
          <w:sz w:val="24"/>
          <w:szCs w:val="24"/>
          <w:lang w:val="es-ES_tradnl"/>
        </w:rPr>
        <w:t>tado en septiembre de 2017 por dicho Parlamento.</w:t>
      </w:r>
    </w:p>
    <w:p w:rsidR="00757A19" w:rsidRDefault="00D26EF4" w:rsidP="00236189">
      <w:p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En ese contexto estratégico, el siguiente paso es la  elaboración Plan de acción adecuado a la realidad y condiciones de Navarra.</w:t>
      </w:r>
    </w:p>
    <w:p w:rsidR="00CC302F" w:rsidRPr="00236189" w:rsidRDefault="00CC302F" w:rsidP="00236189">
      <w:pPr>
        <w:spacing w:line="288" w:lineRule="auto"/>
        <w:jc w:val="both"/>
        <w:rPr>
          <w:rFonts w:ascii="Century Gothic" w:hAnsi="Century Gothic"/>
          <w:b/>
          <w:sz w:val="24"/>
          <w:szCs w:val="24"/>
          <w:lang w:val="es-ES_tradnl"/>
        </w:rPr>
      </w:pPr>
      <w:r w:rsidRPr="00236189">
        <w:rPr>
          <w:rFonts w:ascii="Century Gothic" w:hAnsi="Century Gothic"/>
          <w:b/>
          <w:sz w:val="24"/>
          <w:szCs w:val="24"/>
          <w:lang w:val="es-ES_tradnl"/>
        </w:rPr>
        <w:t>3.-Remisión de la documentación sobre la situación del amianto en N</w:t>
      </w:r>
      <w:r w:rsidRPr="00236189">
        <w:rPr>
          <w:rFonts w:ascii="Century Gothic" w:hAnsi="Century Gothic"/>
          <w:b/>
          <w:sz w:val="24"/>
          <w:szCs w:val="24"/>
          <w:lang w:val="es-ES_tradnl"/>
        </w:rPr>
        <w:t>a</w:t>
      </w:r>
      <w:r w:rsidRPr="00236189">
        <w:rPr>
          <w:rFonts w:ascii="Century Gothic" w:hAnsi="Century Gothic"/>
          <w:b/>
          <w:sz w:val="24"/>
          <w:szCs w:val="24"/>
          <w:lang w:val="es-ES_tradnl"/>
        </w:rPr>
        <w:t>varra.</w:t>
      </w:r>
    </w:p>
    <w:p w:rsidR="00987732" w:rsidRPr="00236189" w:rsidRDefault="00D26EF4" w:rsidP="00236189">
      <w:pPr>
        <w:spacing w:line="288" w:lineRule="auto"/>
        <w:jc w:val="both"/>
        <w:rPr>
          <w:rFonts w:ascii="Century Gothic" w:hAnsi="Century Gothic"/>
          <w:sz w:val="24"/>
          <w:szCs w:val="24"/>
          <w:lang w:val="es-ES_tradnl"/>
        </w:rPr>
      </w:pPr>
      <w:r w:rsidRPr="00236189">
        <w:rPr>
          <w:rFonts w:ascii="Century Gothic" w:hAnsi="Century Gothic"/>
          <w:sz w:val="24"/>
          <w:szCs w:val="24"/>
          <w:lang w:val="es-ES_tradnl"/>
        </w:rPr>
        <w:t xml:space="preserve">Remitimos a consultar el citado Plan Director de eliminación del amianto en Navarra. Próximamente estará de nuevo en páginas </w:t>
      </w:r>
      <w:r w:rsidRPr="00236189">
        <w:rPr>
          <w:rFonts w:ascii="Century Gothic" w:hAnsi="Century Gothic"/>
          <w:i/>
          <w:sz w:val="24"/>
          <w:szCs w:val="24"/>
          <w:lang w:val="es-ES_tradnl"/>
        </w:rPr>
        <w:t>web</w:t>
      </w:r>
      <w:r w:rsidRPr="00236189">
        <w:rPr>
          <w:rFonts w:ascii="Century Gothic" w:hAnsi="Century Gothic"/>
          <w:sz w:val="24"/>
          <w:szCs w:val="24"/>
          <w:lang w:val="es-ES_tradnl"/>
        </w:rPr>
        <w:t xml:space="preserve"> del GN tras  subsanar algunos errores d</w:t>
      </w:r>
      <w:r w:rsidR="00987732" w:rsidRPr="00236189">
        <w:rPr>
          <w:rFonts w:ascii="Century Gothic" w:hAnsi="Century Gothic"/>
          <w:sz w:val="24"/>
          <w:szCs w:val="24"/>
          <w:lang w:val="es-ES_tradnl"/>
        </w:rPr>
        <w:t>etectados en la versión inicial.</w:t>
      </w:r>
    </w:p>
    <w:p w:rsidR="00757A19" w:rsidRDefault="00987732" w:rsidP="00236189">
      <w:pPr>
        <w:pStyle w:val="Prrafodelista"/>
        <w:numPr>
          <w:ilvl w:val="0"/>
          <w:numId w:val="5"/>
        </w:numPr>
        <w:spacing w:line="288" w:lineRule="auto"/>
        <w:jc w:val="both"/>
        <w:rPr>
          <w:rFonts w:ascii="Century Gothic" w:hAnsi="Century Gothic"/>
          <w:b/>
          <w:sz w:val="24"/>
          <w:szCs w:val="24"/>
          <w:lang w:val="es-ES_tradnl"/>
        </w:rPr>
      </w:pPr>
      <w:r w:rsidRPr="00236189">
        <w:rPr>
          <w:rFonts w:ascii="Century Gothic" w:hAnsi="Century Gothic"/>
          <w:b/>
          <w:sz w:val="24"/>
          <w:szCs w:val="24"/>
          <w:lang w:val="es-ES_tradnl"/>
        </w:rPr>
        <w:t>Presencia de Materiales con amianto (MCA) visible:</w:t>
      </w:r>
    </w:p>
    <w:p w:rsidR="00987732" w:rsidRPr="00236189" w:rsidRDefault="00987732" w:rsidP="00236189">
      <w:pPr>
        <w:pStyle w:val="Prrafodelista"/>
        <w:spacing w:line="288" w:lineRule="auto"/>
        <w:jc w:val="both"/>
        <w:rPr>
          <w:rFonts w:ascii="Century Gothic" w:hAnsi="Century Gothic"/>
          <w:sz w:val="24"/>
          <w:szCs w:val="24"/>
          <w:lang w:val="es-ES_tradnl"/>
        </w:rPr>
      </w:pPr>
      <w:r w:rsidRPr="00236189">
        <w:rPr>
          <w:rFonts w:ascii="Century Gothic" w:hAnsi="Century Gothic"/>
          <w:b/>
          <w:sz w:val="24"/>
          <w:szCs w:val="24"/>
          <w:lang w:val="es-ES_tradnl"/>
        </w:rPr>
        <w:t xml:space="preserve">Análisis preliminar de la prospección de cubiertas. </w:t>
      </w:r>
      <w:r w:rsidRPr="00236189">
        <w:rPr>
          <w:rFonts w:ascii="Century Gothic" w:hAnsi="Century Gothic"/>
          <w:sz w:val="24"/>
          <w:szCs w:val="24"/>
          <w:lang w:val="es-ES_tradnl"/>
        </w:rPr>
        <w:t>Fuente datos: SITNA. Estudio de la sección de teledetección del grupo de inve</w:t>
      </w:r>
      <w:r w:rsidRPr="00236189">
        <w:rPr>
          <w:rFonts w:ascii="Century Gothic" w:hAnsi="Century Gothic"/>
          <w:sz w:val="24"/>
          <w:szCs w:val="24"/>
          <w:lang w:val="es-ES_tradnl"/>
        </w:rPr>
        <w:t>s</w:t>
      </w:r>
      <w:r w:rsidRPr="00236189">
        <w:rPr>
          <w:rFonts w:ascii="Century Gothic" w:hAnsi="Century Gothic"/>
          <w:sz w:val="24"/>
          <w:szCs w:val="24"/>
          <w:lang w:val="es-ES_tradnl"/>
        </w:rPr>
        <w:t>tigación THERRAE de la UPNA</w:t>
      </w:r>
    </w:p>
    <w:p w:rsidR="00987732" w:rsidRPr="00236189" w:rsidRDefault="00987732" w:rsidP="00236189">
      <w:pPr>
        <w:spacing w:line="288" w:lineRule="auto"/>
        <w:jc w:val="both"/>
        <w:rPr>
          <w:rFonts w:ascii="Century Gothic" w:hAnsi="Century Gothic"/>
          <w:sz w:val="24"/>
          <w:szCs w:val="24"/>
        </w:rPr>
      </w:pPr>
      <w:r w:rsidRPr="00236189">
        <w:rPr>
          <w:rFonts w:ascii="Century Gothic" w:hAnsi="Century Gothic"/>
          <w:bCs/>
          <w:sz w:val="24"/>
          <w:szCs w:val="24"/>
          <w:lang w:val="es-ES_tradnl"/>
        </w:rPr>
        <w:t>Nº de edificaciones y superficie de fibrocemento con baja o media i</w:t>
      </w:r>
      <w:r w:rsidRPr="00236189">
        <w:rPr>
          <w:rFonts w:ascii="Century Gothic" w:hAnsi="Century Gothic"/>
          <w:bCs/>
          <w:sz w:val="24"/>
          <w:szCs w:val="24"/>
          <w:lang w:val="es-ES_tradnl"/>
        </w:rPr>
        <w:t>n</w:t>
      </w:r>
      <w:r w:rsidRPr="00236189">
        <w:rPr>
          <w:rFonts w:ascii="Century Gothic" w:hAnsi="Century Gothic"/>
          <w:bCs/>
          <w:sz w:val="24"/>
          <w:szCs w:val="24"/>
          <w:lang w:val="es-ES_tradnl"/>
        </w:rPr>
        <w:t>certidumbre. Navarra 2018</w:t>
      </w:r>
    </w:p>
    <w:p w:rsidR="00757A19" w:rsidRDefault="00987732" w:rsidP="00236189">
      <w:pPr>
        <w:spacing w:line="288" w:lineRule="auto"/>
        <w:jc w:val="both"/>
        <w:rPr>
          <w:rFonts w:ascii="Century Gothic" w:hAnsi="Century Gothic"/>
          <w:b/>
          <w:sz w:val="24"/>
          <w:szCs w:val="24"/>
          <w:lang w:val="es-ES_tradnl"/>
        </w:rPr>
      </w:pPr>
      <w:r w:rsidRPr="00236189">
        <w:rPr>
          <w:rFonts w:ascii="Century Gothic" w:hAnsi="Century Gothic"/>
          <w:b/>
          <w:noProof/>
          <w:sz w:val="24"/>
          <w:szCs w:val="24"/>
          <w:lang w:eastAsia="es-ES"/>
        </w:rPr>
        <w:lastRenderedPageBreak/>
        <w:drawing>
          <wp:inline distT="0" distB="0" distL="0" distR="0" wp14:anchorId="3B39766D" wp14:editId="26810EA3">
            <wp:extent cx="5419725" cy="30713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1720" cy="3072471"/>
                    </a:xfrm>
                    <a:prstGeom prst="rect">
                      <a:avLst/>
                    </a:prstGeom>
                    <a:noFill/>
                  </pic:spPr>
                </pic:pic>
              </a:graphicData>
            </a:graphic>
          </wp:inline>
        </w:drawing>
      </w:r>
    </w:p>
    <w:p w:rsidR="00C7052E" w:rsidRPr="00236189" w:rsidRDefault="00987732" w:rsidP="00236189">
      <w:pPr>
        <w:pStyle w:val="Prrafodelista"/>
        <w:spacing w:line="288" w:lineRule="auto"/>
        <w:jc w:val="both"/>
        <w:rPr>
          <w:rFonts w:ascii="Century Gothic" w:hAnsi="Century Gothic"/>
          <w:sz w:val="24"/>
          <w:szCs w:val="24"/>
          <w:lang w:val="es-ES_tradnl"/>
        </w:rPr>
      </w:pPr>
      <w:r w:rsidRPr="00236189">
        <w:rPr>
          <w:rFonts w:ascii="Century Gothic" w:hAnsi="Century Gothic"/>
          <w:b/>
          <w:sz w:val="24"/>
          <w:szCs w:val="24"/>
          <w:lang w:val="es-ES_tradnl"/>
        </w:rPr>
        <w:t>Conducciones</w:t>
      </w:r>
      <w:r w:rsidRPr="00236189">
        <w:rPr>
          <w:rFonts w:ascii="Century Gothic" w:hAnsi="Century Gothic"/>
          <w:sz w:val="24"/>
          <w:szCs w:val="24"/>
          <w:lang w:val="es-ES_tradnl"/>
        </w:rPr>
        <w:t xml:space="preserve">. Fuente: </w:t>
      </w:r>
      <w:r w:rsidR="001676D6" w:rsidRPr="00236189">
        <w:rPr>
          <w:rFonts w:ascii="Century Gothic" w:hAnsi="Century Gothic"/>
          <w:sz w:val="24"/>
          <w:szCs w:val="24"/>
          <w:lang w:val="es-ES_tradnl"/>
        </w:rPr>
        <w:t>Mancomunidades de Abastecimiento y Saneamiento</w:t>
      </w:r>
    </w:p>
    <w:p w:rsidR="00987732" w:rsidRPr="00236189" w:rsidRDefault="00987732" w:rsidP="00236189">
      <w:pPr>
        <w:spacing w:line="288" w:lineRule="auto"/>
        <w:ind w:firstLine="708"/>
        <w:rPr>
          <w:rFonts w:ascii="Century Gothic" w:hAnsi="Century Gothic"/>
          <w:sz w:val="24"/>
          <w:szCs w:val="24"/>
        </w:rPr>
      </w:pPr>
      <w:r w:rsidRPr="00236189">
        <w:rPr>
          <w:rFonts w:ascii="Century Gothic" w:hAnsi="Century Gothic"/>
          <w:sz w:val="24"/>
          <w:szCs w:val="24"/>
          <w:lang w:val="es-ES_tradnl"/>
        </w:rPr>
        <w:t>382 km (10.285 toneladas)</w:t>
      </w:r>
    </w:p>
    <w:p w:rsidR="00C7052E" w:rsidRPr="00236189" w:rsidRDefault="001676D6" w:rsidP="00236189">
      <w:pPr>
        <w:numPr>
          <w:ilvl w:val="0"/>
          <w:numId w:val="2"/>
        </w:numPr>
        <w:spacing w:line="288" w:lineRule="auto"/>
        <w:rPr>
          <w:rFonts w:ascii="Century Gothic" w:hAnsi="Century Gothic"/>
          <w:sz w:val="24"/>
          <w:szCs w:val="24"/>
        </w:rPr>
      </w:pPr>
      <w:r w:rsidRPr="00236189">
        <w:rPr>
          <w:rFonts w:ascii="Century Gothic" w:hAnsi="Century Gothic"/>
          <w:sz w:val="24"/>
          <w:szCs w:val="24"/>
        </w:rPr>
        <w:t>234 km en servicio, (5.773 t) –  61%</w:t>
      </w:r>
    </w:p>
    <w:p w:rsidR="00C7052E" w:rsidRPr="00236189" w:rsidRDefault="001676D6" w:rsidP="00236189">
      <w:pPr>
        <w:numPr>
          <w:ilvl w:val="0"/>
          <w:numId w:val="2"/>
        </w:numPr>
        <w:tabs>
          <w:tab w:val="num" w:pos="720"/>
        </w:tabs>
        <w:spacing w:line="288" w:lineRule="auto"/>
        <w:rPr>
          <w:rFonts w:ascii="Century Gothic" w:hAnsi="Century Gothic"/>
          <w:sz w:val="24"/>
          <w:szCs w:val="24"/>
        </w:rPr>
      </w:pPr>
      <w:r w:rsidRPr="00236189">
        <w:rPr>
          <w:rFonts w:ascii="Century Gothic" w:hAnsi="Century Gothic"/>
          <w:sz w:val="24"/>
          <w:szCs w:val="24"/>
        </w:rPr>
        <w:t xml:space="preserve">46 km fuera de servicio (776 t) -12% </w:t>
      </w:r>
    </w:p>
    <w:p w:rsidR="00757A19" w:rsidRDefault="001676D6" w:rsidP="00236189">
      <w:pPr>
        <w:numPr>
          <w:ilvl w:val="0"/>
          <w:numId w:val="2"/>
        </w:numPr>
        <w:spacing w:line="288" w:lineRule="auto"/>
        <w:rPr>
          <w:rFonts w:ascii="Century Gothic" w:hAnsi="Century Gothic"/>
          <w:sz w:val="24"/>
          <w:szCs w:val="24"/>
        </w:rPr>
      </w:pPr>
      <w:r w:rsidRPr="00236189">
        <w:rPr>
          <w:rFonts w:ascii="Century Gothic" w:hAnsi="Century Gothic"/>
          <w:sz w:val="24"/>
          <w:szCs w:val="24"/>
        </w:rPr>
        <w:t>102 km (3.736 t) se desconoce – 27%</w:t>
      </w:r>
    </w:p>
    <w:p w:rsidR="00757A19" w:rsidRDefault="00987732" w:rsidP="00236189">
      <w:pPr>
        <w:spacing w:line="288" w:lineRule="auto"/>
        <w:ind w:firstLine="708"/>
        <w:rPr>
          <w:rFonts w:ascii="Century Gothic" w:hAnsi="Century Gothic"/>
          <w:sz w:val="24"/>
          <w:szCs w:val="24"/>
        </w:rPr>
      </w:pPr>
      <w:r w:rsidRPr="00236189">
        <w:rPr>
          <w:rFonts w:ascii="Century Gothic" w:hAnsi="Century Gothic"/>
          <w:b/>
          <w:sz w:val="24"/>
          <w:szCs w:val="24"/>
        </w:rPr>
        <w:t>Regadíos</w:t>
      </w:r>
      <w:r w:rsidRPr="00236189">
        <w:rPr>
          <w:rFonts w:ascii="Century Gothic" w:hAnsi="Century Gothic"/>
          <w:sz w:val="24"/>
          <w:szCs w:val="24"/>
        </w:rPr>
        <w:t>. Fuente: INTIA</w:t>
      </w:r>
      <w:r w:rsidR="00C57574" w:rsidRPr="00236189">
        <w:rPr>
          <w:rFonts w:ascii="Century Gothic" w:hAnsi="Century Gothic"/>
          <w:sz w:val="24"/>
          <w:szCs w:val="24"/>
        </w:rPr>
        <w:t>. 10.188 hectáreas, 286 km.</w:t>
      </w:r>
    </w:p>
    <w:p w:rsidR="00C57574" w:rsidRPr="00236189" w:rsidRDefault="00C57574" w:rsidP="00236189">
      <w:pPr>
        <w:pStyle w:val="Prrafodelista"/>
        <w:numPr>
          <w:ilvl w:val="0"/>
          <w:numId w:val="5"/>
        </w:numPr>
        <w:spacing w:line="288" w:lineRule="auto"/>
        <w:jc w:val="both"/>
        <w:rPr>
          <w:rFonts w:ascii="Century Gothic" w:hAnsi="Century Gothic"/>
          <w:b/>
          <w:sz w:val="24"/>
          <w:szCs w:val="24"/>
          <w:lang w:val="es-ES_tradnl"/>
        </w:rPr>
      </w:pPr>
      <w:r w:rsidRPr="00236189">
        <w:rPr>
          <w:rFonts w:ascii="Century Gothic" w:hAnsi="Century Gothic"/>
          <w:b/>
          <w:sz w:val="24"/>
          <w:szCs w:val="24"/>
          <w:lang w:val="es-ES_tradnl"/>
        </w:rPr>
        <w:t>Presencia de vertidos</w:t>
      </w:r>
    </w:p>
    <w:p w:rsidR="00C57574" w:rsidRPr="00236189" w:rsidRDefault="00C57574" w:rsidP="00236189">
      <w:pPr>
        <w:spacing w:line="288" w:lineRule="auto"/>
        <w:rPr>
          <w:rFonts w:ascii="Century Gothic" w:hAnsi="Century Gothic"/>
          <w:sz w:val="24"/>
          <w:szCs w:val="24"/>
        </w:rPr>
      </w:pPr>
      <w:r w:rsidRPr="00236189">
        <w:rPr>
          <w:rFonts w:ascii="Century Gothic" w:hAnsi="Century Gothic"/>
          <w:sz w:val="24"/>
          <w:szCs w:val="24"/>
        </w:rPr>
        <w:t>Fuente de datos: Base de datos del Departamento competente en m</w:t>
      </w:r>
      <w:r w:rsidRPr="00236189">
        <w:rPr>
          <w:rFonts w:ascii="Century Gothic" w:hAnsi="Century Gothic"/>
          <w:sz w:val="24"/>
          <w:szCs w:val="24"/>
        </w:rPr>
        <w:t>a</w:t>
      </w:r>
      <w:r w:rsidRPr="00236189">
        <w:rPr>
          <w:rFonts w:ascii="Century Gothic" w:hAnsi="Century Gothic"/>
          <w:sz w:val="24"/>
          <w:szCs w:val="24"/>
        </w:rPr>
        <w:t xml:space="preserve">teria de Gestión de residuos del Gobierno de Navarra. </w:t>
      </w:r>
    </w:p>
    <w:p w:rsidR="00757A19" w:rsidRDefault="00C57574" w:rsidP="00236189">
      <w:pPr>
        <w:spacing w:line="288" w:lineRule="auto"/>
        <w:rPr>
          <w:rFonts w:ascii="Century Gothic" w:hAnsi="Century Gothic"/>
          <w:sz w:val="24"/>
          <w:szCs w:val="24"/>
        </w:rPr>
      </w:pPr>
      <w:r w:rsidRPr="00236189">
        <w:rPr>
          <w:rFonts w:ascii="Century Gothic" w:hAnsi="Century Gothic"/>
          <w:sz w:val="24"/>
          <w:szCs w:val="24"/>
        </w:rPr>
        <w:t>1360 emplazamientos  en los que existieron vertidos en mayor o menor cantidad, previos a la normativa vigente (RD 1481/2001) que están c</w:t>
      </w:r>
      <w:r w:rsidRPr="00236189">
        <w:rPr>
          <w:rFonts w:ascii="Century Gothic" w:hAnsi="Century Gothic"/>
          <w:sz w:val="24"/>
          <w:szCs w:val="24"/>
        </w:rPr>
        <w:t>e</w:t>
      </w:r>
      <w:r w:rsidRPr="00236189">
        <w:rPr>
          <w:rFonts w:ascii="Century Gothic" w:hAnsi="Century Gothic"/>
          <w:sz w:val="24"/>
          <w:szCs w:val="24"/>
        </w:rPr>
        <w:t xml:space="preserve">rrados o clausurados, sin residuos en superficie y bastante naturalizados en el entorno. No se dispone de datos sobre la presencia de MCA. </w:t>
      </w:r>
    </w:p>
    <w:p w:rsidR="00987732" w:rsidRPr="00236189" w:rsidRDefault="00987732" w:rsidP="00236189">
      <w:pPr>
        <w:pStyle w:val="Prrafodelista"/>
        <w:numPr>
          <w:ilvl w:val="0"/>
          <w:numId w:val="5"/>
        </w:numPr>
        <w:spacing w:line="288" w:lineRule="auto"/>
        <w:jc w:val="both"/>
        <w:rPr>
          <w:rFonts w:ascii="Century Gothic" w:hAnsi="Century Gothic"/>
          <w:b/>
          <w:sz w:val="24"/>
          <w:szCs w:val="24"/>
          <w:lang w:val="es-ES_tradnl"/>
        </w:rPr>
      </w:pPr>
      <w:r w:rsidRPr="00236189">
        <w:rPr>
          <w:rFonts w:ascii="Century Gothic" w:hAnsi="Century Gothic"/>
          <w:b/>
          <w:sz w:val="24"/>
          <w:szCs w:val="24"/>
          <w:lang w:val="es-ES_tradnl"/>
        </w:rPr>
        <w:t>Estimaciones de presencia de MCA oculto</w:t>
      </w:r>
    </w:p>
    <w:p w:rsidR="00757A19" w:rsidRDefault="00C57574" w:rsidP="00236189">
      <w:pPr>
        <w:spacing w:line="288" w:lineRule="auto"/>
        <w:rPr>
          <w:rFonts w:ascii="Century Gothic" w:hAnsi="Century Gothic"/>
          <w:sz w:val="24"/>
          <w:szCs w:val="24"/>
        </w:rPr>
      </w:pPr>
      <w:r w:rsidRPr="00236189">
        <w:rPr>
          <w:rFonts w:ascii="Century Gothic" w:hAnsi="Century Gothic"/>
          <w:noProof/>
          <w:sz w:val="24"/>
          <w:szCs w:val="24"/>
          <w:lang w:eastAsia="es-ES"/>
        </w:rPr>
        <w:lastRenderedPageBreak/>
        <w:drawing>
          <wp:inline distT="0" distB="0" distL="0" distR="0" wp14:anchorId="7D8C20D2" wp14:editId="03D40696">
            <wp:extent cx="4972050" cy="1596596"/>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6232" cy="1597939"/>
                    </a:xfrm>
                    <a:prstGeom prst="rect">
                      <a:avLst/>
                    </a:prstGeom>
                    <a:noFill/>
                  </pic:spPr>
                </pic:pic>
              </a:graphicData>
            </a:graphic>
          </wp:inline>
        </w:drawing>
      </w:r>
    </w:p>
    <w:p w:rsidR="00757A19" w:rsidRDefault="00236189" w:rsidP="00236189">
      <w:pPr>
        <w:tabs>
          <w:tab w:val="left" w:pos="720"/>
        </w:tabs>
        <w:spacing w:after="0" w:line="288" w:lineRule="auto"/>
        <w:jc w:val="both"/>
        <w:rPr>
          <w:rFonts w:ascii="Century Gothic" w:eastAsia="Times New Roman" w:hAnsi="Century Gothic" w:cs="Times New Roman"/>
          <w:sz w:val="24"/>
          <w:szCs w:val="24"/>
          <w:lang w:eastAsia="es-ES"/>
        </w:rPr>
      </w:pPr>
      <w:r w:rsidRPr="001360A6">
        <w:rPr>
          <w:rFonts w:ascii="Century Gothic" w:eastAsia="Times New Roman" w:hAnsi="Century Gothic" w:cs="Times New Roman"/>
          <w:sz w:val="24"/>
          <w:szCs w:val="24"/>
          <w:lang w:eastAsia="es-ES"/>
        </w:rPr>
        <w:t>Es cuanto tengo el honor de informar a V.E. en cumplimiento de lo di</w:t>
      </w:r>
      <w:r w:rsidRPr="001360A6">
        <w:rPr>
          <w:rFonts w:ascii="Century Gothic" w:eastAsia="Times New Roman" w:hAnsi="Century Gothic" w:cs="Times New Roman"/>
          <w:sz w:val="24"/>
          <w:szCs w:val="24"/>
          <w:lang w:eastAsia="es-ES"/>
        </w:rPr>
        <w:t>s</w:t>
      </w:r>
      <w:r w:rsidRPr="001360A6">
        <w:rPr>
          <w:rFonts w:ascii="Century Gothic" w:eastAsia="Times New Roman" w:hAnsi="Century Gothic" w:cs="Times New Roman"/>
          <w:sz w:val="24"/>
          <w:szCs w:val="24"/>
          <w:lang w:eastAsia="es-ES"/>
        </w:rPr>
        <w:t>puesto en el artículo 194 del Reglamento del Parlamento de Navarra.</w:t>
      </w:r>
    </w:p>
    <w:p w:rsidR="00236189" w:rsidRPr="001360A6" w:rsidRDefault="00236189" w:rsidP="00236189">
      <w:pPr>
        <w:spacing w:after="0" w:line="288" w:lineRule="auto"/>
        <w:rPr>
          <w:rFonts w:ascii="Century Gothic" w:eastAsia="Times New Roman" w:hAnsi="Century Gothic" w:cs="Times New Roman"/>
          <w:sz w:val="24"/>
          <w:szCs w:val="24"/>
          <w:lang w:eastAsia="es-ES"/>
        </w:rPr>
      </w:pPr>
    </w:p>
    <w:p w:rsidR="00757A19" w:rsidRDefault="00236189" w:rsidP="00236189">
      <w:pPr>
        <w:tabs>
          <w:tab w:val="left" w:pos="3780"/>
        </w:tabs>
        <w:spacing w:after="0" w:line="288" w:lineRule="auto"/>
        <w:jc w:val="center"/>
        <w:rPr>
          <w:rFonts w:ascii="Century Gothic" w:eastAsia="Times New Roman" w:hAnsi="Century Gothic" w:cs="Times New Roman"/>
          <w:sz w:val="24"/>
          <w:szCs w:val="24"/>
          <w:lang w:eastAsia="es-ES"/>
        </w:rPr>
      </w:pPr>
      <w:r w:rsidRPr="001360A6">
        <w:rPr>
          <w:rFonts w:ascii="Century Gothic" w:eastAsia="Times New Roman" w:hAnsi="Century Gothic" w:cs="Times New Roman"/>
          <w:sz w:val="24"/>
          <w:szCs w:val="24"/>
          <w:lang w:eastAsia="es-ES"/>
        </w:rPr>
        <w:t xml:space="preserve">Pamplona,  </w:t>
      </w:r>
      <w:r>
        <w:rPr>
          <w:rFonts w:ascii="Century Gothic" w:eastAsia="Times New Roman" w:hAnsi="Century Gothic" w:cs="Times New Roman"/>
          <w:sz w:val="24"/>
          <w:szCs w:val="24"/>
          <w:lang w:eastAsia="es-ES"/>
        </w:rPr>
        <w:t>21</w:t>
      </w:r>
      <w:r w:rsidRPr="001360A6">
        <w:rPr>
          <w:rFonts w:ascii="Century Gothic" w:eastAsia="Times New Roman" w:hAnsi="Century Gothic" w:cs="Times New Roman"/>
          <w:sz w:val="24"/>
          <w:szCs w:val="24"/>
          <w:lang w:eastAsia="es-ES"/>
        </w:rPr>
        <w:t xml:space="preserve"> de </w:t>
      </w:r>
      <w:r>
        <w:rPr>
          <w:rFonts w:ascii="Century Gothic" w:eastAsia="Times New Roman" w:hAnsi="Century Gothic" w:cs="Times New Roman"/>
          <w:sz w:val="24"/>
          <w:szCs w:val="24"/>
          <w:lang w:eastAsia="es-ES"/>
        </w:rPr>
        <w:t>noviembre</w:t>
      </w:r>
      <w:r w:rsidRPr="001360A6">
        <w:rPr>
          <w:rFonts w:ascii="Century Gothic" w:eastAsia="Times New Roman" w:hAnsi="Century Gothic" w:cs="Times New Roman"/>
          <w:sz w:val="24"/>
          <w:szCs w:val="24"/>
          <w:lang w:eastAsia="es-ES"/>
        </w:rPr>
        <w:t xml:space="preserve"> de 2019</w:t>
      </w:r>
    </w:p>
    <w:p w:rsidR="00757A19" w:rsidRDefault="00757A19" w:rsidP="00236189">
      <w:pPr>
        <w:spacing w:after="0" w:line="288" w:lineRule="auto"/>
        <w:ind w:left="567" w:right="567"/>
        <w:jc w:val="center"/>
        <w:rPr>
          <w:rFonts w:ascii="Century Gothic" w:eastAsia="Times New Roman" w:hAnsi="Century Gothic" w:cs="Times New Roman"/>
          <w:sz w:val="24"/>
          <w:szCs w:val="24"/>
          <w:lang w:val="pt-BR" w:eastAsia="es-ES"/>
        </w:rPr>
      </w:pPr>
      <w:r w:rsidRPr="00236189">
        <w:rPr>
          <w:rFonts w:ascii="Century Gothic" w:eastAsia="Times New Roman" w:hAnsi="Century Gothic" w:cs="Times New Roman"/>
          <w:sz w:val="24"/>
          <w:szCs w:val="24"/>
          <w:lang w:eastAsia="es-ES"/>
        </w:rPr>
        <w:t>La Consejera de Salud</w:t>
      </w:r>
      <w:r>
        <w:rPr>
          <w:rFonts w:ascii="Century Gothic" w:eastAsia="Times New Roman" w:hAnsi="Century Gothic" w:cs="Times New Roman"/>
          <w:sz w:val="24"/>
          <w:szCs w:val="24"/>
          <w:lang w:eastAsia="es-ES"/>
        </w:rPr>
        <w:t>:</w:t>
      </w:r>
      <w:r w:rsidRPr="00236189">
        <w:rPr>
          <w:rFonts w:ascii="Century Gothic" w:eastAsia="Times New Roman" w:hAnsi="Century Gothic" w:cs="Times New Roman"/>
          <w:sz w:val="24"/>
          <w:szCs w:val="24"/>
          <w:lang w:eastAsia="es-ES"/>
        </w:rPr>
        <w:t xml:space="preserve"> </w:t>
      </w:r>
      <w:r>
        <w:rPr>
          <w:rFonts w:ascii="Century Gothic" w:eastAsia="Times New Roman" w:hAnsi="Century Gothic" w:cs="Times New Roman"/>
          <w:sz w:val="24"/>
          <w:szCs w:val="24"/>
          <w:lang w:val="pt-BR" w:eastAsia="es-ES"/>
        </w:rPr>
        <w:t xml:space="preserve">Santos </w:t>
      </w:r>
      <w:proofErr w:type="spellStart"/>
      <w:r>
        <w:rPr>
          <w:rFonts w:ascii="Century Gothic" w:eastAsia="Times New Roman" w:hAnsi="Century Gothic" w:cs="Times New Roman"/>
          <w:sz w:val="24"/>
          <w:szCs w:val="24"/>
          <w:lang w:val="pt-BR" w:eastAsia="es-ES"/>
        </w:rPr>
        <w:t>Indurá</w:t>
      </w:r>
      <w:r w:rsidR="00236189" w:rsidRPr="001360A6">
        <w:rPr>
          <w:rFonts w:ascii="Century Gothic" w:eastAsia="Times New Roman" w:hAnsi="Century Gothic" w:cs="Times New Roman"/>
          <w:sz w:val="24"/>
          <w:szCs w:val="24"/>
          <w:lang w:val="pt-BR" w:eastAsia="es-ES"/>
        </w:rPr>
        <w:t>in</w:t>
      </w:r>
      <w:proofErr w:type="spellEnd"/>
      <w:r w:rsidR="00236189" w:rsidRPr="001360A6">
        <w:rPr>
          <w:rFonts w:ascii="Century Gothic" w:eastAsia="Times New Roman" w:hAnsi="Century Gothic" w:cs="Times New Roman"/>
          <w:sz w:val="24"/>
          <w:szCs w:val="24"/>
          <w:lang w:val="pt-BR" w:eastAsia="es-ES"/>
        </w:rPr>
        <w:t xml:space="preserve"> </w:t>
      </w:r>
      <w:proofErr w:type="spellStart"/>
      <w:r w:rsidR="00236189" w:rsidRPr="001360A6">
        <w:rPr>
          <w:rFonts w:ascii="Century Gothic" w:eastAsia="Times New Roman" w:hAnsi="Century Gothic" w:cs="Times New Roman"/>
          <w:sz w:val="24"/>
          <w:szCs w:val="24"/>
          <w:lang w:val="pt-BR" w:eastAsia="es-ES"/>
        </w:rPr>
        <w:t>Orduna</w:t>
      </w:r>
      <w:proofErr w:type="spellEnd"/>
    </w:p>
    <w:p w:rsidR="00236189" w:rsidRPr="00236189" w:rsidRDefault="00236189" w:rsidP="00236189">
      <w:pPr>
        <w:spacing w:line="288" w:lineRule="auto"/>
        <w:rPr>
          <w:rFonts w:ascii="Century Gothic" w:hAnsi="Century Gothic"/>
          <w:b/>
          <w:sz w:val="24"/>
          <w:szCs w:val="24"/>
          <w:lang w:val="es-ES_tradnl"/>
        </w:rPr>
      </w:pPr>
    </w:p>
    <w:p w:rsidR="00B420B8" w:rsidRPr="00236189" w:rsidRDefault="00B420B8">
      <w:pPr>
        <w:spacing w:line="288" w:lineRule="auto"/>
        <w:rPr>
          <w:rFonts w:ascii="Century Gothic" w:hAnsi="Century Gothic"/>
          <w:b/>
          <w:sz w:val="24"/>
          <w:szCs w:val="24"/>
          <w:lang w:val="es-ES_tradnl"/>
        </w:rPr>
      </w:pPr>
    </w:p>
    <w:sectPr w:rsidR="00B420B8" w:rsidRPr="002361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5571"/>
    <w:multiLevelType w:val="hybridMultilevel"/>
    <w:tmpl w:val="B8CE6D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535EC6"/>
    <w:multiLevelType w:val="hybridMultilevel"/>
    <w:tmpl w:val="1EA610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E554F6"/>
    <w:multiLevelType w:val="hybridMultilevel"/>
    <w:tmpl w:val="5CD6FB34"/>
    <w:lvl w:ilvl="0" w:tplc="B7944DD6">
      <w:start w:val="1"/>
      <w:numFmt w:val="bullet"/>
      <w:lvlText w:val=""/>
      <w:lvlJc w:val="left"/>
      <w:pPr>
        <w:tabs>
          <w:tab w:val="num" w:pos="720"/>
        </w:tabs>
        <w:ind w:left="720" w:hanging="360"/>
      </w:pPr>
      <w:rPr>
        <w:rFonts w:ascii="Wingdings" w:hAnsi="Wingdings" w:hint="default"/>
      </w:rPr>
    </w:lvl>
    <w:lvl w:ilvl="1" w:tplc="77EE6EE2" w:tentative="1">
      <w:start w:val="1"/>
      <w:numFmt w:val="bullet"/>
      <w:lvlText w:val=""/>
      <w:lvlJc w:val="left"/>
      <w:pPr>
        <w:tabs>
          <w:tab w:val="num" w:pos="1440"/>
        </w:tabs>
        <w:ind w:left="1440" w:hanging="360"/>
      </w:pPr>
      <w:rPr>
        <w:rFonts w:ascii="Wingdings" w:hAnsi="Wingdings" w:hint="default"/>
      </w:rPr>
    </w:lvl>
    <w:lvl w:ilvl="2" w:tplc="602A830A" w:tentative="1">
      <w:start w:val="1"/>
      <w:numFmt w:val="bullet"/>
      <w:lvlText w:val=""/>
      <w:lvlJc w:val="left"/>
      <w:pPr>
        <w:tabs>
          <w:tab w:val="num" w:pos="2160"/>
        </w:tabs>
        <w:ind w:left="2160" w:hanging="360"/>
      </w:pPr>
      <w:rPr>
        <w:rFonts w:ascii="Wingdings" w:hAnsi="Wingdings" w:hint="default"/>
      </w:rPr>
    </w:lvl>
    <w:lvl w:ilvl="3" w:tplc="8E3AAD04" w:tentative="1">
      <w:start w:val="1"/>
      <w:numFmt w:val="bullet"/>
      <w:lvlText w:val=""/>
      <w:lvlJc w:val="left"/>
      <w:pPr>
        <w:tabs>
          <w:tab w:val="num" w:pos="2880"/>
        </w:tabs>
        <w:ind w:left="2880" w:hanging="360"/>
      </w:pPr>
      <w:rPr>
        <w:rFonts w:ascii="Wingdings" w:hAnsi="Wingdings" w:hint="default"/>
      </w:rPr>
    </w:lvl>
    <w:lvl w:ilvl="4" w:tplc="1368C348" w:tentative="1">
      <w:start w:val="1"/>
      <w:numFmt w:val="bullet"/>
      <w:lvlText w:val=""/>
      <w:lvlJc w:val="left"/>
      <w:pPr>
        <w:tabs>
          <w:tab w:val="num" w:pos="3600"/>
        </w:tabs>
        <w:ind w:left="3600" w:hanging="360"/>
      </w:pPr>
      <w:rPr>
        <w:rFonts w:ascii="Wingdings" w:hAnsi="Wingdings" w:hint="default"/>
      </w:rPr>
    </w:lvl>
    <w:lvl w:ilvl="5" w:tplc="4508C8F6" w:tentative="1">
      <w:start w:val="1"/>
      <w:numFmt w:val="bullet"/>
      <w:lvlText w:val=""/>
      <w:lvlJc w:val="left"/>
      <w:pPr>
        <w:tabs>
          <w:tab w:val="num" w:pos="4320"/>
        </w:tabs>
        <w:ind w:left="4320" w:hanging="360"/>
      </w:pPr>
      <w:rPr>
        <w:rFonts w:ascii="Wingdings" w:hAnsi="Wingdings" w:hint="default"/>
      </w:rPr>
    </w:lvl>
    <w:lvl w:ilvl="6" w:tplc="1B7A9D8A" w:tentative="1">
      <w:start w:val="1"/>
      <w:numFmt w:val="bullet"/>
      <w:lvlText w:val=""/>
      <w:lvlJc w:val="left"/>
      <w:pPr>
        <w:tabs>
          <w:tab w:val="num" w:pos="5040"/>
        </w:tabs>
        <w:ind w:left="5040" w:hanging="360"/>
      </w:pPr>
      <w:rPr>
        <w:rFonts w:ascii="Wingdings" w:hAnsi="Wingdings" w:hint="default"/>
      </w:rPr>
    </w:lvl>
    <w:lvl w:ilvl="7" w:tplc="47B09A46" w:tentative="1">
      <w:start w:val="1"/>
      <w:numFmt w:val="bullet"/>
      <w:lvlText w:val=""/>
      <w:lvlJc w:val="left"/>
      <w:pPr>
        <w:tabs>
          <w:tab w:val="num" w:pos="5760"/>
        </w:tabs>
        <w:ind w:left="5760" w:hanging="360"/>
      </w:pPr>
      <w:rPr>
        <w:rFonts w:ascii="Wingdings" w:hAnsi="Wingdings" w:hint="default"/>
      </w:rPr>
    </w:lvl>
    <w:lvl w:ilvl="8" w:tplc="D598A296" w:tentative="1">
      <w:start w:val="1"/>
      <w:numFmt w:val="bullet"/>
      <w:lvlText w:val=""/>
      <w:lvlJc w:val="left"/>
      <w:pPr>
        <w:tabs>
          <w:tab w:val="num" w:pos="6480"/>
        </w:tabs>
        <w:ind w:left="6480" w:hanging="360"/>
      </w:pPr>
      <w:rPr>
        <w:rFonts w:ascii="Wingdings" w:hAnsi="Wingdings" w:hint="default"/>
      </w:rPr>
    </w:lvl>
  </w:abstractNum>
  <w:abstractNum w:abstractNumId="3">
    <w:nsid w:val="5BB03FE8"/>
    <w:multiLevelType w:val="hybridMultilevel"/>
    <w:tmpl w:val="B72467CC"/>
    <w:lvl w:ilvl="0" w:tplc="92CC314C">
      <w:start w:val="1"/>
      <w:numFmt w:val="bullet"/>
      <w:lvlText w:val=""/>
      <w:lvlJc w:val="left"/>
      <w:pPr>
        <w:tabs>
          <w:tab w:val="num" w:pos="1068"/>
        </w:tabs>
        <w:ind w:left="1068" w:hanging="360"/>
      </w:pPr>
      <w:rPr>
        <w:rFonts w:ascii="Wingdings" w:hAnsi="Wingdings" w:hint="default"/>
      </w:rPr>
    </w:lvl>
    <w:lvl w:ilvl="1" w:tplc="A3C8BDFA" w:tentative="1">
      <w:start w:val="1"/>
      <w:numFmt w:val="bullet"/>
      <w:lvlText w:val=""/>
      <w:lvlJc w:val="left"/>
      <w:pPr>
        <w:tabs>
          <w:tab w:val="num" w:pos="1788"/>
        </w:tabs>
        <w:ind w:left="1788" w:hanging="360"/>
      </w:pPr>
      <w:rPr>
        <w:rFonts w:ascii="Wingdings" w:hAnsi="Wingdings" w:hint="default"/>
      </w:rPr>
    </w:lvl>
    <w:lvl w:ilvl="2" w:tplc="ADFAF49A" w:tentative="1">
      <w:start w:val="1"/>
      <w:numFmt w:val="bullet"/>
      <w:lvlText w:val=""/>
      <w:lvlJc w:val="left"/>
      <w:pPr>
        <w:tabs>
          <w:tab w:val="num" w:pos="2508"/>
        </w:tabs>
        <w:ind w:left="2508" w:hanging="360"/>
      </w:pPr>
      <w:rPr>
        <w:rFonts w:ascii="Wingdings" w:hAnsi="Wingdings" w:hint="default"/>
      </w:rPr>
    </w:lvl>
    <w:lvl w:ilvl="3" w:tplc="78803BB4" w:tentative="1">
      <w:start w:val="1"/>
      <w:numFmt w:val="bullet"/>
      <w:lvlText w:val=""/>
      <w:lvlJc w:val="left"/>
      <w:pPr>
        <w:tabs>
          <w:tab w:val="num" w:pos="3228"/>
        </w:tabs>
        <w:ind w:left="3228" w:hanging="360"/>
      </w:pPr>
      <w:rPr>
        <w:rFonts w:ascii="Wingdings" w:hAnsi="Wingdings" w:hint="default"/>
      </w:rPr>
    </w:lvl>
    <w:lvl w:ilvl="4" w:tplc="FCD6509A" w:tentative="1">
      <w:start w:val="1"/>
      <w:numFmt w:val="bullet"/>
      <w:lvlText w:val=""/>
      <w:lvlJc w:val="left"/>
      <w:pPr>
        <w:tabs>
          <w:tab w:val="num" w:pos="3948"/>
        </w:tabs>
        <w:ind w:left="3948" w:hanging="360"/>
      </w:pPr>
      <w:rPr>
        <w:rFonts w:ascii="Wingdings" w:hAnsi="Wingdings" w:hint="default"/>
      </w:rPr>
    </w:lvl>
    <w:lvl w:ilvl="5" w:tplc="BEAED032" w:tentative="1">
      <w:start w:val="1"/>
      <w:numFmt w:val="bullet"/>
      <w:lvlText w:val=""/>
      <w:lvlJc w:val="left"/>
      <w:pPr>
        <w:tabs>
          <w:tab w:val="num" w:pos="4668"/>
        </w:tabs>
        <w:ind w:left="4668" w:hanging="360"/>
      </w:pPr>
      <w:rPr>
        <w:rFonts w:ascii="Wingdings" w:hAnsi="Wingdings" w:hint="default"/>
      </w:rPr>
    </w:lvl>
    <w:lvl w:ilvl="6" w:tplc="B1081974" w:tentative="1">
      <w:start w:val="1"/>
      <w:numFmt w:val="bullet"/>
      <w:lvlText w:val=""/>
      <w:lvlJc w:val="left"/>
      <w:pPr>
        <w:tabs>
          <w:tab w:val="num" w:pos="5388"/>
        </w:tabs>
        <w:ind w:left="5388" w:hanging="360"/>
      </w:pPr>
      <w:rPr>
        <w:rFonts w:ascii="Wingdings" w:hAnsi="Wingdings" w:hint="default"/>
      </w:rPr>
    </w:lvl>
    <w:lvl w:ilvl="7" w:tplc="FF3E7F96" w:tentative="1">
      <w:start w:val="1"/>
      <w:numFmt w:val="bullet"/>
      <w:lvlText w:val=""/>
      <w:lvlJc w:val="left"/>
      <w:pPr>
        <w:tabs>
          <w:tab w:val="num" w:pos="6108"/>
        </w:tabs>
        <w:ind w:left="6108" w:hanging="360"/>
      </w:pPr>
      <w:rPr>
        <w:rFonts w:ascii="Wingdings" w:hAnsi="Wingdings" w:hint="default"/>
      </w:rPr>
    </w:lvl>
    <w:lvl w:ilvl="8" w:tplc="33469256" w:tentative="1">
      <w:start w:val="1"/>
      <w:numFmt w:val="bullet"/>
      <w:lvlText w:val=""/>
      <w:lvlJc w:val="left"/>
      <w:pPr>
        <w:tabs>
          <w:tab w:val="num" w:pos="6828"/>
        </w:tabs>
        <w:ind w:left="6828" w:hanging="360"/>
      </w:pPr>
      <w:rPr>
        <w:rFonts w:ascii="Wingdings" w:hAnsi="Wingdings" w:hint="default"/>
      </w:rPr>
    </w:lvl>
  </w:abstractNum>
  <w:abstractNum w:abstractNumId="4">
    <w:nsid w:val="7DE041AB"/>
    <w:multiLevelType w:val="hybridMultilevel"/>
    <w:tmpl w:val="1D5E24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2F"/>
    <w:rsid w:val="000A1FF8"/>
    <w:rsid w:val="000B69A9"/>
    <w:rsid w:val="001676D6"/>
    <w:rsid w:val="00236189"/>
    <w:rsid w:val="002A2597"/>
    <w:rsid w:val="003949A4"/>
    <w:rsid w:val="006A4123"/>
    <w:rsid w:val="0074791E"/>
    <w:rsid w:val="00757A19"/>
    <w:rsid w:val="007B10BD"/>
    <w:rsid w:val="00922C9F"/>
    <w:rsid w:val="00987732"/>
    <w:rsid w:val="00B16A9B"/>
    <w:rsid w:val="00B24324"/>
    <w:rsid w:val="00B420B8"/>
    <w:rsid w:val="00C15B51"/>
    <w:rsid w:val="00C57574"/>
    <w:rsid w:val="00C7052E"/>
    <w:rsid w:val="00CC302F"/>
    <w:rsid w:val="00D26EF4"/>
    <w:rsid w:val="00DD5082"/>
    <w:rsid w:val="00E5014D"/>
    <w:rsid w:val="00EF5F63"/>
    <w:rsid w:val="00FF07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4324"/>
    <w:rPr>
      <w:color w:val="0000FF" w:themeColor="hyperlink"/>
      <w:u w:val="single"/>
    </w:rPr>
  </w:style>
  <w:style w:type="paragraph" w:styleId="Prrafodelista">
    <w:name w:val="List Paragraph"/>
    <w:basedOn w:val="Normal"/>
    <w:uiPriority w:val="34"/>
    <w:qFormat/>
    <w:rsid w:val="006A4123"/>
    <w:pPr>
      <w:ind w:left="720"/>
      <w:contextualSpacing/>
    </w:pPr>
  </w:style>
  <w:style w:type="paragraph" w:styleId="Textodeglobo">
    <w:name w:val="Balloon Text"/>
    <w:basedOn w:val="Normal"/>
    <w:link w:val="TextodegloboCar"/>
    <w:uiPriority w:val="99"/>
    <w:semiHidden/>
    <w:unhideWhenUsed/>
    <w:rsid w:val="00987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4324"/>
    <w:rPr>
      <w:color w:val="0000FF" w:themeColor="hyperlink"/>
      <w:u w:val="single"/>
    </w:rPr>
  </w:style>
  <w:style w:type="paragraph" w:styleId="Prrafodelista">
    <w:name w:val="List Paragraph"/>
    <w:basedOn w:val="Normal"/>
    <w:uiPriority w:val="34"/>
    <w:qFormat/>
    <w:rsid w:val="006A4123"/>
    <w:pPr>
      <w:ind w:left="720"/>
      <w:contextualSpacing/>
    </w:pPr>
  </w:style>
  <w:style w:type="paragraph" w:styleId="Textodeglobo">
    <w:name w:val="Balloon Text"/>
    <w:basedOn w:val="Normal"/>
    <w:link w:val="TextodegloboCar"/>
    <w:uiPriority w:val="99"/>
    <w:semiHidden/>
    <w:unhideWhenUsed/>
    <w:rsid w:val="00987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10506">
      <w:bodyDiv w:val="1"/>
      <w:marLeft w:val="0"/>
      <w:marRight w:val="0"/>
      <w:marTop w:val="0"/>
      <w:marBottom w:val="0"/>
      <w:divBdr>
        <w:top w:val="none" w:sz="0" w:space="0" w:color="auto"/>
        <w:left w:val="none" w:sz="0" w:space="0" w:color="auto"/>
        <w:bottom w:val="none" w:sz="0" w:space="0" w:color="auto"/>
        <w:right w:val="none" w:sz="0" w:space="0" w:color="auto"/>
      </w:divBdr>
    </w:div>
    <w:div w:id="378553051">
      <w:bodyDiv w:val="1"/>
      <w:marLeft w:val="0"/>
      <w:marRight w:val="0"/>
      <w:marTop w:val="0"/>
      <w:marBottom w:val="0"/>
      <w:divBdr>
        <w:top w:val="none" w:sz="0" w:space="0" w:color="auto"/>
        <w:left w:val="none" w:sz="0" w:space="0" w:color="auto"/>
        <w:bottom w:val="none" w:sz="0" w:space="0" w:color="auto"/>
        <w:right w:val="none" w:sz="0" w:space="0" w:color="auto"/>
      </w:divBdr>
    </w:div>
    <w:div w:id="487749376">
      <w:bodyDiv w:val="1"/>
      <w:marLeft w:val="0"/>
      <w:marRight w:val="0"/>
      <w:marTop w:val="0"/>
      <w:marBottom w:val="0"/>
      <w:divBdr>
        <w:top w:val="none" w:sz="0" w:space="0" w:color="auto"/>
        <w:left w:val="none" w:sz="0" w:space="0" w:color="auto"/>
        <w:bottom w:val="none" w:sz="0" w:space="0" w:color="auto"/>
        <w:right w:val="none" w:sz="0" w:space="0" w:color="auto"/>
      </w:divBdr>
    </w:div>
    <w:div w:id="1201437893">
      <w:bodyDiv w:val="1"/>
      <w:marLeft w:val="0"/>
      <w:marRight w:val="0"/>
      <w:marTop w:val="0"/>
      <w:marBottom w:val="0"/>
      <w:divBdr>
        <w:top w:val="none" w:sz="0" w:space="0" w:color="auto"/>
        <w:left w:val="none" w:sz="0" w:space="0" w:color="auto"/>
        <w:bottom w:val="none" w:sz="0" w:space="0" w:color="auto"/>
        <w:right w:val="none" w:sz="0" w:space="0" w:color="auto"/>
      </w:divBdr>
      <w:divsChild>
        <w:div w:id="931857910">
          <w:marLeft w:val="446"/>
          <w:marRight w:val="0"/>
          <w:marTop w:val="0"/>
          <w:marBottom w:val="0"/>
          <w:divBdr>
            <w:top w:val="none" w:sz="0" w:space="0" w:color="auto"/>
            <w:left w:val="none" w:sz="0" w:space="0" w:color="auto"/>
            <w:bottom w:val="none" w:sz="0" w:space="0" w:color="auto"/>
            <w:right w:val="none" w:sz="0" w:space="0" w:color="auto"/>
          </w:divBdr>
        </w:div>
      </w:divsChild>
    </w:div>
    <w:div w:id="1516924027">
      <w:bodyDiv w:val="1"/>
      <w:marLeft w:val="0"/>
      <w:marRight w:val="0"/>
      <w:marTop w:val="0"/>
      <w:marBottom w:val="0"/>
      <w:divBdr>
        <w:top w:val="none" w:sz="0" w:space="0" w:color="auto"/>
        <w:left w:val="none" w:sz="0" w:space="0" w:color="auto"/>
        <w:bottom w:val="none" w:sz="0" w:space="0" w:color="auto"/>
        <w:right w:val="none" w:sz="0" w:space="0" w:color="auto"/>
      </w:divBdr>
    </w:div>
    <w:div w:id="1816531107">
      <w:bodyDiv w:val="1"/>
      <w:marLeft w:val="0"/>
      <w:marRight w:val="0"/>
      <w:marTop w:val="0"/>
      <w:marBottom w:val="0"/>
      <w:divBdr>
        <w:top w:val="none" w:sz="0" w:space="0" w:color="auto"/>
        <w:left w:val="none" w:sz="0" w:space="0" w:color="auto"/>
        <w:bottom w:val="none" w:sz="0" w:space="0" w:color="auto"/>
        <w:right w:val="none" w:sz="0" w:space="0" w:color="auto"/>
      </w:divBdr>
      <w:divsChild>
        <w:div w:id="9635851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cbs.gob.es/ciudadanos/saludAmbLaboral/docs/PIVISTEA2016.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913</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Nuin Villanueva, Mª Ángeles (ISP)</dc:creator>
  <cp:lastModifiedBy>Aranaz, Carlota</cp:lastModifiedBy>
  <cp:revision>8</cp:revision>
  <cp:lastPrinted>2019-11-21T12:47:00Z</cp:lastPrinted>
  <dcterms:created xsi:type="dcterms:W3CDTF">2019-11-21T12:43:00Z</dcterms:created>
  <dcterms:modified xsi:type="dcterms:W3CDTF">2020-02-03T14:01:00Z</dcterms:modified>
</cp:coreProperties>
</file>