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Herritarren Segurtasuna Babesteko 4/2015 Lege Organikoa indarrean sartu zenetik Foruzaingoak egindako zehapen-espedienteei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Herritarraren Segurtasuna Babesteari buruzko 4/2015 Lege Organikoa, zeina “Mozal Legea” gisa ezagutzen baita, 2015eko martxoaren 26an onetsi zen Kongresuan, garai hartan gehiengo osoa zuen PPren babesarekin eta oposizio osoaren arbuioarekin. Gaur egun, lege hori oraindik ere indarrean dagoenez, polizia kidego desberdinek, Foruzaingoa barne, aplikatzen jarraitzen dute eta, hori dela eta, zehapen-espedienteak irekitzen eta isunak ezartzen jarraitzen da.</w:t>
      </w:r>
    </w:p>
    <w:p>
      <w:pPr>
        <w:pStyle w:val="0"/>
        <w:suppressAutoHyphens w:val="false"/>
        <w:rPr>
          <w:rStyle w:val="1"/>
        </w:rPr>
      </w:pPr>
      <w:r>
        <w:rPr>
          <w:rStyle w:val="1"/>
        </w:rPr>
        <w:t xml:space="preserve">Horrenbestez, honako galdera hauek aurkezten dira, idatziz erantzun dakien:</w:t>
      </w:r>
    </w:p>
    <w:p>
      <w:pPr>
        <w:pStyle w:val="0"/>
        <w:suppressAutoHyphens w:val="false"/>
        <w:rPr>
          <w:rStyle w:val="1"/>
        </w:rPr>
      </w:pPr>
      <w:r>
        <w:rPr>
          <w:rStyle w:val="1"/>
        </w:rPr>
        <w:t xml:space="preserve">– Zenbat zehapen-espediente ireki dituzte Foruzaingoko agenteek Herritarraren Segurtasuna Babesteari buruzko 4/2015 Lege Organikoa indarrean sartu zenetik?</w:t>
      </w:r>
    </w:p>
    <w:p>
      <w:pPr>
        <w:pStyle w:val="0"/>
        <w:suppressAutoHyphens w:val="false"/>
        <w:rPr>
          <w:rStyle w:val="1"/>
        </w:rPr>
      </w:pPr>
      <w:r>
        <w:rPr>
          <w:rStyle w:val="1"/>
        </w:rPr>
        <w:t xml:space="preserve">– Aipatu lege organikoa indarrean sartu zenetik igaro diren urteetako bakoitzean zenbatekoak izan dira zehapen-espediente horien ondorioz ezarritako isunak?</w:t>
      </w:r>
    </w:p>
    <w:p>
      <w:pPr>
        <w:pStyle w:val="0"/>
        <w:suppressAutoHyphens w:val="false"/>
        <w:rPr>
          <w:rStyle w:val="1"/>
        </w:rPr>
      </w:pPr>
      <w:r>
        <w:rPr>
          <w:rStyle w:val="1"/>
        </w:rPr>
        <w:t xml:space="preserve">– 4/2015 Lege Organikoaren 35.etik 37.era arteko artikuluetako zein apartatutan oinarritu dira ezarritako zehazpenak?</w:t>
      </w:r>
    </w:p>
    <w:p>
      <w:pPr>
        <w:pStyle w:val="0"/>
        <w:suppressAutoHyphens w:val="false"/>
        <w:rPr>
          <w:rStyle w:val="1"/>
        </w:rPr>
      </w:pPr>
      <w:r>
        <w:rPr>
          <w:rStyle w:val="1"/>
        </w:rPr>
        <w:t xml:space="preserve">– Aipatu artikuluen apartatuetako bakoitzeko zenbat zehapen-espediente ireki dira lege organikoa indarrean sartu zenetik?</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