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marzo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considera conveniente solicitar al Gobierno de España que en sus relaciones con las autoridades iraníes les pidan que: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Dejen en libertad de inmediato y sin condiciones a Nasrin Sotoudeh, Yasaman Aryani, Monireh Arabshahi, Mojgan Keshavarz y a las demás personas encarceladas por defender pacíficamente los derechos de las mujeres. Tienen que anular sus condenas y retirar todos los cargos contra ellas.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Deroguen la legislación discriminatoria relativa al uso obligatorio del velo y dejen de criminalizar el trabajo de quienes defienden los derechos de las mujeres.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De la misma manera, y en relación con Arabia Saudí, este Parlamento considera conveniente solicitar al Gobierno de España que en sus relaciones con las autoridades saudíes les pidan que: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Retiren todos los cargos contra las activistas que trabajan en Arabia Saudí en defensa de los derechos de las mujeres.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Pongan en libertad de forma inmediata e incondicional a aquellas que permanecen detenidas, pues son presas de conciencia, detenidas únicamente por ejercer de forma pacífica su derecho a la libertad de expresión, reunión y asociación.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Faciliten a todas las personas detenidas asistencia letrada y permitan la presencia de observadores independientes en las prisiones para investigar las denuncias de tortura y otros malos tratos, incluidos abusos sexuales” (10-20/DEC-00022).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marzo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