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mayo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 de máxima actualidad sobre las medidas previstas para reactivar los expedientes de contratación a fin de contribuir a la recuperación de la actividad comercial y económica de las entidades locales,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mayo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oral, a fin de que sea respondida en el próximo Pleno de la Cámara por parte del Consejero de Cohesión Territorial de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Una de las consecuencias de la crisis sanitaria es la repercusión social y económica en nuestras entidades locales.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tiene previstas el Gobierno de Navarra para reactivar los expedientes de contratación a fin de contribuir a la recuperación de la actividad comercial y económica de las entidades locales?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3 de mayo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