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839" w:rsidRDefault="00DE6839" w:rsidP="00DE6839">
      <w:pPr>
        <w:pStyle w:val="Estilo"/>
        <w:spacing w:after="200" w:line="320" w:lineRule="exact"/>
        <w:rPr>
          <w:rFonts w:asciiTheme="minorHAnsi" w:hAnsiTheme="minorHAnsi"/>
          <w:sz w:val="28"/>
          <w:szCs w:val="28"/>
          <w:lang w:val="es-ES_tradnl"/>
        </w:rPr>
      </w:pPr>
      <w:r w:rsidRPr="00C26E0D">
        <w:rPr>
          <w:rFonts w:asciiTheme="minorHAnsi" w:hAnsiTheme="minorHAnsi"/>
          <w:sz w:val="28"/>
          <w:szCs w:val="28"/>
          <w:lang w:val="es-ES_tradnl"/>
        </w:rPr>
        <w:t>PES-00034</w:t>
      </w:r>
    </w:p>
    <w:p w:rsidR="00DE6839" w:rsidRDefault="00DE6839" w:rsidP="00DE6839">
      <w:pPr>
        <w:pStyle w:val="Estilo"/>
        <w:spacing w:after="200" w:line="320" w:lineRule="exact"/>
        <w:rPr>
          <w:rFonts w:asciiTheme="minorHAnsi" w:hAnsiTheme="minorHAnsi"/>
          <w:sz w:val="28"/>
          <w:szCs w:val="28"/>
          <w:lang w:val="es-ES_tradnl"/>
        </w:rPr>
      </w:pPr>
      <w:r w:rsidRPr="00C26E0D">
        <w:rPr>
          <w:rFonts w:asciiTheme="minorHAnsi" w:hAnsiTheme="minorHAnsi"/>
          <w:sz w:val="28"/>
          <w:szCs w:val="28"/>
          <w:lang w:val="es-ES_tradnl"/>
        </w:rPr>
        <w:t>Con fecha 24 de febrero de 2020 la Mesa del Parlamento de Navarra admitió a trámite la pregunta</w:t>
      </w:r>
      <w:r>
        <w:rPr>
          <w:rFonts w:asciiTheme="minorHAnsi" w:hAnsiTheme="minorHAnsi"/>
          <w:sz w:val="28"/>
          <w:szCs w:val="28"/>
          <w:lang w:val="es-ES_tradnl"/>
        </w:rPr>
        <w:t xml:space="preserve"> </w:t>
      </w:r>
      <w:r w:rsidRPr="00C26E0D">
        <w:rPr>
          <w:rFonts w:ascii="Calibri" w:hAnsi="Calibri"/>
          <w:sz w:val="28"/>
          <w:szCs w:val="28"/>
          <w:lang w:val="es-ES_tradnl"/>
        </w:rPr>
        <w:t>escrita 20PES-34</w:t>
      </w:r>
      <w:r w:rsidRPr="00C26E0D">
        <w:rPr>
          <w:rFonts w:asciiTheme="minorHAnsi" w:hAnsiTheme="minorHAnsi"/>
          <w:sz w:val="28"/>
          <w:szCs w:val="28"/>
          <w:lang w:val="es-ES_tradnl"/>
        </w:rPr>
        <w:t xml:space="preserve">, planteada por don Adolfo </w:t>
      </w:r>
      <w:proofErr w:type="spellStart"/>
      <w:r w:rsidRPr="00C26E0D">
        <w:rPr>
          <w:rFonts w:asciiTheme="minorHAnsi" w:hAnsiTheme="minorHAnsi"/>
          <w:sz w:val="28"/>
          <w:szCs w:val="28"/>
          <w:lang w:val="es-ES_tradnl"/>
        </w:rPr>
        <w:t>Aráiz</w:t>
      </w:r>
      <w:proofErr w:type="spellEnd"/>
      <w:r w:rsidRPr="00C26E0D">
        <w:rPr>
          <w:rFonts w:asciiTheme="minorHAnsi" w:hAnsiTheme="minorHAnsi"/>
          <w:sz w:val="28"/>
          <w:szCs w:val="28"/>
          <w:lang w:val="es-ES_tradnl"/>
        </w:rPr>
        <w:t xml:space="preserve"> </w:t>
      </w:r>
      <w:proofErr w:type="spellStart"/>
      <w:r w:rsidRPr="00C26E0D">
        <w:rPr>
          <w:rFonts w:asciiTheme="minorHAnsi" w:hAnsiTheme="minorHAnsi"/>
          <w:sz w:val="28"/>
          <w:szCs w:val="28"/>
          <w:lang w:val="es-ES_tradnl"/>
        </w:rPr>
        <w:t>Flamarique</w:t>
      </w:r>
      <w:proofErr w:type="spellEnd"/>
      <w:r>
        <w:rPr>
          <w:rFonts w:asciiTheme="minorHAnsi" w:hAnsiTheme="minorHAnsi"/>
          <w:sz w:val="28"/>
          <w:szCs w:val="28"/>
          <w:lang w:val="es-ES_tradnl"/>
        </w:rPr>
        <w:t>,</w:t>
      </w:r>
      <w:r w:rsidRPr="00C26E0D">
        <w:rPr>
          <w:rFonts w:asciiTheme="minorHAnsi" w:hAnsiTheme="minorHAnsi"/>
          <w:sz w:val="28"/>
          <w:szCs w:val="28"/>
          <w:lang w:val="es-ES_tradnl"/>
        </w:rPr>
        <w:t xml:space="preserve"> Parlamentario adscrito al Grupo EH-</w:t>
      </w:r>
      <w:r>
        <w:rPr>
          <w:rFonts w:asciiTheme="minorHAnsi" w:hAnsiTheme="minorHAnsi"/>
          <w:sz w:val="28"/>
          <w:szCs w:val="28"/>
          <w:lang w:val="es-ES_tradnl"/>
        </w:rPr>
        <w:t>Bildu Nafarroa</w:t>
      </w:r>
      <w:r w:rsidRPr="00C26E0D">
        <w:rPr>
          <w:rFonts w:asciiTheme="minorHAnsi" w:hAnsiTheme="minorHAnsi"/>
          <w:sz w:val="28"/>
          <w:szCs w:val="28"/>
          <w:lang w:val="es-ES_tradnl"/>
        </w:rPr>
        <w:t xml:space="preserve">, sobre </w:t>
      </w:r>
      <w:r>
        <w:rPr>
          <w:rFonts w:asciiTheme="minorHAnsi" w:hAnsiTheme="minorHAnsi"/>
          <w:sz w:val="28"/>
          <w:szCs w:val="28"/>
          <w:lang w:val="es-ES_tradnl"/>
        </w:rPr>
        <w:t>“</w:t>
      </w:r>
      <w:r w:rsidRPr="00C26E0D">
        <w:rPr>
          <w:rFonts w:asciiTheme="minorHAnsi" w:hAnsiTheme="minorHAnsi"/>
          <w:sz w:val="28"/>
          <w:szCs w:val="28"/>
          <w:lang w:val="es-ES_tradnl"/>
        </w:rPr>
        <w:t>los expedientes sancionadores de la Policía Foral desde que entró en vigor la Ley Orgánica 4/2015, de 30 de marzo, de Protección de la Seguridad Ciudadana</w:t>
      </w:r>
      <w:r>
        <w:rPr>
          <w:rFonts w:asciiTheme="minorHAnsi" w:hAnsiTheme="minorHAnsi"/>
          <w:sz w:val="28"/>
          <w:szCs w:val="28"/>
          <w:lang w:val="es-ES_tradnl"/>
        </w:rPr>
        <w:t>”</w:t>
      </w:r>
      <w:r w:rsidRPr="00C26E0D">
        <w:rPr>
          <w:rFonts w:asciiTheme="minorHAnsi" w:hAnsiTheme="minorHAnsi"/>
          <w:sz w:val="28"/>
          <w:szCs w:val="28"/>
          <w:lang w:val="es-ES_tradnl"/>
        </w:rPr>
        <w:t>, en relación con la cual se hace constar la siguiente respuesta escrita:</w:t>
      </w:r>
    </w:p>
    <w:p w:rsidR="00DE6839" w:rsidRDefault="00DE6839" w:rsidP="00DE6839">
      <w:pPr>
        <w:pStyle w:val="Estilo"/>
        <w:spacing w:after="200" w:line="320" w:lineRule="exact"/>
        <w:rPr>
          <w:rFonts w:asciiTheme="minorHAnsi" w:hAnsiTheme="minorHAnsi"/>
          <w:sz w:val="28"/>
          <w:szCs w:val="28"/>
          <w:lang w:val="es-ES_tradnl"/>
        </w:rPr>
      </w:pPr>
      <w:r w:rsidRPr="00C26E0D">
        <w:rPr>
          <w:rFonts w:asciiTheme="minorHAnsi" w:hAnsiTheme="minorHAnsi"/>
          <w:sz w:val="28"/>
          <w:szCs w:val="28"/>
          <w:lang w:val="es-ES_tradnl"/>
        </w:rPr>
        <w:t xml:space="preserve">1. </w:t>
      </w:r>
      <w:r>
        <w:rPr>
          <w:rFonts w:asciiTheme="minorHAnsi" w:hAnsiTheme="minorHAnsi"/>
          <w:sz w:val="28"/>
          <w:szCs w:val="28"/>
          <w:lang w:val="es-ES_tradnl"/>
        </w:rPr>
        <w:t>¿C</w:t>
      </w:r>
      <w:r w:rsidRPr="00C26E0D">
        <w:rPr>
          <w:rFonts w:asciiTheme="minorHAnsi" w:hAnsiTheme="minorHAnsi"/>
          <w:sz w:val="28"/>
          <w:szCs w:val="28"/>
          <w:lang w:val="es-ES_tradnl"/>
        </w:rPr>
        <w:t>uántos expedientes sancionadores incoados por agentes de la Policía Foral se han incoado desde que entró en vigor la Ley Orgánica 4/2015 de Protección de la Seguridad Ciudadana?</w:t>
      </w:r>
    </w:p>
    <w:p w:rsidR="00DE6839" w:rsidRDefault="00DE6839" w:rsidP="00DE6839">
      <w:pPr>
        <w:pStyle w:val="Estilo"/>
        <w:spacing w:after="200" w:line="320" w:lineRule="exact"/>
        <w:rPr>
          <w:rFonts w:asciiTheme="minorHAnsi" w:hAnsiTheme="minorHAnsi"/>
          <w:sz w:val="28"/>
          <w:szCs w:val="28"/>
          <w:lang w:val="es-ES_tradnl"/>
        </w:rPr>
      </w:pPr>
      <w:r w:rsidRPr="00C26E0D">
        <w:rPr>
          <w:rFonts w:asciiTheme="minorHAnsi" w:hAnsiTheme="minorHAnsi"/>
          <w:sz w:val="28"/>
          <w:szCs w:val="28"/>
          <w:lang w:val="es-ES_tradnl"/>
        </w:rPr>
        <w:t xml:space="preserve">La competencia para la tramitación de expedientes en materia de seguridad ciudadana viene reconocida por la disposición adicional primera de la Ley Foral 8/2006, de 20 de junio, de Seguridad Pública de Navarra, que bajo el título </w:t>
      </w:r>
      <w:r>
        <w:rPr>
          <w:rFonts w:asciiTheme="minorHAnsi" w:hAnsiTheme="minorHAnsi"/>
          <w:sz w:val="28"/>
          <w:szCs w:val="28"/>
          <w:lang w:val="es-ES_tradnl"/>
        </w:rPr>
        <w:t>“</w:t>
      </w:r>
      <w:r w:rsidRPr="00C26E0D">
        <w:rPr>
          <w:rFonts w:asciiTheme="minorHAnsi" w:hAnsiTheme="minorHAnsi"/>
          <w:sz w:val="28"/>
          <w:szCs w:val="28"/>
          <w:lang w:val="es-ES_tradnl"/>
        </w:rPr>
        <w:t>Autoridades de la Administración de la Comunidad Foral de Navarra competentes para sancionar en materia de seguridad</w:t>
      </w:r>
      <w:r>
        <w:rPr>
          <w:rFonts w:asciiTheme="minorHAnsi" w:hAnsiTheme="minorHAnsi"/>
          <w:sz w:val="28"/>
          <w:szCs w:val="28"/>
          <w:lang w:val="es-ES_tradnl"/>
        </w:rPr>
        <w:t>”</w:t>
      </w:r>
      <w:r w:rsidRPr="00C26E0D">
        <w:rPr>
          <w:rFonts w:asciiTheme="minorHAnsi" w:hAnsiTheme="minorHAnsi"/>
          <w:sz w:val="28"/>
          <w:szCs w:val="28"/>
          <w:lang w:val="es-ES_tradnl"/>
        </w:rPr>
        <w:t>, establece:</w:t>
      </w:r>
    </w:p>
    <w:p w:rsidR="00DE6839" w:rsidRPr="00C26E0D" w:rsidRDefault="00DE6839" w:rsidP="00DE6839">
      <w:pPr>
        <w:pStyle w:val="Estilo"/>
        <w:spacing w:after="200" w:line="320" w:lineRule="exact"/>
        <w:ind w:left="720"/>
        <w:rPr>
          <w:rFonts w:asciiTheme="minorHAnsi" w:hAnsiTheme="minorHAnsi"/>
          <w:i/>
          <w:sz w:val="28"/>
          <w:szCs w:val="28"/>
          <w:lang w:val="es-ES_tradnl"/>
        </w:rPr>
      </w:pPr>
      <w:r w:rsidRPr="00C26E0D">
        <w:rPr>
          <w:rFonts w:asciiTheme="minorHAnsi" w:hAnsiTheme="minorHAnsi"/>
          <w:i/>
          <w:sz w:val="28"/>
          <w:szCs w:val="28"/>
          <w:lang w:val="es-ES_tradnl"/>
        </w:rPr>
        <w:t>“1. A efectos de lo dispuesto en la disposición adicional de la Ley Orgánica 1/1992, de 21 de febrero, de Protección de la Seguridad Ciudadana, son competentes:</w:t>
      </w:r>
    </w:p>
    <w:p w:rsidR="00DE6839" w:rsidRPr="00C26E0D" w:rsidRDefault="00DE6839" w:rsidP="00DE6839">
      <w:pPr>
        <w:pStyle w:val="Estilo"/>
        <w:spacing w:after="200" w:line="320" w:lineRule="exact"/>
        <w:ind w:left="720"/>
        <w:rPr>
          <w:rFonts w:asciiTheme="minorHAnsi" w:hAnsiTheme="minorHAnsi"/>
          <w:i/>
          <w:sz w:val="28"/>
          <w:szCs w:val="28"/>
          <w:lang w:val="es-ES_tradnl"/>
        </w:rPr>
      </w:pPr>
      <w:r w:rsidRPr="00C26E0D">
        <w:rPr>
          <w:rFonts w:asciiTheme="minorHAnsi" w:hAnsiTheme="minorHAnsi"/>
          <w:i/>
          <w:sz w:val="28"/>
          <w:szCs w:val="28"/>
          <w:lang w:val="es-ES_tradnl"/>
        </w:rPr>
        <w:t>a) El Gobierno de Navarra para imponer multas de hasta 600.000 euros y cualquiera de las restantes sanciones por infracciones muy graves, graves o leves.</w:t>
      </w:r>
    </w:p>
    <w:p w:rsidR="00DE6839" w:rsidRPr="00C26E0D" w:rsidRDefault="00DE6839" w:rsidP="00DE6839">
      <w:pPr>
        <w:pStyle w:val="Estilo"/>
        <w:spacing w:after="200" w:line="320" w:lineRule="exact"/>
        <w:ind w:left="720"/>
        <w:rPr>
          <w:rFonts w:asciiTheme="minorHAnsi" w:hAnsiTheme="minorHAnsi"/>
          <w:i/>
          <w:sz w:val="28"/>
          <w:szCs w:val="28"/>
          <w:lang w:val="es-ES_tradnl"/>
        </w:rPr>
      </w:pPr>
      <w:r w:rsidRPr="00C26E0D">
        <w:rPr>
          <w:rFonts w:asciiTheme="minorHAnsi" w:hAnsiTheme="minorHAnsi"/>
          <w:i/>
          <w:sz w:val="28"/>
          <w:szCs w:val="28"/>
          <w:lang w:val="es-ES_tradnl"/>
        </w:rPr>
        <w:t>b) El Consejero del Departamento titular de las competencias en materia de seguridad pública para imponer multas de hasta 300.000 euros y cualquiera de las restantes sanciones por infracciones muy graves, graves o leves.</w:t>
      </w:r>
    </w:p>
    <w:p w:rsidR="00DE6839" w:rsidRPr="00C26E0D" w:rsidRDefault="00DE6839" w:rsidP="00DE6839">
      <w:pPr>
        <w:pStyle w:val="Estilo"/>
        <w:spacing w:after="200" w:line="320" w:lineRule="exact"/>
        <w:ind w:left="720"/>
        <w:rPr>
          <w:rFonts w:asciiTheme="minorHAnsi" w:hAnsiTheme="minorHAnsi"/>
          <w:i/>
          <w:sz w:val="28"/>
          <w:szCs w:val="28"/>
          <w:lang w:val="es-ES_tradnl"/>
        </w:rPr>
      </w:pPr>
      <w:proofErr w:type="gramStart"/>
      <w:r w:rsidRPr="00C26E0D">
        <w:rPr>
          <w:rFonts w:asciiTheme="minorHAnsi" w:hAnsiTheme="minorHAnsi"/>
          <w:i/>
          <w:sz w:val="28"/>
          <w:szCs w:val="28"/>
          <w:lang w:val="es-ES_tradnl"/>
        </w:rPr>
        <w:t>c</w:t>
      </w:r>
      <w:proofErr w:type="gramEnd"/>
      <w:r w:rsidRPr="00C26E0D">
        <w:rPr>
          <w:rFonts w:asciiTheme="minorHAnsi" w:hAnsiTheme="minorHAnsi"/>
          <w:i/>
          <w:sz w:val="28"/>
          <w:szCs w:val="28"/>
          <w:lang w:val="es-ES_tradnl"/>
        </w:rPr>
        <w:t>) El Director General que tenga atribuidas las competencias en materia de seguridad pública para imponer multas de hasta 60 000 euros y cualquiera de las restantes sanciones por infracciones muy graves, graves y leves”.</w:t>
      </w:r>
    </w:p>
    <w:p w:rsidR="00DE6839" w:rsidRDefault="00DE6839" w:rsidP="00DE6839">
      <w:pPr>
        <w:pStyle w:val="Estilo"/>
        <w:spacing w:after="200" w:line="320" w:lineRule="exact"/>
        <w:rPr>
          <w:rFonts w:asciiTheme="minorHAnsi" w:hAnsiTheme="minorHAnsi"/>
          <w:sz w:val="28"/>
          <w:szCs w:val="28"/>
          <w:lang w:val="es-ES_tradnl"/>
        </w:rPr>
      </w:pPr>
      <w:r>
        <w:rPr>
          <w:rFonts w:asciiTheme="minorHAnsi" w:hAnsiTheme="minorHAnsi"/>
          <w:sz w:val="28"/>
          <w:szCs w:val="28"/>
          <w:lang w:val="es-ES_tradnl"/>
        </w:rPr>
        <w:t>Con</w:t>
      </w:r>
      <w:r w:rsidRPr="00C26E0D">
        <w:rPr>
          <w:rFonts w:asciiTheme="minorHAnsi" w:hAnsiTheme="minorHAnsi"/>
          <w:sz w:val="28"/>
          <w:szCs w:val="28"/>
          <w:lang w:val="es-ES_tradnl"/>
        </w:rPr>
        <w:t xml:space="preserve"> base </w:t>
      </w:r>
      <w:r>
        <w:rPr>
          <w:rFonts w:asciiTheme="minorHAnsi" w:hAnsiTheme="minorHAnsi"/>
          <w:sz w:val="28"/>
          <w:szCs w:val="28"/>
          <w:lang w:val="es-ES_tradnl"/>
        </w:rPr>
        <w:t>en</w:t>
      </w:r>
      <w:r w:rsidRPr="00C26E0D">
        <w:rPr>
          <w:rFonts w:asciiTheme="minorHAnsi" w:hAnsiTheme="minorHAnsi"/>
          <w:sz w:val="28"/>
          <w:szCs w:val="28"/>
          <w:lang w:val="es-ES_tradnl"/>
        </w:rPr>
        <w:t xml:space="preserve"> la citada atribución competencia! y de acuerdo </w:t>
      </w:r>
      <w:r>
        <w:rPr>
          <w:rFonts w:asciiTheme="minorHAnsi" w:hAnsiTheme="minorHAnsi"/>
          <w:sz w:val="28"/>
          <w:szCs w:val="28"/>
          <w:lang w:val="es-ES_tradnl"/>
        </w:rPr>
        <w:t>con</w:t>
      </w:r>
      <w:r w:rsidRPr="00C26E0D">
        <w:rPr>
          <w:rFonts w:asciiTheme="minorHAnsi" w:hAnsiTheme="minorHAnsi"/>
          <w:sz w:val="28"/>
          <w:szCs w:val="28"/>
          <w:lang w:val="es-ES_tradnl"/>
        </w:rPr>
        <w:t xml:space="preserve"> los distintos decretos forales de estructura orgánica del departamento competente en materia de interior, valga por todos el actual Decreto Foral 259/2019, de 30 de octubre, por el que se establece la estructura orgánica del Departamento de Presidencia, Igualdad, Función Pública e Interior, la tramitación de los expedientes sancionadores se atribuye al Servicio de Régimen Jurídico de Interior (artículo 64.1 h, del mencionado Decreto </w:t>
      </w:r>
      <w:r w:rsidRPr="00C26E0D">
        <w:rPr>
          <w:rFonts w:asciiTheme="minorHAnsi" w:hAnsiTheme="minorHAnsi"/>
          <w:sz w:val="28"/>
          <w:szCs w:val="28"/>
          <w:lang w:val="es-ES_tradnl"/>
        </w:rPr>
        <w:lastRenderedPageBreak/>
        <w:t>Foral).</w:t>
      </w:r>
    </w:p>
    <w:p w:rsidR="00DE6839" w:rsidRDefault="00DE6839" w:rsidP="00DE6839">
      <w:pPr>
        <w:pStyle w:val="Estilo"/>
        <w:spacing w:after="200" w:line="320" w:lineRule="exact"/>
        <w:rPr>
          <w:rFonts w:asciiTheme="minorHAnsi" w:hAnsiTheme="minorHAnsi"/>
          <w:sz w:val="28"/>
          <w:szCs w:val="28"/>
          <w:lang w:val="es-ES_tradnl"/>
        </w:rPr>
      </w:pPr>
      <w:r w:rsidRPr="00C26E0D">
        <w:rPr>
          <w:rFonts w:asciiTheme="minorHAnsi" w:hAnsiTheme="minorHAnsi"/>
          <w:sz w:val="28"/>
          <w:szCs w:val="28"/>
          <w:lang w:val="es-ES_tradnl"/>
        </w:rPr>
        <w:t>El número de expedientes tramitados al amparo de la Ley Orgánica 4/2015, de 30 de marzo, de Protección de la Seguridad Ciudadana, es el siguiente:</w:t>
      </w:r>
    </w:p>
    <w:tbl>
      <w:tblPr>
        <w:tblW w:w="0" w:type="auto"/>
        <w:tblInd w:w="2295" w:type="dxa"/>
        <w:tblLayout w:type="fixed"/>
        <w:tblCellMar>
          <w:left w:w="0" w:type="dxa"/>
          <w:right w:w="0" w:type="dxa"/>
        </w:tblCellMar>
        <w:tblLook w:val="0000" w:firstRow="0" w:lastRow="0" w:firstColumn="0" w:lastColumn="0" w:noHBand="0" w:noVBand="0"/>
      </w:tblPr>
      <w:tblGrid>
        <w:gridCol w:w="839"/>
        <w:gridCol w:w="3504"/>
      </w:tblGrid>
      <w:tr w:rsidR="00DE6839" w:rsidRPr="00C26E0D" w:rsidTr="00471176">
        <w:trPr>
          <w:trHeight w:val="20"/>
        </w:trPr>
        <w:tc>
          <w:tcPr>
            <w:tcW w:w="839" w:type="dxa"/>
            <w:tcBorders>
              <w:top w:val="single" w:sz="4" w:space="0" w:color="auto"/>
              <w:left w:val="single" w:sz="4" w:space="0" w:color="auto"/>
              <w:bottom w:val="single" w:sz="4" w:space="0" w:color="auto"/>
              <w:right w:val="single" w:sz="4" w:space="0" w:color="auto"/>
            </w:tcBorders>
            <w:vAlign w:val="center"/>
          </w:tcPr>
          <w:p w:rsidR="00DE6839" w:rsidRPr="00C26E0D" w:rsidRDefault="00DE6839" w:rsidP="00471176">
            <w:pPr>
              <w:pStyle w:val="Estilo"/>
              <w:spacing w:before="20" w:after="20"/>
              <w:jc w:val="center"/>
              <w:rPr>
                <w:rFonts w:asciiTheme="minorHAnsi" w:hAnsiTheme="minorHAnsi"/>
                <w:sz w:val="18"/>
                <w:szCs w:val="18"/>
                <w:lang w:val="es-ES_tradnl"/>
              </w:rPr>
            </w:pPr>
            <w:r w:rsidRPr="00C26E0D">
              <w:rPr>
                <w:rFonts w:asciiTheme="minorHAnsi" w:hAnsiTheme="minorHAnsi"/>
                <w:sz w:val="18"/>
                <w:szCs w:val="18"/>
                <w:lang w:val="es-ES_tradnl"/>
              </w:rPr>
              <w:t>AÑO</w:t>
            </w:r>
          </w:p>
        </w:tc>
        <w:tc>
          <w:tcPr>
            <w:tcW w:w="3504" w:type="dxa"/>
            <w:tcBorders>
              <w:top w:val="single" w:sz="4" w:space="0" w:color="auto"/>
              <w:left w:val="single" w:sz="4" w:space="0" w:color="auto"/>
              <w:bottom w:val="single" w:sz="4" w:space="0" w:color="auto"/>
              <w:right w:val="single" w:sz="4" w:space="0" w:color="auto"/>
            </w:tcBorders>
            <w:vAlign w:val="center"/>
          </w:tcPr>
          <w:p w:rsidR="00DE6839" w:rsidRPr="00C26E0D" w:rsidRDefault="00DE6839" w:rsidP="00471176">
            <w:pPr>
              <w:pStyle w:val="Estilo"/>
              <w:spacing w:before="20" w:after="20"/>
              <w:jc w:val="center"/>
              <w:rPr>
                <w:rFonts w:asciiTheme="minorHAnsi" w:hAnsiTheme="minorHAnsi"/>
                <w:sz w:val="18"/>
                <w:szCs w:val="18"/>
                <w:lang w:val="es-ES_tradnl"/>
              </w:rPr>
            </w:pPr>
            <w:r w:rsidRPr="00C26E0D">
              <w:rPr>
                <w:rFonts w:asciiTheme="minorHAnsi" w:hAnsiTheme="minorHAnsi"/>
                <w:sz w:val="18"/>
                <w:szCs w:val="18"/>
                <w:lang w:val="es-ES_tradnl"/>
              </w:rPr>
              <w:t>NÚMERO DE EXPEDIENTES</w:t>
            </w:r>
          </w:p>
        </w:tc>
      </w:tr>
      <w:tr w:rsidR="00DE6839" w:rsidRPr="00C26E0D" w:rsidTr="00471176">
        <w:trPr>
          <w:trHeight w:val="20"/>
        </w:trPr>
        <w:tc>
          <w:tcPr>
            <w:tcW w:w="839" w:type="dxa"/>
            <w:tcBorders>
              <w:top w:val="single" w:sz="4" w:space="0" w:color="auto"/>
              <w:left w:val="single" w:sz="4" w:space="0" w:color="auto"/>
              <w:bottom w:val="single" w:sz="4" w:space="0" w:color="auto"/>
              <w:right w:val="single" w:sz="4" w:space="0" w:color="auto"/>
            </w:tcBorders>
            <w:vAlign w:val="center"/>
          </w:tcPr>
          <w:p w:rsidR="00DE6839" w:rsidRPr="00C26E0D" w:rsidRDefault="00DE6839" w:rsidP="00471176">
            <w:pPr>
              <w:pStyle w:val="Estilo"/>
              <w:spacing w:before="20" w:after="20"/>
              <w:jc w:val="center"/>
              <w:rPr>
                <w:rFonts w:asciiTheme="minorHAnsi" w:hAnsiTheme="minorHAnsi"/>
                <w:sz w:val="18"/>
                <w:szCs w:val="18"/>
                <w:lang w:val="es-ES_tradnl"/>
              </w:rPr>
            </w:pPr>
            <w:r w:rsidRPr="00C26E0D">
              <w:rPr>
                <w:rFonts w:asciiTheme="minorHAnsi" w:hAnsiTheme="minorHAnsi"/>
                <w:sz w:val="18"/>
                <w:szCs w:val="18"/>
                <w:lang w:val="es-ES_tradnl"/>
              </w:rPr>
              <w:t>2015</w:t>
            </w:r>
          </w:p>
        </w:tc>
        <w:tc>
          <w:tcPr>
            <w:tcW w:w="3504" w:type="dxa"/>
            <w:tcBorders>
              <w:top w:val="single" w:sz="4" w:space="0" w:color="auto"/>
              <w:left w:val="single" w:sz="4" w:space="0" w:color="auto"/>
              <w:bottom w:val="single" w:sz="4" w:space="0" w:color="auto"/>
              <w:right w:val="single" w:sz="4" w:space="0" w:color="auto"/>
            </w:tcBorders>
            <w:vAlign w:val="center"/>
          </w:tcPr>
          <w:p w:rsidR="00DE6839" w:rsidRPr="00C26E0D" w:rsidRDefault="00DE6839" w:rsidP="00471176">
            <w:pPr>
              <w:pStyle w:val="Estilo"/>
              <w:spacing w:before="20" w:after="20"/>
              <w:jc w:val="center"/>
              <w:rPr>
                <w:rFonts w:asciiTheme="minorHAnsi" w:hAnsiTheme="minorHAnsi"/>
                <w:sz w:val="18"/>
                <w:szCs w:val="18"/>
                <w:lang w:val="es-ES_tradnl"/>
              </w:rPr>
            </w:pPr>
            <w:r>
              <w:rPr>
                <w:rFonts w:asciiTheme="minorHAnsi" w:hAnsiTheme="minorHAnsi"/>
                <w:sz w:val="18"/>
                <w:szCs w:val="18"/>
                <w:lang w:val="es-ES_tradnl"/>
              </w:rPr>
              <w:t>0</w:t>
            </w:r>
            <w:r w:rsidRPr="00C26E0D">
              <w:rPr>
                <w:rFonts w:asciiTheme="minorHAnsi" w:hAnsiTheme="minorHAnsi"/>
                <w:sz w:val="18"/>
                <w:szCs w:val="18"/>
                <w:lang w:val="es-ES_tradnl"/>
              </w:rPr>
              <w:t>*</w:t>
            </w:r>
          </w:p>
        </w:tc>
      </w:tr>
      <w:tr w:rsidR="00DE6839" w:rsidRPr="00C26E0D" w:rsidTr="00471176">
        <w:trPr>
          <w:trHeight w:val="20"/>
        </w:trPr>
        <w:tc>
          <w:tcPr>
            <w:tcW w:w="839" w:type="dxa"/>
            <w:tcBorders>
              <w:top w:val="single" w:sz="4" w:space="0" w:color="auto"/>
              <w:left w:val="single" w:sz="4" w:space="0" w:color="auto"/>
              <w:bottom w:val="single" w:sz="4" w:space="0" w:color="auto"/>
              <w:right w:val="single" w:sz="4" w:space="0" w:color="auto"/>
            </w:tcBorders>
            <w:vAlign w:val="center"/>
          </w:tcPr>
          <w:p w:rsidR="00DE6839" w:rsidRPr="00C26E0D" w:rsidRDefault="00DE6839" w:rsidP="00471176">
            <w:pPr>
              <w:pStyle w:val="Estilo"/>
              <w:spacing w:before="20" w:after="20"/>
              <w:jc w:val="center"/>
              <w:rPr>
                <w:rFonts w:asciiTheme="minorHAnsi" w:hAnsiTheme="minorHAnsi"/>
                <w:sz w:val="18"/>
                <w:szCs w:val="18"/>
                <w:lang w:val="es-ES_tradnl"/>
              </w:rPr>
            </w:pPr>
            <w:r w:rsidRPr="00C26E0D">
              <w:rPr>
                <w:rFonts w:asciiTheme="minorHAnsi" w:hAnsiTheme="minorHAnsi"/>
                <w:sz w:val="18"/>
                <w:szCs w:val="18"/>
                <w:lang w:val="es-ES_tradnl"/>
              </w:rPr>
              <w:t>2016</w:t>
            </w:r>
          </w:p>
        </w:tc>
        <w:tc>
          <w:tcPr>
            <w:tcW w:w="3504" w:type="dxa"/>
            <w:tcBorders>
              <w:top w:val="single" w:sz="4" w:space="0" w:color="auto"/>
              <w:left w:val="single" w:sz="4" w:space="0" w:color="auto"/>
              <w:bottom w:val="single" w:sz="4" w:space="0" w:color="auto"/>
              <w:right w:val="single" w:sz="4" w:space="0" w:color="auto"/>
            </w:tcBorders>
            <w:vAlign w:val="center"/>
          </w:tcPr>
          <w:p w:rsidR="00DE6839" w:rsidRPr="00C26E0D" w:rsidRDefault="00DE6839" w:rsidP="00471176">
            <w:pPr>
              <w:pStyle w:val="Estilo"/>
              <w:spacing w:before="20" w:after="20"/>
              <w:jc w:val="center"/>
              <w:rPr>
                <w:rFonts w:asciiTheme="minorHAnsi" w:hAnsiTheme="minorHAnsi"/>
                <w:sz w:val="18"/>
                <w:szCs w:val="18"/>
                <w:lang w:val="es-ES_tradnl"/>
              </w:rPr>
            </w:pPr>
            <w:r w:rsidRPr="00C26E0D">
              <w:rPr>
                <w:rFonts w:asciiTheme="minorHAnsi" w:hAnsiTheme="minorHAnsi"/>
                <w:sz w:val="18"/>
                <w:szCs w:val="18"/>
                <w:lang w:val="es-ES_tradnl"/>
              </w:rPr>
              <w:t>2646</w:t>
            </w:r>
          </w:p>
        </w:tc>
      </w:tr>
      <w:tr w:rsidR="00DE6839" w:rsidRPr="00C26E0D" w:rsidTr="00471176">
        <w:trPr>
          <w:trHeight w:val="20"/>
        </w:trPr>
        <w:tc>
          <w:tcPr>
            <w:tcW w:w="839" w:type="dxa"/>
            <w:tcBorders>
              <w:top w:val="single" w:sz="4" w:space="0" w:color="auto"/>
              <w:left w:val="single" w:sz="4" w:space="0" w:color="auto"/>
              <w:bottom w:val="single" w:sz="4" w:space="0" w:color="auto"/>
              <w:right w:val="single" w:sz="4" w:space="0" w:color="auto"/>
            </w:tcBorders>
            <w:vAlign w:val="center"/>
          </w:tcPr>
          <w:p w:rsidR="00DE6839" w:rsidRPr="00C26E0D" w:rsidRDefault="00DE6839" w:rsidP="00471176">
            <w:pPr>
              <w:pStyle w:val="Estilo"/>
              <w:spacing w:before="20" w:after="20"/>
              <w:jc w:val="center"/>
              <w:rPr>
                <w:rFonts w:asciiTheme="minorHAnsi" w:hAnsiTheme="minorHAnsi"/>
                <w:sz w:val="18"/>
                <w:szCs w:val="18"/>
                <w:lang w:val="es-ES_tradnl"/>
              </w:rPr>
            </w:pPr>
            <w:r w:rsidRPr="00C26E0D">
              <w:rPr>
                <w:rFonts w:asciiTheme="minorHAnsi" w:hAnsiTheme="minorHAnsi"/>
                <w:sz w:val="18"/>
                <w:szCs w:val="18"/>
                <w:lang w:val="es-ES_tradnl"/>
              </w:rPr>
              <w:t>2017</w:t>
            </w:r>
          </w:p>
        </w:tc>
        <w:tc>
          <w:tcPr>
            <w:tcW w:w="3504" w:type="dxa"/>
            <w:tcBorders>
              <w:top w:val="single" w:sz="4" w:space="0" w:color="auto"/>
              <w:left w:val="single" w:sz="4" w:space="0" w:color="auto"/>
              <w:bottom w:val="single" w:sz="4" w:space="0" w:color="auto"/>
              <w:right w:val="single" w:sz="4" w:space="0" w:color="auto"/>
            </w:tcBorders>
            <w:vAlign w:val="center"/>
          </w:tcPr>
          <w:p w:rsidR="00DE6839" w:rsidRPr="00C26E0D" w:rsidRDefault="00DE6839" w:rsidP="00471176">
            <w:pPr>
              <w:pStyle w:val="Estilo"/>
              <w:spacing w:before="20" w:after="20"/>
              <w:jc w:val="center"/>
              <w:rPr>
                <w:rFonts w:asciiTheme="minorHAnsi" w:hAnsiTheme="minorHAnsi"/>
                <w:sz w:val="18"/>
                <w:szCs w:val="18"/>
                <w:lang w:val="es-ES_tradnl"/>
              </w:rPr>
            </w:pPr>
            <w:r w:rsidRPr="00C26E0D">
              <w:rPr>
                <w:rFonts w:asciiTheme="minorHAnsi" w:hAnsiTheme="minorHAnsi"/>
                <w:sz w:val="18"/>
                <w:szCs w:val="18"/>
                <w:lang w:val="es-ES_tradnl"/>
              </w:rPr>
              <w:t>2049</w:t>
            </w:r>
          </w:p>
        </w:tc>
      </w:tr>
      <w:tr w:rsidR="00DE6839" w:rsidRPr="00C26E0D" w:rsidTr="00471176">
        <w:trPr>
          <w:trHeight w:val="20"/>
        </w:trPr>
        <w:tc>
          <w:tcPr>
            <w:tcW w:w="839" w:type="dxa"/>
            <w:tcBorders>
              <w:top w:val="single" w:sz="4" w:space="0" w:color="auto"/>
              <w:left w:val="single" w:sz="4" w:space="0" w:color="auto"/>
              <w:bottom w:val="single" w:sz="4" w:space="0" w:color="auto"/>
              <w:right w:val="single" w:sz="4" w:space="0" w:color="auto"/>
            </w:tcBorders>
            <w:vAlign w:val="center"/>
          </w:tcPr>
          <w:p w:rsidR="00DE6839" w:rsidRPr="00C26E0D" w:rsidRDefault="00DE6839" w:rsidP="00471176">
            <w:pPr>
              <w:pStyle w:val="Estilo"/>
              <w:spacing w:before="20" w:after="20"/>
              <w:jc w:val="center"/>
              <w:rPr>
                <w:rFonts w:asciiTheme="minorHAnsi" w:hAnsiTheme="minorHAnsi"/>
                <w:sz w:val="18"/>
                <w:szCs w:val="18"/>
                <w:lang w:val="es-ES_tradnl"/>
              </w:rPr>
            </w:pPr>
            <w:r w:rsidRPr="00C26E0D">
              <w:rPr>
                <w:rFonts w:asciiTheme="minorHAnsi" w:hAnsiTheme="minorHAnsi"/>
                <w:sz w:val="18"/>
                <w:szCs w:val="18"/>
                <w:lang w:val="es-ES_tradnl"/>
              </w:rPr>
              <w:t>2018</w:t>
            </w:r>
          </w:p>
        </w:tc>
        <w:tc>
          <w:tcPr>
            <w:tcW w:w="3504" w:type="dxa"/>
            <w:tcBorders>
              <w:top w:val="single" w:sz="4" w:space="0" w:color="auto"/>
              <w:left w:val="single" w:sz="4" w:space="0" w:color="auto"/>
              <w:bottom w:val="single" w:sz="4" w:space="0" w:color="auto"/>
              <w:right w:val="single" w:sz="4" w:space="0" w:color="auto"/>
            </w:tcBorders>
            <w:vAlign w:val="center"/>
          </w:tcPr>
          <w:p w:rsidR="00DE6839" w:rsidRPr="00C26E0D" w:rsidRDefault="00DE6839" w:rsidP="00471176">
            <w:pPr>
              <w:pStyle w:val="Estilo"/>
              <w:spacing w:before="20" w:after="20"/>
              <w:jc w:val="center"/>
              <w:rPr>
                <w:rFonts w:asciiTheme="minorHAnsi" w:hAnsiTheme="minorHAnsi"/>
                <w:sz w:val="18"/>
                <w:szCs w:val="18"/>
                <w:lang w:val="es-ES_tradnl"/>
              </w:rPr>
            </w:pPr>
            <w:r w:rsidRPr="00C26E0D">
              <w:rPr>
                <w:rFonts w:asciiTheme="minorHAnsi" w:hAnsiTheme="minorHAnsi"/>
                <w:sz w:val="18"/>
                <w:szCs w:val="18"/>
                <w:lang w:val="es-ES_tradnl"/>
              </w:rPr>
              <w:t>2232</w:t>
            </w:r>
          </w:p>
        </w:tc>
      </w:tr>
      <w:tr w:rsidR="00DE6839" w:rsidRPr="00C26E0D" w:rsidTr="00471176">
        <w:trPr>
          <w:trHeight w:val="20"/>
        </w:trPr>
        <w:tc>
          <w:tcPr>
            <w:tcW w:w="839" w:type="dxa"/>
            <w:tcBorders>
              <w:top w:val="single" w:sz="4" w:space="0" w:color="auto"/>
              <w:left w:val="single" w:sz="4" w:space="0" w:color="auto"/>
              <w:bottom w:val="single" w:sz="4" w:space="0" w:color="auto"/>
              <w:right w:val="single" w:sz="4" w:space="0" w:color="auto"/>
            </w:tcBorders>
            <w:vAlign w:val="center"/>
          </w:tcPr>
          <w:p w:rsidR="00DE6839" w:rsidRPr="00C26E0D" w:rsidRDefault="00DE6839" w:rsidP="00471176">
            <w:pPr>
              <w:pStyle w:val="Estilo"/>
              <w:spacing w:before="20" w:after="20"/>
              <w:jc w:val="center"/>
              <w:rPr>
                <w:rFonts w:asciiTheme="minorHAnsi" w:hAnsiTheme="minorHAnsi"/>
                <w:sz w:val="18"/>
                <w:szCs w:val="18"/>
                <w:lang w:val="es-ES_tradnl"/>
              </w:rPr>
            </w:pPr>
            <w:r w:rsidRPr="00C26E0D">
              <w:rPr>
                <w:rFonts w:asciiTheme="minorHAnsi" w:hAnsiTheme="minorHAnsi"/>
                <w:sz w:val="18"/>
                <w:szCs w:val="18"/>
                <w:lang w:val="es-ES_tradnl"/>
              </w:rPr>
              <w:t>2019</w:t>
            </w:r>
          </w:p>
        </w:tc>
        <w:tc>
          <w:tcPr>
            <w:tcW w:w="3504" w:type="dxa"/>
            <w:tcBorders>
              <w:top w:val="single" w:sz="4" w:space="0" w:color="auto"/>
              <w:left w:val="single" w:sz="4" w:space="0" w:color="auto"/>
              <w:bottom w:val="single" w:sz="4" w:space="0" w:color="auto"/>
              <w:right w:val="single" w:sz="4" w:space="0" w:color="auto"/>
            </w:tcBorders>
            <w:vAlign w:val="center"/>
          </w:tcPr>
          <w:p w:rsidR="00DE6839" w:rsidRPr="00C26E0D" w:rsidRDefault="00DE6839" w:rsidP="00471176">
            <w:pPr>
              <w:pStyle w:val="Estilo"/>
              <w:spacing w:before="20" w:after="20"/>
              <w:jc w:val="center"/>
              <w:rPr>
                <w:rFonts w:asciiTheme="minorHAnsi" w:hAnsiTheme="minorHAnsi"/>
                <w:sz w:val="18"/>
                <w:szCs w:val="18"/>
                <w:lang w:val="es-ES_tradnl"/>
              </w:rPr>
            </w:pPr>
            <w:r w:rsidRPr="00C26E0D">
              <w:rPr>
                <w:rFonts w:asciiTheme="minorHAnsi" w:hAnsiTheme="minorHAnsi"/>
                <w:sz w:val="18"/>
                <w:szCs w:val="18"/>
                <w:lang w:val="es-ES_tradnl"/>
              </w:rPr>
              <w:t>2099</w:t>
            </w:r>
          </w:p>
        </w:tc>
      </w:tr>
      <w:tr w:rsidR="00DE6839" w:rsidRPr="00C26E0D" w:rsidTr="00471176">
        <w:trPr>
          <w:trHeight w:val="20"/>
        </w:trPr>
        <w:tc>
          <w:tcPr>
            <w:tcW w:w="839" w:type="dxa"/>
            <w:tcBorders>
              <w:top w:val="single" w:sz="4" w:space="0" w:color="auto"/>
              <w:left w:val="single" w:sz="4" w:space="0" w:color="auto"/>
              <w:bottom w:val="single" w:sz="4" w:space="0" w:color="auto"/>
              <w:right w:val="single" w:sz="4" w:space="0" w:color="auto"/>
            </w:tcBorders>
            <w:vAlign w:val="center"/>
          </w:tcPr>
          <w:p w:rsidR="00DE6839" w:rsidRPr="00C26E0D" w:rsidRDefault="00DE6839" w:rsidP="00471176">
            <w:pPr>
              <w:pStyle w:val="Estilo"/>
              <w:spacing w:before="20" w:after="20"/>
              <w:jc w:val="center"/>
              <w:rPr>
                <w:rFonts w:asciiTheme="minorHAnsi" w:hAnsiTheme="minorHAnsi"/>
                <w:sz w:val="18"/>
                <w:szCs w:val="18"/>
                <w:lang w:val="es-ES_tradnl"/>
              </w:rPr>
            </w:pPr>
            <w:r w:rsidRPr="00C26E0D">
              <w:rPr>
                <w:rFonts w:asciiTheme="minorHAnsi" w:hAnsiTheme="minorHAnsi"/>
                <w:sz w:val="18"/>
                <w:szCs w:val="18"/>
                <w:lang w:val="es-ES_tradnl"/>
              </w:rPr>
              <w:t>2020</w:t>
            </w:r>
          </w:p>
        </w:tc>
        <w:tc>
          <w:tcPr>
            <w:tcW w:w="3504" w:type="dxa"/>
            <w:tcBorders>
              <w:top w:val="single" w:sz="4" w:space="0" w:color="auto"/>
              <w:left w:val="single" w:sz="4" w:space="0" w:color="auto"/>
              <w:bottom w:val="single" w:sz="4" w:space="0" w:color="auto"/>
              <w:right w:val="single" w:sz="4" w:space="0" w:color="auto"/>
            </w:tcBorders>
            <w:vAlign w:val="center"/>
          </w:tcPr>
          <w:p w:rsidR="00DE6839" w:rsidRPr="00C26E0D" w:rsidRDefault="00DE6839" w:rsidP="00471176">
            <w:pPr>
              <w:pStyle w:val="Estilo"/>
              <w:spacing w:before="20" w:after="20"/>
              <w:jc w:val="center"/>
              <w:rPr>
                <w:rFonts w:asciiTheme="minorHAnsi" w:hAnsiTheme="minorHAnsi"/>
                <w:sz w:val="18"/>
                <w:szCs w:val="18"/>
                <w:lang w:val="es-ES_tradnl"/>
              </w:rPr>
            </w:pPr>
            <w:r w:rsidRPr="00C26E0D">
              <w:rPr>
                <w:rFonts w:asciiTheme="minorHAnsi" w:hAnsiTheme="minorHAnsi"/>
                <w:sz w:val="18"/>
                <w:szCs w:val="18"/>
                <w:lang w:val="es-ES_tradnl"/>
              </w:rPr>
              <w:t>307</w:t>
            </w:r>
          </w:p>
        </w:tc>
      </w:tr>
    </w:tbl>
    <w:p w:rsidR="00DE6839" w:rsidRPr="00B02557" w:rsidRDefault="00DE6839" w:rsidP="00D30B74">
      <w:pPr>
        <w:pStyle w:val="Estilo"/>
        <w:tabs>
          <w:tab w:val="left" w:pos="6663"/>
        </w:tabs>
        <w:spacing w:after="200"/>
        <w:ind w:left="2410" w:right="1843"/>
        <w:rPr>
          <w:rFonts w:asciiTheme="minorHAnsi" w:hAnsiTheme="minorHAnsi"/>
          <w:sz w:val="16"/>
          <w:szCs w:val="16"/>
          <w:lang w:val="es-ES_tradnl"/>
        </w:rPr>
      </w:pPr>
      <w:bookmarkStart w:id="0" w:name="_GoBack"/>
      <w:r w:rsidRPr="00B02557">
        <w:rPr>
          <w:rFonts w:asciiTheme="minorHAnsi" w:hAnsiTheme="minorHAnsi"/>
          <w:sz w:val="16"/>
          <w:szCs w:val="16"/>
          <w:lang w:val="es-ES_tradnl"/>
        </w:rPr>
        <w:t xml:space="preserve">*La referencia numérica realizada al año 2015 resulta ser </w:t>
      </w:r>
      <w:r>
        <w:rPr>
          <w:rFonts w:asciiTheme="minorHAnsi" w:hAnsiTheme="minorHAnsi"/>
          <w:sz w:val="16"/>
          <w:szCs w:val="16"/>
          <w:lang w:val="es-ES_tradnl"/>
        </w:rPr>
        <w:t>0</w:t>
      </w:r>
      <w:r w:rsidRPr="00B02557">
        <w:rPr>
          <w:rFonts w:asciiTheme="minorHAnsi" w:hAnsiTheme="minorHAnsi"/>
          <w:sz w:val="16"/>
          <w:szCs w:val="16"/>
          <w:lang w:val="es-ES_tradnl"/>
        </w:rPr>
        <w:t xml:space="preserve"> puesto que en el citado año se tramitaron denuncias realizadas al amparo de la Ley Orgánica 1/1992, de 21 de febrero, de Protección de Seguridad Ciudadana, que no son objeto de la presente pregunta.</w:t>
      </w:r>
    </w:p>
    <w:bookmarkEnd w:id="0"/>
    <w:p w:rsidR="00DE6839" w:rsidRDefault="00DE6839" w:rsidP="00DE6839">
      <w:pPr>
        <w:pStyle w:val="Estilo"/>
        <w:spacing w:after="200" w:line="320" w:lineRule="exact"/>
        <w:rPr>
          <w:rFonts w:asciiTheme="minorHAnsi" w:hAnsiTheme="minorHAnsi"/>
          <w:sz w:val="28"/>
          <w:szCs w:val="28"/>
          <w:lang w:val="es-ES_tradnl"/>
        </w:rPr>
      </w:pPr>
      <w:r w:rsidRPr="00C26E0D">
        <w:rPr>
          <w:rFonts w:asciiTheme="minorHAnsi" w:hAnsiTheme="minorHAnsi"/>
          <w:sz w:val="28"/>
          <w:szCs w:val="28"/>
          <w:lang w:val="es-ES_tradnl"/>
        </w:rPr>
        <w:t>2. ¿</w:t>
      </w:r>
      <w:r>
        <w:rPr>
          <w:rFonts w:asciiTheme="minorHAnsi" w:hAnsiTheme="minorHAnsi"/>
          <w:sz w:val="28"/>
          <w:szCs w:val="28"/>
          <w:lang w:val="es-ES_tradnl"/>
        </w:rPr>
        <w:t xml:space="preserve">A cuánto ha ascendido el importe </w:t>
      </w:r>
      <w:r w:rsidRPr="00B02557">
        <w:rPr>
          <w:rFonts w:ascii="Calibri" w:hAnsi="Calibri"/>
          <w:sz w:val="28"/>
          <w:szCs w:val="28"/>
          <w:lang w:val="es-ES_tradnl"/>
        </w:rPr>
        <w:t xml:space="preserve">de las sanciones impuestas como consecuencia de esos expedientes sancionadores </w:t>
      </w:r>
      <w:r>
        <w:rPr>
          <w:rFonts w:asciiTheme="minorHAnsi" w:hAnsiTheme="minorHAnsi"/>
          <w:sz w:val="28"/>
          <w:szCs w:val="28"/>
          <w:lang w:val="es-ES_tradnl"/>
        </w:rPr>
        <w:t>e</w:t>
      </w:r>
      <w:r w:rsidRPr="00C26E0D">
        <w:rPr>
          <w:rFonts w:asciiTheme="minorHAnsi" w:hAnsiTheme="minorHAnsi"/>
          <w:sz w:val="28"/>
          <w:szCs w:val="28"/>
          <w:lang w:val="es-ES_tradnl"/>
        </w:rPr>
        <w:t>n cada uno de los años transcurridos desde que entró en vigor la citada Ley Orgánica</w:t>
      </w:r>
      <w:r>
        <w:rPr>
          <w:rFonts w:asciiTheme="minorHAnsi" w:hAnsiTheme="minorHAnsi"/>
          <w:sz w:val="28"/>
          <w:szCs w:val="28"/>
          <w:lang w:val="es-ES_tradnl"/>
        </w:rPr>
        <w:t>?</w:t>
      </w:r>
    </w:p>
    <w:p w:rsidR="00DE6839" w:rsidRPr="00C26E0D" w:rsidRDefault="00DE6839" w:rsidP="00DE6839">
      <w:pPr>
        <w:pStyle w:val="Estilo"/>
        <w:spacing w:after="200" w:line="320" w:lineRule="exact"/>
        <w:rPr>
          <w:rFonts w:asciiTheme="minorHAnsi" w:hAnsiTheme="minorHAnsi"/>
          <w:sz w:val="28"/>
          <w:szCs w:val="28"/>
          <w:lang w:val="es-ES_tradnl"/>
        </w:rPr>
      </w:pPr>
      <w:r w:rsidRPr="00C26E0D">
        <w:rPr>
          <w:rFonts w:asciiTheme="minorHAnsi" w:hAnsiTheme="minorHAnsi"/>
          <w:sz w:val="28"/>
          <w:szCs w:val="28"/>
          <w:lang w:val="es-ES_tradnl"/>
        </w:rPr>
        <w:t xml:space="preserve">Según los datos obrantes en el Gestor corporativo </w:t>
      </w:r>
      <w:proofErr w:type="spellStart"/>
      <w:r w:rsidRPr="00C26E0D">
        <w:rPr>
          <w:rFonts w:asciiTheme="minorHAnsi" w:hAnsiTheme="minorHAnsi"/>
          <w:sz w:val="28"/>
          <w:szCs w:val="28"/>
          <w:lang w:val="es-ES_tradnl"/>
        </w:rPr>
        <w:t>Extr</w:t>
      </w:r>
      <w:proofErr w:type="spellEnd"/>
      <w:r w:rsidRPr="00C26E0D">
        <w:rPr>
          <w:rFonts w:asciiTheme="minorHAnsi" w:hAnsiTheme="minorHAnsi"/>
          <w:sz w:val="28"/>
          <w:szCs w:val="28"/>
          <w:lang w:val="es-ES_tradnl"/>
        </w:rPr>
        <w:t xml:space="preserve">@, las cifras referentes a la imposición de sanciones, por años, son las siguientes: </w:t>
      </w:r>
    </w:p>
    <w:tbl>
      <w:tblPr>
        <w:tblW w:w="0" w:type="auto"/>
        <w:jc w:val="center"/>
        <w:tblInd w:w="5" w:type="dxa"/>
        <w:tblLayout w:type="fixed"/>
        <w:tblCellMar>
          <w:left w:w="0" w:type="dxa"/>
          <w:right w:w="0" w:type="dxa"/>
        </w:tblCellMar>
        <w:tblLook w:val="0000" w:firstRow="0" w:lastRow="0" w:firstColumn="0" w:lastColumn="0" w:noHBand="0" w:noVBand="0"/>
      </w:tblPr>
      <w:tblGrid>
        <w:gridCol w:w="839"/>
        <w:gridCol w:w="2688"/>
      </w:tblGrid>
      <w:tr w:rsidR="00DE6839" w:rsidRPr="00B02557" w:rsidTr="00471176">
        <w:trPr>
          <w:trHeight w:val="20"/>
          <w:jc w:val="center"/>
        </w:trPr>
        <w:tc>
          <w:tcPr>
            <w:tcW w:w="839"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after="20"/>
              <w:jc w:val="center"/>
              <w:rPr>
                <w:rFonts w:asciiTheme="minorHAnsi" w:hAnsiTheme="minorHAnsi"/>
                <w:sz w:val="18"/>
                <w:szCs w:val="18"/>
                <w:lang w:val="es-ES_tradnl"/>
              </w:rPr>
            </w:pPr>
            <w:r w:rsidRPr="00B02557">
              <w:rPr>
                <w:rFonts w:asciiTheme="minorHAnsi" w:hAnsiTheme="minorHAnsi"/>
                <w:sz w:val="18"/>
                <w:szCs w:val="18"/>
                <w:lang w:val="es-ES_tradnl"/>
              </w:rPr>
              <w:t>AÑO</w:t>
            </w:r>
          </w:p>
        </w:tc>
        <w:tc>
          <w:tcPr>
            <w:tcW w:w="2688"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after="20"/>
              <w:jc w:val="center"/>
              <w:rPr>
                <w:rFonts w:asciiTheme="minorHAnsi" w:hAnsiTheme="minorHAnsi"/>
                <w:sz w:val="18"/>
                <w:szCs w:val="18"/>
                <w:lang w:val="es-ES_tradnl"/>
              </w:rPr>
            </w:pPr>
            <w:r w:rsidRPr="00B02557">
              <w:rPr>
                <w:rFonts w:asciiTheme="minorHAnsi" w:hAnsiTheme="minorHAnsi"/>
                <w:sz w:val="18"/>
                <w:szCs w:val="18"/>
                <w:lang w:val="es-ES_tradnl"/>
              </w:rPr>
              <w:t>IMPORTE EN EUROS</w:t>
            </w:r>
          </w:p>
        </w:tc>
      </w:tr>
      <w:tr w:rsidR="00DE6839" w:rsidRPr="00B02557" w:rsidTr="00471176">
        <w:trPr>
          <w:trHeight w:val="20"/>
          <w:jc w:val="center"/>
        </w:trPr>
        <w:tc>
          <w:tcPr>
            <w:tcW w:w="839"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after="20"/>
              <w:jc w:val="center"/>
              <w:rPr>
                <w:rFonts w:asciiTheme="minorHAnsi" w:hAnsiTheme="minorHAnsi"/>
                <w:sz w:val="18"/>
                <w:szCs w:val="18"/>
                <w:lang w:val="es-ES_tradnl"/>
              </w:rPr>
            </w:pPr>
            <w:r w:rsidRPr="00B02557">
              <w:rPr>
                <w:rFonts w:asciiTheme="minorHAnsi" w:hAnsiTheme="minorHAnsi"/>
                <w:sz w:val="18"/>
                <w:szCs w:val="18"/>
                <w:lang w:val="es-ES_tradnl"/>
              </w:rPr>
              <w:t>2015</w:t>
            </w:r>
          </w:p>
        </w:tc>
        <w:tc>
          <w:tcPr>
            <w:tcW w:w="2688"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after="20"/>
              <w:jc w:val="center"/>
              <w:rPr>
                <w:rFonts w:asciiTheme="minorHAnsi" w:hAnsiTheme="minorHAnsi"/>
                <w:sz w:val="18"/>
                <w:szCs w:val="18"/>
                <w:lang w:val="es-ES_tradnl"/>
              </w:rPr>
            </w:pPr>
            <w:r>
              <w:rPr>
                <w:rFonts w:asciiTheme="minorHAnsi" w:hAnsiTheme="minorHAnsi"/>
                <w:sz w:val="18"/>
                <w:szCs w:val="18"/>
                <w:lang w:val="es-ES_tradnl"/>
              </w:rPr>
              <w:t>0</w:t>
            </w:r>
          </w:p>
        </w:tc>
      </w:tr>
      <w:tr w:rsidR="00DE6839" w:rsidRPr="00B02557" w:rsidTr="00471176">
        <w:trPr>
          <w:trHeight w:val="20"/>
          <w:jc w:val="center"/>
        </w:trPr>
        <w:tc>
          <w:tcPr>
            <w:tcW w:w="839"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after="20"/>
              <w:jc w:val="center"/>
              <w:rPr>
                <w:rFonts w:asciiTheme="minorHAnsi" w:hAnsiTheme="minorHAnsi"/>
                <w:sz w:val="18"/>
                <w:szCs w:val="18"/>
                <w:lang w:val="es-ES_tradnl"/>
              </w:rPr>
            </w:pPr>
            <w:r w:rsidRPr="00B02557">
              <w:rPr>
                <w:rFonts w:asciiTheme="minorHAnsi" w:hAnsiTheme="minorHAnsi"/>
                <w:sz w:val="18"/>
                <w:szCs w:val="18"/>
                <w:lang w:val="es-ES_tradnl"/>
              </w:rPr>
              <w:t>2016</w:t>
            </w:r>
          </w:p>
        </w:tc>
        <w:tc>
          <w:tcPr>
            <w:tcW w:w="2688"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after="20"/>
              <w:jc w:val="center"/>
              <w:rPr>
                <w:rFonts w:asciiTheme="minorHAnsi" w:hAnsiTheme="minorHAnsi"/>
                <w:sz w:val="18"/>
                <w:szCs w:val="18"/>
                <w:lang w:val="es-ES_tradnl"/>
              </w:rPr>
            </w:pPr>
            <w:r w:rsidRPr="00B02557">
              <w:rPr>
                <w:rFonts w:asciiTheme="minorHAnsi" w:hAnsiTheme="minorHAnsi"/>
                <w:sz w:val="18"/>
                <w:szCs w:val="18"/>
                <w:lang w:val="es-ES_tradnl"/>
              </w:rPr>
              <w:t>852. 710,08</w:t>
            </w:r>
          </w:p>
        </w:tc>
      </w:tr>
      <w:tr w:rsidR="00DE6839" w:rsidRPr="00B02557" w:rsidTr="00471176">
        <w:trPr>
          <w:trHeight w:val="20"/>
          <w:jc w:val="center"/>
        </w:trPr>
        <w:tc>
          <w:tcPr>
            <w:tcW w:w="839"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after="20"/>
              <w:jc w:val="center"/>
              <w:rPr>
                <w:rFonts w:asciiTheme="minorHAnsi" w:hAnsiTheme="minorHAnsi"/>
                <w:sz w:val="18"/>
                <w:szCs w:val="18"/>
                <w:lang w:val="es-ES_tradnl"/>
              </w:rPr>
            </w:pPr>
            <w:r w:rsidRPr="00B02557">
              <w:rPr>
                <w:rFonts w:asciiTheme="minorHAnsi" w:hAnsiTheme="minorHAnsi"/>
                <w:sz w:val="18"/>
                <w:szCs w:val="18"/>
                <w:lang w:val="es-ES_tradnl"/>
              </w:rPr>
              <w:t>2017</w:t>
            </w:r>
          </w:p>
        </w:tc>
        <w:tc>
          <w:tcPr>
            <w:tcW w:w="2688"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after="20"/>
              <w:jc w:val="center"/>
              <w:rPr>
                <w:rFonts w:asciiTheme="minorHAnsi" w:hAnsiTheme="minorHAnsi"/>
                <w:sz w:val="18"/>
                <w:szCs w:val="18"/>
                <w:lang w:val="es-ES_tradnl"/>
              </w:rPr>
            </w:pPr>
            <w:r w:rsidRPr="00B02557">
              <w:rPr>
                <w:rFonts w:asciiTheme="minorHAnsi" w:hAnsiTheme="minorHAnsi"/>
                <w:sz w:val="18"/>
                <w:szCs w:val="18"/>
                <w:lang w:val="es-ES_tradnl"/>
              </w:rPr>
              <w:t>1.234.483</w:t>
            </w:r>
          </w:p>
        </w:tc>
      </w:tr>
      <w:tr w:rsidR="00DE6839" w:rsidRPr="00B02557" w:rsidTr="00471176">
        <w:trPr>
          <w:trHeight w:val="20"/>
          <w:jc w:val="center"/>
        </w:trPr>
        <w:tc>
          <w:tcPr>
            <w:tcW w:w="839"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after="20"/>
              <w:jc w:val="center"/>
              <w:rPr>
                <w:rFonts w:asciiTheme="minorHAnsi" w:hAnsiTheme="minorHAnsi"/>
                <w:sz w:val="18"/>
                <w:szCs w:val="18"/>
                <w:lang w:val="es-ES_tradnl"/>
              </w:rPr>
            </w:pPr>
            <w:r w:rsidRPr="00B02557">
              <w:rPr>
                <w:rFonts w:asciiTheme="minorHAnsi" w:hAnsiTheme="minorHAnsi"/>
                <w:sz w:val="18"/>
                <w:szCs w:val="18"/>
                <w:lang w:val="es-ES_tradnl"/>
              </w:rPr>
              <w:t>2018</w:t>
            </w:r>
          </w:p>
        </w:tc>
        <w:tc>
          <w:tcPr>
            <w:tcW w:w="2688"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after="20"/>
              <w:jc w:val="center"/>
              <w:rPr>
                <w:rFonts w:asciiTheme="minorHAnsi" w:hAnsiTheme="minorHAnsi"/>
                <w:sz w:val="18"/>
                <w:szCs w:val="18"/>
                <w:lang w:val="es-ES_tradnl"/>
              </w:rPr>
            </w:pPr>
            <w:r w:rsidRPr="00B02557">
              <w:rPr>
                <w:rFonts w:asciiTheme="minorHAnsi" w:hAnsiTheme="minorHAnsi"/>
                <w:sz w:val="18"/>
                <w:szCs w:val="18"/>
                <w:lang w:val="es-ES_tradnl"/>
              </w:rPr>
              <w:t>1.370.518,75</w:t>
            </w:r>
          </w:p>
        </w:tc>
      </w:tr>
      <w:tr w:rsidR="00DE6839" w:rsidRPr="00B02557" w:rsidTr="00471176">
        <w:trPr>
          <w:trHeight w:val="20"/>
          <w:jc w:val="center"/>
        </w:trPr>
        <w:tc>
          <w:tcPr>
            <w:tcW w:w="839"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after="20"/>
              <w:jc w:val="center"/>
              <w:rPr>
                <w:rFonts w:asciiTheme="minorHAnsi" w:hAnsiTheme="minorHAnsi"/>
                <w:sz w:val="18"/>
                <w:szCs w:val="18"/>
                <w:lang w:val="es-ES_tradnl"/>
              </w:rPr>
            </w:pPr>
            <w:r w:rsidRPr="00B02557">
              <w:rPr>
                <w:rFonts w:asciiTheme="minorHAnsi" w:hAnsiTheme="minorHAnsi"/>
                <w:sz w:val="18"/>
                <w:szCs w:val="18"/>
                <w:lang w:val="es-ES_tradnl"/>
              </w:rPr>
              <w:t>2019</w:t>
            </w:r>
          </w:p>
        </w:tc>
        <w:tc>
          <w:tcPr>
            <w:tcW w:w="2688"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after="20"/>
              <w:jc w:val="center"/>
              <w:rPr>
                <w:rFonts w:asciiTheme="minorHAnsi" w:hAnsiTheme="minorHAnsi"/>
                <w:sz w:val="18"/>
                <w:szCs w:val="18"/>
                <w:lang w:val="es-ES_tradnl"/>
              </w:rPr>
            </w:pPr>
            <w:r w:rsidRPr="00B02557">
              <w:rPr>
                <w:rFonts w:asciiTheme="minorHAnsi" w:hAnsiTheme="minorHAnsi"/>
                <w:sz w:val="18"/>
                <w:szCs w:val="18"/>
                <w:lang w:val="es-ES_tradnl"/>
              </w:rPr>
              <w:t>1.204.540,75</w:t>
            </w:r>
          </w:p>
        </w:tc>
      </w:tr>
      <w:tr w:rsidR="00DE6839" w:rsidRPr="00B02557" w:rsidTr="00471176">
        <w:trPr>
          <w:trHeight w:val="20"/>
          <w:jc w:val="center"/>
        </w:trPr>
        <w:tc>
          <w:tcPr>
            <w:tcW w:w="839"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after="20"/>
              <w:jc w:val="center"/>
              <w:rPr>
                <w:rFonts w:asciiTheme="minorHAnsi" w:hAnsiTheme="minorHAnsi"/>
                <w:sz w:val="18"/>
                <w:szCs w:val="18"/>
                <w:lang w:val="es-ES_tradnl"/>
              </w:rPr>
            </w:pPr>
            <w:r w:rsidRPr="00B02557">
              <w:rPr>
                <w:rFonts w:asciiTheme="minorHAnsi" w:hAnsiTheme="minorHAnsi"/>
                <w:sz w:val="18"/>
                <w:szCs w:val="18"/>
                <w:lang w:val="es-ES_tradnl"/>
              </w:rPr>
              <w:t>2020</w:t>
            </w:r>
          </w:p>
        </w:tc>
        <w:tc>
          <w:tcPr>
            <w:tcW w:w="2688"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after="20"/>
              <w:jc w:val="center"/>
              <w:rPr>
                <w:rFonts w:asciiTheme="minorHAnsi" w:hAnsiTheme="minorHAnsi"/>
                <w:sz w:val="18"/>
                <w:szCs w:val="18"/>
                <w:lang w:val="es-ES_tradnl"/>
              </w:rPr>
            </w:pPr>
            <w:r w:rsidRPr="00B02557">
              <w:rPr>
                <w:rFonts w:asciiTheme="minorHAnsi" w:hAnsiTheme="minorHAnsi"/>
                <w:sz w:val="18"/>
                <w:szCs w:val="18"/>
                <w:lang w:val="es-ES_tradnl"/>
              </w:rPr>
              <w:t>215.771</w:t>
            </w:r>
          </w:p>
        </w:tc>
      </w:tr>
    </w:tbl>
    <w:p w:rsidR="00DE6839" w:rsidRDefault="00DE6839" w:rsidP="00DE6839">
      <w:pPr>
        <w:pStyle w:val="Estilo"/>
        <w:spacing w:after="200" w:line="320" w:lineRule="exact"/>
        <w:rPr>
          <w:rFonts w:asciiTheme="minorHAnsi" w:hAnsiTheme="minorHAnsi"/>
          <w:sz w:val="28"/>
          <w:szCs w:val="28"/>
          <w:lang w:val="es-ES_tradnl"/>
        </w:rPr>
      </w:pPr>
      <w:r w:rsidRPr="00C26E0D">
        <w:rPr>
          <w:rFonts w:asciiTheme="minorHAnsi" w:hAnsiTheme="minorHAnsi"/>
          <w:sz w:val="28"/>
          <w:szCs w:val="28"/>
          <w:lang w:val="es-ES_tradnl"/>
        </w:rPr>
        <w:t>Las cantidades transcritas en el cuadro anterior hacen referencia al importe completo de las sanciones impuestas en las distintas fases del procedimiento, sin distinguir si el posterior pago se realiza en alguna</w:t>
      </w:r>
      <w:r>
        <w:rPr>
          <w:rFonts w:asciiTheme="minorHAnsi" w:hAnsiTheme="minorHAnsi"/>
          <w:sz w:val="28"/>
          <w:szCs w:val="28"/>
          <w:lang w:val="es-ES_tradnl"/>
        </w:rPr>
        <w:t xml:space="preserve"> </w:t>
      </w:r>
      <w:r w:rsidRPr="00C26E0D">
        <w:rPr>
          <w:rFonts w:asciiTheme="minorHAnsi" w:hAnsiTheme="minorHAnsi"/>
          <w:sz w:val="28"/>
          <w:szCs w:val="28"/>
          <w:lang w:val="es-ES_tradnl"/>
        </w:rPr>
        <w:t>de las fases de aquel en que el expedientado puede aplicarse alguno de los descuentos o reducciones de pago establecidas en la propia Ley Orgánica (pago en periodo voluntario), o bien si se realiza mediante el correspondiente apremio por parte del Departamento de Economía y Hacienda en fase de recaudación ejecutiva y, por ello, con la posible aplicación de intereses de demora.</w:t>
      </w:r>
    </w:p>
    <w:p w:rsidR="00DE6839" w:rsidRDefault="00DE6839" w:rsidP="00DE6839">
      <w:pPr>
        <w:pStyle w:val="Estilo"/>
        <w:spacing w:after="200" w:line="320" w:lineRule="exact"/>
        <w:rPr>
          <w:rFonts w:asciiTheme="minorHAnsi" w:hAnsiTheme="minorHAnsi"/>
          <w:sz w:val="28"/>
          <w:szCs w:val="28"/>
          <w:lang w:val="es-ES_tradnl"/>
        </w:rPr>
      </w:pPr>
      <w:r w:rsidRPr="00C26E0D">
        <w:rPr>
          <w:rFonts w:asciiTheme="minorHAnsi" w:hAnsiTheme="minorHAnsi"/>
          <w:sz w:val="28"/>
          <w:szCs w:val="28"/>
          <w:lang w:val="es-ES_tradnl"/>
        </w:rPr>
        <w:t>3. ¿En qué apartados de los artículo 35 a 37 de la Ley Orgánica 4/2015 se han fundamentado las sanciones impuestas?</w:t>
      </w:r>
    </w:p>
    <w:p w:rsidR="00DE6839" w:rsidRDefault="00DE6839" w:rsidP="00DE6839">
      <w:pPr>
        <w:pStyle w:val="Estilo"/>
        <w:spacing w:after="200" w:line="320" w:lineRule="exact"/>
        <w:rPr>
          <w:rFonts w:asciiTheme="minorHAnsi" w:hAnsiTheme="minorHAnsi"/>
          <w:sz w:val="28"/>
          <w:szCs w:val="28"/>
          <w:lang w:val="es-ES_tradnl"/>
        </w:rPr>
      </w:pPr>
      <w:r w:rsidRPr="00C26E0D">
        <w:rPr>
          <w:rFonts w:asciiTheme="minorHAnsi" w:hAnsiTheme="minorHAnsi"/>
          <w:sz w:val="28"/>
          <w:szCs w:val="28"/>
          <w:lang w:val="es-ES_tradnl"/>
        </w:rPr>
        <w:lastRenderedPageBreak/>
        <w:t>Los preceptos invocados en los actos de inicio del procedimiento, con carácter general, son los artículos 36.16, 36.6, 37.4, 36.3, 36.18. Residualmente se han invocado como preceptos infringidos otros apartados específicos de los artículos 36 y 37 de la Ley Orgánica de Protección de la Seguridad Ciudadana.</w:t>
      </w:r>
    </w:p>
    <w:p w:rsidR="00DE6839" w:rsidRPr="00B02557" w:rsidRDefault="00DE6839" w:rsidP="00DE6839">
      <w:pPr>
        <w:pStyle w:val="Estilo"/>
        <w:spacing w:after="200" w:line="320" w:lineRule="exact"/>
        <w:jc w:val="center"/>
        <w:rPr>
          <w:rFonts w:asciiTheme="minorHAnsi" w:hAnsiTheme="minorHAnsi"/>
          <w:b/>
          <w:sz w:val="28"/>
          <w:szCs w:val="28"/>
          <w:lang w:val="es-ES_tradnl"/>
        </w:rPr>
      </w:pPr>
      <w:r w:rsidRPr="00B02557">
        <w:rPr>
          <w:rFonts w:asciiTheme="minorHAnsi" w:hAnsiTheme="minorHAnsi"/>
          <w:b/>
          <w:sz w:val="28"/>
          <w:szCs w:val="28"/>
          <w:lang w:val="es-ES_tradnl"/>
        </w:rPr>
        <w:t>Glosario de preceptos</w:t>
      </w:r>
    </w:p>
    <w:p w:rsidR="00DE6839" w:rsidRPr="00B02557" w:rsidRDefault="00DE6839" w:rsidP="00DE6839">
      <w:pPr>
        <w:pStyle w:val="Estilo"/>
        <w:spacing w:after="200" w:line="320" w:lineRule="exact"/>
        <w:ind w:left="720"/>
        <w:rPr>
          <w:rFonts w:asciiTheme="minorHAnsi" w:hAnsiTheme="minorHAnsi"/>
          <w:i/>
          <w:sz w:val="28"/>
          <w:szCs w:val="28"/>
          <w:lang w:val="es-ES_tradnl"/>
        </w:rPr>
      </w:pPr>
      <w:r w:rsidRPr="00B02557">
        <w:rPr>
          <w:rFonts w:asciiTheme="minorHAnsi" w:hAnsiTheme="minorHAnsi"/>
          <w:i/>
          <w:sz w:val="28"/>
          <w:szCs w:val="28"/>
          <w:lang w:val="es-ES_tradnl"/>
        </w:rPr>
        <w:t>Artículo 36. Infracciones graves.</w:t>
      </w:r>
    </w:p>
    <w:p w:rsidR="00DE6839" w:rsidRPr="00B02557" w:rsidRDefault="00DE6839" w:rsidP="00DE6839">
      <w:pPr>
        <w:pStyle w:val="Estilo"/>
        <w:spacing w:after="200" w:line="320" w:lineRule="exact"/>
        <w:ind w:left="720"/>
        <w:rPr>
          <w:rFonts w:asciiTheme="minorHAnsi" w:hAnsiTheme="minorHAnsi"/>
          <w:i/>
          <w:sz w:val="28"/>
          <w:szCs w:val="28"/>
          <w:lang w:val="es-ES_tradnl"/>
        </w:rPr>
      </w:pPr>
      <w:r w:rsidRPr="00B02557">
        <w:rPr>
          <w:rFonts w:asciiTheme="minorHAnsi" w:hAnsiTheme="minorHAnsi"/>
          <w:i/>
          <w:sz w:val="28"/>
          <w:szCs w:val="28"/>
          <w:lang w:val="es-ES_tradnl"/>
        </w:rPr>
        <w:t>3. Causar desórdenes en las vías, espacios o establecimientos públicos, u obstaculizar la vía pública con mobiliario urbano, vehículos, contenedores, neumáticos u otros objetos, cuando en ambos casos se ocasione una alteración grave de la seguridad ciudadana.</w:t>
      </w:r>
    </w:p>
    <w:p w:rsidR="00DE6839" w:rsidRPr="00B02557" w:rsidRDefault="00DE6839" w:rsidP="00DE6839">
      <w:pPr>
        <w:pStyle w:val="Estilo"/>
        <w:spacing w:after="200" w:line="320" w:lineRule="exact"/>
        <w:ind w:left="720"/>
        <w:rPr>
          <w:rFonts w:asciiTheme="minorHAnsi" w:hAnsiTheme="minorHAnsi"/>
          <w:i/>
          <w:sz w:val="28"/>
          <w:szCs w:val="28"/>
          <w:lang w:val="es-ES_tradnl"/>
        </w:rPr>
      </w:pPr>
      <w:r w:rsidRPr="00B02557">
        <w:rPr>
          <w:rFonts w:asciiTheme="minorHAnsi" w:hAnsiTheme="minorHAnsi"/>
          <w:i/>
          <w:sz w:val="28"/>
          <w:szCs w:val="28"/>
          <w:lang w:val="es-ES_tradnl"/>
        </w:rPr>
        <w:t>6. La desobediencia o la resistencia a la autoridad o a sus agentes en el ejercicio de sus funciones, cuando no sean constitutivas de delito, así como la negativa a identificarse a requerimiento de la autoridad o de sus agentes o la alegación de datos falsos o inexactos en los procesos de identificación.</w:t>
      </w:r>
    </w:p>
    <w:p w:rsidR="00DE6839" w:rsidRPr="00B02557" w:rsidRDefault="00DE6839" w:rsidP="00DE6839">
      <w:pPr>
        <w:pStyle w:val="Estilo"/>
        <w:spacing w:after="200" w:line="320" w:lineRule="exact"/>
        <w:ind w:left="720"/>
        <w:rPr>
          <w:rFonts w:asciiTheme="minorHAnsi" w:hAnsiTheme="minorHAnsi"/>
          <w:i/>
          <w:sz w:val="28"/>
          <w:szCs w:val="28"/>
          <w:lang w:val="es-ES_tradnl"/>
        </w:rPr>
      </w:pPr>
      <w:r w:rsidRPr="00B02557">
        <w:rPr>
          <w:rFonts w:asciiTheme="minorHAnsi" w:hAnsiTheme="minorHAnsi"/>
          <w:i/>
          <w:sz w:val="28"/>
          <w:szCs w:val="28"/>
          <w:lang w:val="es-ES_tradnl"/>
        </w:rPr>
        <w:t>16. El consumo o la tenencia ilícitos de drogas tóxicas, estupefacientes o sustancias psicotrópicas, aunque no estuvieran destinadas al tráfico, en lugares, vías, establecimientos públicos o transportes colectivos, así como el abandono de los instrumentos u otros efectos empleados para ello en los citados lugares.</w:t>
      </w:r>
    </w:p>
    <w:p w:rsidR="00DE6839" w:rsidRPr="00B02557" w:rsidRDefault="00DE6839" w:rsidP="00DE6839">
      <w:pPr>
        <w:pStyle w:val="Estilo"/>
        <w:spacing w:after="200" w:line="320" w:lineRule="exact"/>
        <w:ind w:left="720"/>
        <w:rPr>
          <w:rFonts w:asciiTheme="minorHAnsi" w:hAnsiTheme="minorHAnsi"/>
          <w:i/>
          <w:sz w:val="28"/>
          <w:szCs w:val="28"/>
          <w:lang w:val="es-ES_tradnl"/>
        </w:rPr>
      </w:pPr>
      <w:r w:rsidRPr="00B02557">
        <w:rPr>
          <w:rFonts w:asciiTheme="minorHAnsi" w:hAnsiTheme="minorHAnsi"/>
          <w:i/>
          <w:sz w:val="28"/>
          <w:szCs w:val="28"/>
          <w:lang w:val="es-ES_tradnl"/>
        </w:rPr>
        <w:t>18. La ejecución de actos de plantación y cultivo ilícitos de drogas tóxicas, estupefacientes o sustancias psicotrópicas en lugares visibles al público, cuando no sean constitutivos de infracción penal.</w:t>
      </w:r>
    </w:p>
    <w:p w:rsidR="00DE6839" w:rsidRPr="00B02557" w:rsidRDefault="00DE6839" w:rsidP="00DE6839">
      <w:pPr>
        <w:pStyle w:val="Estilo"/>
        <w:spacing w:after="200" w:line="320" w:lineRule="exact"/>
        <w:ind w:left="720"/>
        <w:rPr>
          <w:rFonts w:asciiTheme="minorHAnsi" w:hAnsiTheme="minorHAnsi"/>
          <w:i/>
          <w:sz w:val="28"/>
          <w:szCs w:val="28"/>
          <w:lang w:val="es-ES_tradnl"/>
        </w:rPr>
      </w:pPr>
      <w:r w:rsidRPr="00B02557">
        <w:rPr>
          <w:rFonts w:asciiTheme="minorHAnsi" w:hAnsiTheme="minorHAnsi"/>
          <w:i/>
          <w:sz w:val="28"/>
          <w:szCs w:val="28"/>
          <w:lang w:val="es-ES_tradnl"/>
        </w:rPr>
        <w:t>Artículo 37. Infracciones leves.</w:t>
      </w:r>
    </w:p>
    <w:p w:rsidR="00DE6839" w:rsidRPr="00B02557" w:rsidRDefault="00DE6839" w:rsidP="00DE6839">
      <w:pPr>
        <w:pStyle w:val="Estilo"/>
        <w:spacing w:after="200" w:line="320" w:lineRule="exact"/>
        <w:ind w:left="720"/>
        <w:rPr>
          <w:rFonts w:asciiTheme="minorHAnsi" w:hAnsiTheme="minorHAnsi"/>
          <w:i/>
          <w:sz w:val="28"/>
          <w:szCs w:val="28"/>
          <w:lang w:val="es-ES_tradnl"/>
        </w:rPr>
      </w:pPr>
      <w:r w:rsidRPr="00B02557">
        <w:rPr>
          <w:rFonts w:asciiTheme="minorHAnsi" w:hAnsiTheme="minorHAnsi"/>
          <w:i/>
          <w:sz w:val="28"/>
          <w:szCs w:val="28"/>
          <w:lang w:val="es-ES_tradnl"/>
        </w:rPr>
        <w:t>4. Las faltas de respeto y consideración cuyo destinatario sea un miembro de las Fuerzas y Cuerpos de Seguridad en el ejercicio de sus funciones de protección de la seguridad, cuando estas conductas no sean constitutivas de infracción penal.</w:t>
      </w:r>
    </w:p>
    <w:p w:rsidR="00DE6839" w:rsidRPr="00C26E0D" w:rsidRDefault="00DE6839" w:rsidP="00DE6839">
      <w:pPr>
        <w:pStyle w:val="Estilo"/>
        <w:spacing w:after="200" w:line="320" w:lineRule="exact"/>
        <w:rPr>
          <w:rFonts w:asciiTheme="minorHAnsi" w:hAnsiTheme="minorHAnsi"/>
          <w:sz w:val="28"/>
          <w:szCs w:val="28"/>
          <w:lang w:val="es-ES_tradnl"/>
        </w:rPr>
      </w:pPr>
      <w:r w:rsidRPr="00C26E0D">
        <w:rPr>
          <w:rFonts w:asciiTheme="minorHAnsi" w:hAnsiTheme="minorHAnsi"/>
          <w:sz w:val="28"/>
          <w:szCs w:val="28"/>
          <w:lang w:val="es-ES_tradnl"/>
        </w:rPr>
        <w:t xml:space="preserve">4. </w:t>
      </w:r>
      <w:r>
        <w:rPr>
          <w:rFonts w:asciiTheme="minorHAnsi" w:hAnsiTheme="minorHAnsi"/>
          <w:sz w:val="28"/>
          <w:szCs w:val="28"/>
          <w:lang w:val="es-ES_tradnl"/>
        </w:rPr>
        <w:t>¿</w:t>
      </w:r>
      <w:r w:rsidRPr="00C26E0D">
        <w:rPr>
          <w:rFonts w:asciiTheme="minorHAnsi" w:hAnsiTheme="minorHAnsi"/>
          <w:sz w:val="28"/>
          <w:szCs w:val="28"/>
          <w:lang w:val="es-ES_tradnl"/>
        </w:rPr>
        <w:t>Cuál ha sido el número de expedientes sancionadores que por cada apartado de dichos artículos se han incoado desde que entró en vigor la citada Ley Orgánica?</w:t>
      </w:r>
    </w:p>
    <w:tbl>
      <w:tblPr>
        <w:tblW w:w="0" w:type="auto"/>
        <w:jc w:val="center"/>
        <w:tblInd w:w="5" w:type="dxa"/>
        <w:tblLayout w:type="fixed"/>
        <w:tblCellMar>
          <w:left w:w="0" w:type="dxa"/>
          <w:right w:w="0" w:type="dxa"/>
        </w:tblCellMar>
        <w:tblLook w:val="0000" w:firstRow="0" w:lastRow="0" w:firstColumn="0" w:lastColumn="0" w:noHBand="0" w:noVBand="0"/>
      </w:tblPr>
      <w:tblGrid>
        <w:gridCol w:w="1017"/>
        <w:gridCol w:w="1142"/>
        <w:gridCol w:w="1018"/>
        <w:gridCol w:w="1018"/>
        <w:gridCol w:w="1017"/>
        <w:gridCol w:w="1047"/>
        <w:gridCol w:w="1156"/>
      </w:tblGrid>
      <w:tr w:rsidR="00DE6839" w:rsidRPr="00B02557" w:rsidTr="00471176">
        <w:trPr>
          <w:trHeight w:val="20"/>
          <w:jc w:val="center"/>
        </w:trPr>
        <w:tc>
          <w:tcPr>
            <w:tcW w:w="1017"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b/>
                <w:sz w:val="18"/>
                <w:szCs w:val="18"/>
                <w:lang w:val="es-ES_tradnl"/>
              </w:rPr>
            </w:pPr>
            <w:r w:rsidRPr="00B02557">
              <w:rPr>
                <w:rFonts w:asciiTheme="minorHAnsi" w:hAnsiTheme="minorHAnsi"/>
                <w:b/>
                <w:sz w:val="18"/>
                <w:szCs w:val="18"/>
                <w:lang w:val="es-ES_tradnl"/>
              </w:rPr>
              <w:t>Año</w:t>
            </w:r>
          </w:p>
        </w:tc>
        <w:tc>
          <w:tcPr>
            <w:tcW w:w="1142" w:type="dxa"/>
            <w:tcBorders>
              <w:top w:val="single" w:sz="4" w:space="0" w:color="auto"/>
              <w:left w:val="single" w:sz="4" w:space="0" w:color="auto"/>
              <w:bottom w:val="single" w:sz="4" w:space="0" w:color="auto"/>
              <w:right w:val="nil"/>
            </w:tcBorders>
            <w:vAlign w:val="center"/>
          </w:tcPr>
          <w:p w:rsidR="00DE6839" w:rsidRPr="00B02557" w:rsidRDefault="00DE6839" w:rsidP="00471176">
            <w:pPr>
              <w:pStyle w:val="Estilo"/>
              <w:spacing w:before="20" w:after="20"/>
              <w:jc w:val="center"/>
              <w:rPr>
                <w:rFonts w:asciiTheme="minorHAnsi" w:hAnsiTheme="minorHAnsi"/>
                <w:b/>
                <w:sz w:val="18"/>
                <w:szCs w:val="18"/>
                <w:lang w:val="es-ES_tradnl"/>
              </w:rPr>
            </w:pPr>
          </w:p>
        </w:tc>
        <w:tc>
          <w:tcPr>
            <w:tcW w:w="4100" w:type="dxa"/>
            <w:gridSpan w:val="4"/>
            <w:tcBorders>
              <w:top w:val="single" w:sz="4" w:space="0" w:color="auto"/>
              <w:left w:val="nil"/>
              <w:bottom w:val="single" w:sz="4" w:space="0" w:color="auto"/>
              <w:right w:val="nil"/>
            </w:tcBorders>
            <w:vAlign w:val="center"/>
          </w:tcPr>
          <w:p w:rsidR="00DE6839" w:rsidRPr="00B02557" w:rsidRDefault="00DE6839" w:rsidP="00471176">
            <w:pPr>
              <w:pStyle w:val="Estilo"/>
              <w:spacing w:before="20" w:after="20"/>
              <w:jc w:val="center"/>
              <w:rPr>
                <w:rFonts w:asciiTheme="minorHAnsi" w:hAnsiTheme="minorHAnsi"/>
                <w:b/>
                <w:sz w:val="18"/>
                <w:szCs w:val="18"/>
                <w:lang w:val="es-ES_tradnl"/>
              </w:rPr>
            </w:pPr>
            <w:r w:rsidRPr="00B02557">
              <w:rPr>
                <w:rFonts w:asciiTheme="minorHAnsi" w:hAnsiTheme="minorHAnsi"/>
                <w:b/>
                <w:sz w:val="18"/>
                <w:szCs w:val="18"/>
                <w:lang w:val="es-ES_tradnl"/>
              </w:rPr>
              <w:t>PRECEPTO LOPSC</w:t>
            </w:r>
          </w:p>
        </w:tc>
        <w:tc>
          <w:tcPr>
            <w:tcW w:w="1156" w:type="dxa"/>
            <w:tcBorders>
              <w:top w:val="single" w:sz="4" w:space="0" w:color="auto"/>
              <w:left w:val="nil"/>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b/>
                <w:sz w:val="18"/>
                <w:szCs w:val="18"/>
                <w:lang w:val="es-ES_tradnl"/>
              </w:rPr>
            </w:pPr>
          </w:p>
        </w:tc>
      </w:tr>
      <w:tr w:rsidR="00DE6839" w:rsidRPr="00B02557" w:rsidTr="00471176">
        <w:trPr>
          <w:trHeight w:val="20"/>
          <w:jc w:val="center"/>
        </w:trPr>
        <w:tc>
          <w:tcPr>
            <w:tcW w:w="1017"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b/>
                <w:sz w:val="18"/>
                <w:szCs w:val="18"/>
                <w:lang w:val="es-ES_tradnl"/>
              </w:rPr>
            </w:pPr>
          </w:p>
        </w:tc>
        <w:tc>
          <w:tcPr>
            <w:tcW w:w="1142"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b/>
                <w:sz w:val="18"/>
                <w:szCs w:val="18"/>
                <w:lang w:val="es-ES_tradnl"/>
              </w:rPr>
            </w:pPr>
            <w:r w:rsidRPr="00B02557">
              <w:rPr>
                <w:rFonts w:asciiTheme="minorHAnsi" w:hAnsiTheme="minorHAnsi"/>
                <w:b/>
                <w:sz w:val="18"/>
                <w:szCs w:val="18"/>
                <w:lang w:val="es-ES_tradnl"/>
              </w:rPr>
              <w:t>36.16</w:t>
            </w:r>
          </w:p>
        </w:tc>
        <w:tc>
          <w:tcPr>
            <w:tcW w:w="1018"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b/>
                <w:sz w:val="18"/>
                <w:szCs w:val="18"/>
                <w:lang w:val="es-ES_tradnl"/>
              </w:rPr>
            </w:pPr>
            <w:r w:rsidRPr="00B02557">
              <w:rPr>
                <w:rFonts w:asciiTheme="minorHAnsi" w:hAnsiTheme="minorHAnsi"/>
                <w:b/>
                <w:sz w:val="18"/>
                <w:szCs w:val="18"/>
                <w:lang w:val="es-ES_tradnl"/>
              </w:rPr>
              <w:t>36.6</w:t>
            </w:r>
          </w:p>
        </w:tc>
        <w:tc>
          <w:tcPr>
            <w:tcW w:w="1018"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b/>
                <w:sz w:val="18"/>
                <w:szCs w:val="18"/>
                <w:lang w:val="es-ES_tradnl"/>
              </w:rPr>
            </w:pPr>
            <w:r w:rsidRPr="00B02557">
              <w:rPr>
                <w:rFonts w:asciiTheme="minorHAnsi" w:hAnsiTheme="minorHAnsi"/>
                <w:b/>
                <w:sz w:val="18"/>
                <w:szCs w:val="18"/>
                <w:lang w:val="es-ES_tradnl"/>
              </w:rPr>
              <w:t>37.4</w:t>
            </w:r>
          </w:p>
        </w:tc>
        <w:tc>
          <w:tcPr>
            <w:tcW w:w="1017"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b/>
                <w:sz w:val="18"/>
                <w:szCs w:val="18"/>
                <w:lang w:val="es-ES_tradnl"/>
              </w:rPr>
            </w:pPr>
            <w:r w:rsidRPr="00B02557">
              <w:rPr>
                <w:rFonts w:asciiTheme="minorHAnsi" w:hAnsiTheme="minorHAnsi"/>
                <w:b/>
                <w:sz w:val="18"/>
                <w:szCs w:val="18"/>
                <w:lang w:val="es-ES_tradnl"/>
              </w:rPr>
              <w:t>36.3</w:t>
            </w:r>
          </w:p>
        </w:tc>
        <w:tc>
          <w:tcPr>
            <w:tcW w:w="1047"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b/>
                <w:sz w:val="18"/>
                <w:szCs w:val="18"/>
                <w:lang w:val="es-ES_tradnl"/>
              </w:rPr>
            </w:pPr>
            <w:r w:rsidRPr="00B02557">
              <w:rPr>
                <w:rFonts w:asciiTheme="minorHAnsi" w:hAnsiTheme="minorHAnsi"/>
                <w:b/>
                <w:sz w:val="18"/>
                <w:szCs w:val="18"/>
                <w:lang w:val="es-ES_tradnl"/>
              </w:rPr>
              <w:t>36.18</w:t>
            </w:r>
          </w:p>
        </w:tc>
        <w:tc>
          <w:tcPr>
            <w:tcW w:w="1156"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b/>
                <w:sz w:val="18"/>
                <w:szCs w:val="18"/>
                <w:lang w:val="es-ES_tradnl"/>
              </w:rPr>
            </w:pPr>
            <w:r w:rsidRPr="00B02557">
              <w:rPr>
                <w:rFonts w:asciiTheme="minorHAnsi" w:hAnsiTheme="minorHAnsi"/>
                <w:b/>
                <w:sz w:val="18"/>
                <w:szCs w:val="18"/>
                <w:lang w:val="es-ES_tradnl"/>
              </w:rPr>
              <w:t>Otros</w:t>
            </w:r>
          </w:p>
        </w:tc>
      </w:tr>
      <w:tr w:rsidR="00DE6839" w:rsidRPr="00B02557" w:rsidTr="00471176">
        <w:trPr>
          <w:trHeight w:val="20"/>
          <w:jc w:val="center"/>
        </w:trPr>
        <w:tc>
          <w:tcPr>
            <w:tcW w:w="1017"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lang w:val="es-ES_tradnl"/>
              </w:rPr>
            </w:pPr>
            <w:r w:rsidRPr="00B02557">
              <w:rPr>
                <w:rFonts w:asciiTheme="minorHAnsi" w:hAnsiTheme="minorHAnsi"/>
                <w:sz w:val="18"/>
                <w:szCs w:val="18"/>
                <w:lang w:val="es-ES_tradnl"/>
              </w:rPr>
              <w:t>2015</w:t>
            </w:r>
          </w:p>
        </w:tc>
        <w:tc>
          <w:tcPr>
            <w:tcW w:w="1142"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lang w:val="es-ES_tradnl"/>
              </w:rPr>
            </w:pPr>
            <w:r>
              <w:rPr>
                <w:rFonts w:asciiTheme="minorHAnsi" w:hAnsiTheme="minorHAnsi"/>
                <w:sz w:val="18"/>
                <w:szCs w:val="18"/>
                <w:lang w:val="es-ES_tradnl"/>
              </w:rPr>
              <w:t>0</w:t>
            </w:r>
          </w:p>
        </w:tc>
        <w:tc>
          <w:tcPr>
            <w:tcW w:w="1018"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lang w:val="es-ES_tradnl"/>
              </w:rPr>
            </w:pPr>
            <w:r>
              <w:rPr>
                <w:rFonts w:asciiTheme="minorHAnsi" w:hAnsiTheme="minorHAnsi"/>
                <w:sz w:val="18"/>
                <w:szCs w:val="18"/>
                <w:lang w:val="es-ES_tradnl"/>
              </w:rPr>
              <w:t>0</w:t>
            </w:r>
          </w:p>
        </w:tc>
        <w:tc>
          <w:tcPr>
            <w:tcW w:w="1018"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lang w:val="es-ES_tradnl"/>
              </w:rPr>
            </w:pPr>
            <w:r>
              <w:rPr>
                <w:rFonts w:asciiTheme="minorHAnsi" w:hAnsiTheme="minorHAnsi"/>
                <w:sz w:val="18"/>
                <w:szCs w:val="18"/>
                <w:lang w:val="es-ES_tradnl"/>
              </w:rPr>
              <w:t>0</w:t>
            </w:r>
          </w:p>
        </w:tc>
        <w:tc>
          <w:tcPr>
            <w:tcW w:w="1017"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lang w:val="es-ES_tradnl"/>
              </w:rPr>
            </w:pPr>
            <w:r>
              <w:rPr>
                <w:rFonts w:asciiTheme="minorHAnsi" w:hAnsiTheme="minorHAnsi"/>
                <w:sz w:val="18"/>
                <w:szCs w:val="18"/>
                <w:lang w:val="es-ES_tradnl"/>
              </w:rPr>
              <w:t>0</w:t>
            </w:r>
          </w:p>
        </w:tc>
        <w:tc>
          <w:tcPr>
            <w:tcW w:w="1047"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lang w:val="es-ES_tradnl"/>
              </w:rPr>
            </w:pPr>
            <w:r>
              <w:rPr>
                <w:rFonts w:asciiTheme="minorHAnsi" w:hAnsiTheme="minorHAnsi"/>
                <w:sz w:val="18"/>
                <w:szCs w:val="18"/>
                <w:lang w:val="es-ES_tradnl"/>
              </w:rPr>
              <w:t>0</w:t>
            </w:r>
          </w:p>
        </w:tc>
        <w:tc>
          <w:tcPr>
            <w:tcW w:w="1156"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lang w:val="es-ES_tradnl"/>
              </w:rPr>
            </w:pPr>
            <w:r>
              <w:rPr>
                <w:rFonts w:asciiTheme="minorHAnsi" w:hAnsiTheme="minorHAnsi"/>
                <w:sz w:val="18"/>
                <w:szCs w:val="18"/>
                <w:lang w:val="es-ES_tradnl"/>
              </w:rPr>
              <w:t>0</w:t>
            </w:r>
          </w:p>
        </w:tc>
      </w:tr>
      <w:tr w:rsidR="00DE6839" w:rsidRPr="00B02557" w:rsidTr="00471176">
        <w:trPr>
          <w:trHeight w:val="20"/>
          <w:jc w:val="center"/>
        </w:trPr>
        <w:tc>
          <w:tcPr>
            <w:tcW w:w="1017"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lang w:val="es-ES_tradnl"/>
              </w:rPr>
            </w:pPr>
            <w:r w:rsidRPr="00B02557">
              <w:rPr>
                <w:rFonts w:asciiTheme="minorHAnsi" w:hAnsiTheme="minorHAnsi"/>
                <w:sz w:val="18"/>
                <w:szCs w:val="18"/>
                <w:lang w:val="es-ES_tradnl"/>
              </w:rPr>
              <w:t>2016</w:t>
            </w:r>
          </w:p>
        </w:tc>
        <w:tc>
          <w:tcPr>
            <w:tcW w:w="1142"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lang w:val="es-ES_tradnl"/>
              </w:rPr>
            </w:pPr>
            <w:r w:rsidRPr="00B02557">
              <w:rPr>
                <w:rFonts w:asciiTheme="minorHAnsi" w:hAnsiTheme="minorHAnsi"/>
                <w:sz w:val="18"/>
                <w:szCs w:val="18"/>
                <w:lang w:val="es-ES_tradnl"/>
              </w:rPr>
              <w:t>1.320</w:t>
            </w:r>
          </w:p>
        </w:tc>
        <w:tc>
          <w:tcPr>
            <w:tcW w:w="1018"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lang w:val="es-ES_tradnl"/>
              </w:rPr>
            </w:pPr>
            <w:r w:rsidRPr="00B02557">
              <w:rPr>
                <w:rFonts w:asciiTheme="minorHAnsi" w:hAnsiTheme="minorHAnsi"/>
                <w:sz w:val="18"/>
                <w:szCs w:val="18"/>
                <w:lang w:val="es-ES_tradnl"/>
              </w:rPr>
              <w:t>60</w:t>
            </w:r>
          </w:p>
        </w:tc>
        <w:tc>
          <w:tcPr>
            <w:tcW w:w="1018"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lang w:val="es-ES_tradnl"/>
              </w:rPr>
            </w:pPr>
            <w:r w:rsidRPr="00B02557">
              <w:rPr>
                <w:rFonts w:asciiTheme="minorHAnsi" w:hAnsiTheme="minorHAnsi"/>
                <w:sz w:val="18"/>
                <w:szCs w:val="18"/>
                <w:lang w:val="es-ES_tradnl"/>
              </w:rPr>
              <w:t>6</w:t>
            </w:r>
          </w:p>
        </w:tc>
        <w:tc>
          <w:tcPr>
            <w:tcW w:w="1017"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lang w:val="es-ES_tradnl"/>
              </w:rPr>
            </w:pPr>
            <w:r w:rsidRPr="00B02557">
              <w:rPr>
                <w:rFonts w:asciiTheme="minorHAnsi" w:hAnsiTheme="minorHAnsi"/>
                <w:sz w:val="18"/>
                <w:szCs w:val="18"/>
                <w:lang w:val="es-ES_tradnl"/>
              </w:rPr>
              <w:t>6</w:t>
            </w:r>
          </w:p>
        </w:tc>
        <w:tc>
          <w:tcPr>
            <w:tcW w:w="1047"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lang w:val="es-ES_tradnl"/>
              </w:rPr>
            </w:pPr>
            <w:r w:rsidRPr="00B02557">
              <w:rPr>
                <w:rFonts w:asciiTheme="minorHAnsi" w:hAnsiTheme="minorHAnsi"/>
                <w:sz w:val="18"/>
                <w:szCs w:val="18"/>
                <w:lang w:val="es-ES_tradnl"/>
              </w:rPr>
              <w:t>o</w:t>
            </w:r>
          </w:p>
        </w:tc>
        <w:tc>
          <w:tcPr>
            <w:tcW w:w="1156"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lang w:val="es-ES_tradnl"/>
              </w:rPr>
            </w:pPr>
            <w:r w:rsidRPr="00B02557">
              <w:rPr>
                <w:rFonts w:asciiTheme="minorHAnsi" w:hAnsiTheme="minorHAnsi"/>
                <w:sz w:val="18"/>
                <w:szCs w:val="18"/>
                <w:lang w:val="es-ES_tradnl"/>
              </w:rPr>
              <w:t>8</w:t>
            </w:r>
          </w:p>
        </w:tc>
      </w:tr>
      <w:tr w:rsidR="00DE6839" w:rsidRPr="00B02557" w:rsidTr="00471176">
        <w:trPr>
          <w:trHeight w:val="20"/>
          <w:jc w:val="center"/>
        </w:trPr>
        <w:tc>
          <w:tcPr>
            <w:tcW w:w="1017"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lang w:val="es-ES_tradnl"/>
              </w:rPr>
            </w:pPr>
            <w:r w:rsidRPr="00B02557">
              <w:rPr>
                <w:rFonts w:asciiTheme="minorHAnsi" w:hAnsiTheme="minorHAnsi"/>
                <w:sz w:val="18"/>
                <w:szCs w:val="18"/>
                <w:lang w:val="es-ES_tradnl"/>
              </w:rPr>
              <w:t>2017</w:t>
            </w:r>
          </w:p>
        </w:tc>
        <w:tc>
          <w:tcPr>
            <w:tcW w:w="1142"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lang w:val="es-ES_tradnl"/>
              </w:rPr>
            </w:pPr>
            <w:r w:rsidRPr="00B02557">
              <w:rPr>
                <w:rFonts w:asciiTheme="minorHAnsi" w:hAnsiTheme="minorHAnsi"/>
                <w:sz w:val="18"/>
                <w:szCs w:val="18"/>
                <w:lang w:val="es-ES_tradnl"/>
              </w:rPr>
              <w:t>2.007</w:t>
            </w:r>
          </w:p>
        </w:tc>
        <w:tc>
          <w:tcPr>
            <w:tcW w:w="1018"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lang w:val="es-ES_tradnl"/>
              </w:rPr>
            </w:pPr>
            <w:r w:rsidRPr="00B02557">
              <w:rPr>
                <w:rFonts w:asciiTheme="minorHAnsi" w:hAnsiTheme="minorHAnsi"/>
                <w:sz w:val="18"/>
                <w:szCs w:val="18"/>
                <w:lang w:val="es-ES_tradnl"/>
              </w:rPr>
              <w:t>44</w:t>
            </w:r>
          </w:p>
        </w:tc>
        <w:tc>
          <w:tcPr>
            <w:tcW w:w="1018"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lang w:val="es-ES_tradnl"/>
              </w:rPr>
            </w:pPr>
            <w:r w:rsidRPr="00B02557">
              <w:rPr>
                <w:rFonts w:asciiTheme="minorHAnsi" w:hAnsiTheme="minorHAnsi"/>
                <w:sz w:val="18"/>
                <w:szCs w:val="18"/>
                <w:lang w:val="es-ES_tradnl"/>
              </w:rPr>
              <w:t>47</w:t>
            </w:r>
          </w:p>
        </w:tc>
        <w:tc>
          <w:tcPr>
            <w:tcW w:w="1017"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lang w:val="es-ES_tradnl"/>
              </w:rPr>
            </w:pPr>
            <w:r w:rsidRPr="00B02557">
              <w:rPr>
                <w:rFonts w:asciiTheme="minorHAnsi" w:hAnsiTheme="minorHAnsi"/>
                <w:sz w:val="18"/>
                <w:szCs w:val="18"/>
                <w:lang w:val="es-ES_tradnl"/>
              </w:rPr>
              <w:t>38</w:t>
            </w:r>
          </w:p>
        </w:tc>
        <w:tc>
          <w:tcPr>
            <w:tcW w:w="1047"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lang w:val="es-ES_tradnl"/>
              </w:rPr>
            </w:pPr>
            <w:r w:rsidRPr="00B02557">
              <w:rPr>
                <w:rFonts w:asciiTheme="minorHAnsi" w:hAnsiTheme="minorHAnsi"/>
                <w:sz w:val="18"/>
                <w:szCs w:val="18"/>
                <w:lang w:val="es-ES_tradnl"/>
              </w:rPr>
              <w:t>o</w:t>
            </w:r>
          </w:p>
        </w:tc>
        <w:tc>
          <w:tcPr>
            <w:tcW w:w="1156"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lang w:val="es-ES_tradnl"/>
              </w:rPr>
            </w:pPr>
            <w:r w:rsidRPr="00B02557">
              <w:rPr>
                <w:rFonts w:asciiTheme="minorHAnsi" w:hAnsiTheme="minorHAnsi"/>
                <w:sz w:val="18"/>
                <w:szCs w:val="18"/>
                <w:lang w:val="es-ES_tradnl"/>
              </w:rPr>
              <w:t>6</w:t>
            </w:r>
          </w:p>
        </w:tc>
      </w:tr>
      <w:tr w:rsidR="00DE6839" w:rsidRPr="00B02557" w:rsidTr="00471176">
        <w:trPr>
          <w:trHeight w:val="20"/>
          <w:jc w:val="center"/>
        </w:trPr>
        <w:tc>
          <w:tcPr>
            <w:tcW w:w="1017"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lang w:val="es-ES_tradnl"/>
              </w:rPr>
            </w:pPr>
            <w:r w:rsidRPr="00B02557">
              <w:rPr>
                <w:rFonts w:asciiTheme="minorHAnsi" w:hAnsiTheme="minorHAnsi"/>
                <w:sz w:val="18"/>
                <w:szCs w:val="18"/>
                <w:lang w:val="es-ES_tradnl"/>
              </w:rPr>
              <w:t>2018</w:t>
            </w:r>
          </w:p>
        </w:tc>
        <w:tc>
          <w:tcPr>
            <w:tcW w:w="1142"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lang w:val="es-ES_tradnl"/>
              </w:rPr>
            </w:pPr>
            <w:r w:rsidRPr="00B02557">
              <w:rPr>
                <w:rFonts w:asciiTheme="minorHAnsi" w:hAnsiTheme="minorHAnsi"/>
                <w:sz w:val="18"/>
                <w:szCs w:val="18"/>
                <w:lang w:val="es-ES_tradnl"/>
              </w:rPr>
              <w:t>2.207</w:t>
            </w:r>
          </w:p>
        </w:tc>
        <w:tc>
          <w:tcPr>
            <w:tcW w:w="1018"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lang w:val="es-ES_tradnl"/>
              </w:rPr>
            </w:pPr>
            <w:r w:rsidRPr="00B02557">
              <w:rPr>
                <w:rFonts w:asciiTheme="minorHAnsi" w:hAnsiTheme="minorHAnsi"/>
                <w:sz w:val="18"/>
                <w:szCs w:val="18"/>
                <w:lang w:val="es-ES_tradnl"/>
              </w:rPr>
              <w:t>79</w:t>
            </w:r>
          </w:p>
        </w:tc>
        <w:tc>
          <w:tcPr>
            <w:tcW w:w="1018"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lang w:val="es-ES_tradnl"/>
              </w:rPr>
            </w:pPr>
            <w:r w:rsidRPr="00B02557">
              <w:rPr>
                <w:rFonts w:asciiTheme="minorHAnsi" w:hAnsiTheme="minorHAnsi"/>
                <w:sz w:val="18"/>
                <w:szCs w:val="18"/>
                <w:lang w:val="es-ES_tradnl"/>
              </w:rPr>
              <w:t>83</w:t>
            </w:r>
          </w:p>
        </w:tc>
        <w:tc>
          <w:tcPr>
            <w:tcW w:w="1017"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lang w:val="es-ES_tradnl"/>
              </w:rPr>
            </w:pPr>
            <w:r w:rsidRPr="00B02557">
              <w:rPr>
                <w:rFonts w:asciiTheme="minorHAnsi" w:hAnsiTheme="minorHAnsi"/>
                <w:sz w:val="18"/>
                <w:szCs w:val="18"/>
                <w:lang w:val="es-ES_tradnl"/>
              </w:rPr>
              <w:t>49</w:t>
            </w:r>
          </w:p>
        </w:tc>
        <w:tc>
          <w:tcPr>
            <w:tcW w:w="1047"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lang w:val="es-ES_tradnl"/>
              </w:rPr>
            </w:pPr>
            <w:r w:rsidRPr="00B02557">
              <w:rPr>
                <w:rFonts w:asciiTheme="minorHAnsi" w:hAnsiTheme="minorHAnsi"/>
                <w:sz w:val="18"/>
                <w:szCs w:val="18"/>
                <w:lang w:val="es-ES_tradnl"/>
              </w:rPr>
              <w:t>8</w:t>
            </w:r>
          </w:p>
        </w:tc>
        <w:tc>
          <w:tcPr>
            <w:tcW w:w="1156"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lang w:val="es-ES_tradnl"/>
              </w:rPr>
            </w:pPr>
            <w:r w:rsidRPr="00B02557">
              <w:rPr>
                <w:rFonts w:asciiTheme="minorHAnsi" w:hAnsiTheme="minorHAnsi"/>
                <w:sz w:val="18"/>
                <w:szCs w:val="18"/>
                <w:lang w:val="es-ES_tradnl"/>
              </w:rPr>
              <w:t>20</w:t>
            </w:r>
          </w:p>
        </w:tc>
      </w:tr>
      <w:tr w:rsidR="00DE6839" w:rsidRPr="00B02557" w:rsidTr="00471176">
        <w:trPr>
          <w:trHeight w:val="20"/>
          <w:jc w:val="center"/>
        </w:trPr>
        <w:tc>
          <w:tcPr>
            <w:tcW w:w="1017"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lang w:val="es-ES_tradnl"/>
              </w:rPr>
            </w:pPr>
            <w:r w:rsidRPr="00B02557">
              <w:rPr>
                <w:rFonts w:asciiTheme="minorHAnsi" w:hAnsiTheme="minorHAnsi"/>
                <w:sz w:val="18"/>
                <w:szCs w:val="18"/>
                <w:lang w:val="es-ES_tradnl"/>
              </w:rPr>
              <w:t>2019</w:t>
            </w:r>
          </w:p>
        </w:tc>
        <w:tc>
          <w:tcPr>
            <w:tcW w:w="1142"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lang w:val="es-ES_tradnl"/>
              </w:rPr>
            </w:pPr>
            <w:r w:rsidRPr="00B02557">
              <w:rPr>
                <w:rFonts w:asciiTheme="minorHAnsi" w:hAnsiTheme="minorHAnsi"/>
                <w:sz w:val="18"/>
                <w:szCs w:val="18"/>
                <w:lang w:val="es-ES_tradnl"/>
              </w:rPr>
              <w:t>2.043</w:t>
            </w:r>
          </w:p>
        </w:tc>
        <w:tc>
          <w:tcPr>
            <w:tcW w:w="1018"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lang w:val="es-ES_tradnl"/>
              </w:rPr>
            </w:pPr>
            <w:r w:rsidRPr="00B02557">
              <w:rPr>
                <w:rFonts w:asciiTheme="minorHAnsi" w:hAnsiTheme="minorHAnsi"/>
                <w:sz w:val="18"/>
                <w:szCs w:val="18"/>
                <w:lang w:val="es-ES_tradnl"/>
              </w:rPr>
              <w:t>86</w:t>
            </w:r>
          </w:p>
        </w:tc>
        <w:tc>
          <w:tcPr>
            <w:tcW w:w="1018"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lang w:val="es-ES_tradnl"/>
              </w:rPr>
            </w:pPr>
            <w:r w:rsidRPr="00B02557">
              <w:rPr>
                <w:rFonts w:asciiTheme="minorHAnsi" w:hAnsiTheme="minorHAnsi"/>
                <w:sz w:val="18"/>
                <w:szCs w:val="18"/>
                <w:lang w:val="es-ES_tradnl"/>
              </w:rPr>
              <w:t>51</w:t>
            </w:r>
          </w:p>
        </w:tc>
        <w:tc>
          <w:tcPr>
            <w:tcW w:w="1017"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lang w:val="es-ES_tradnl"/>
              </w:rPr>
            </w:pPr>
            <w:r w:rsidRPr="00B02557">
              <w:rPr>
                <w:rFonts w:asciiTheme="minorHAnsi" w:hAnsiTheme="minorHAnsi"/>
                <w:sz w:val="18"/>
                <w:szCs w:val="18"/>
                <w:lang w:val="es-ES_tradnl"/>
              </w:rPr>
              <w:t>15</w:t>
            </w:r>
          </w:p>
        </w:tc>
        <w:tc>
          <w:tcPr>
            <w:tcW w:w="1047"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lang w:val="es-ES_tradnl"/>
              </w:rPr>
            </w:pPr>
            <w:r w:rsidRPr="00B02557">
              <w:rPr>
                <w:rFonts w:asciiTheme="minorHAnsi" w:hAnsiTheme="minorHAnsi"/>
                <w:sz w:val="18"/>
                <w:szCs w:val="18"/>
                <w:lang w:val="es-ES_tradnl"/>
              </w:rPr>
              <w:t>3</w:t>
            </w:r>
          </w:p>
        </w:tc>
        <w:tc>
          <w:tcPr>
            <w:tcW w:w="1156"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lang w:val="es-ES_tradnl"/>
              </w:rPr>
            </w:pPr>
            <w:r w:rsidRPr="00B02557">
              <w:rPr>
                <w:rFonts w:asciiTheme="minorHAnsi" w:hAnsiTheme="minorHAnsi"/>
                <w:sz w:val="18"/>
                <w:szCs w:val="18"/>
                <w:lang w:val="es-ES_tradnl"/>
              </w:rPr>
              <w:t>9</w:t>
            </w:r>
          </w:p>
        </w:tc>
      </w:tr>
      <w:tr w:rsidR="00DE6839" w:rsidRPr="00B02557" w:rsidTr="00471176">
        <w:trPr>
          <w:trHeight w:val="20"/>
          <w:jc w:val="center"/>
        </w:trPr>
        <w:tc>
          <w:tcPr>
            <w:tcW w:w="1017"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lang w:val="es-ES_tradnl"/>
              </w:rPr>
            </w:pPr>
            <w:r w:rsidRPr="00B02557">
              <w:rPr>
                <w:rFonts w:asciiTheme="minorHAnsi" w:hAnsiTheme="minorHAnsi"/>
                <w:sz w:val="18"/>
                <w:szCs w:val="18"/>
                <w:lang w:val="es-ES_tradnl"/>
              </w:rPr>
              <w:t>2020</w:t>
            </w:r>
          </w:p>
        </w:tc>
        <w:tc>
          <w:tcPr>
            <w:tcW w:w="1142"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lang w:val="es-ES_tradnl"/>
              </w:rPr>
            </w:pPr>
            <w:r w:rsidRPr="00B02557">
              <w:rPr>
                <w:rFonts w:asciiTheme="minorHAnsi" w:hAnsiTheme="minorHAnsi"/>
                <w:sz w:val="18"/>
                <w:szCs w:val="18"/>
                <w:lang w:val="es-ES_tradnl"/>
              </w:rPr>
              <w:t>317</w:t>
            </w:r>
          </w:p>
        </w:tc>
        <w:tc>
          <w:tcPr>
            <w:tcW w:w="1018"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lang w:val="es-ES_tradnl"/>
              </w:rPr>
            </w:pPr>
            <w:r w:rsidRPr="00B02557">
              <w:rPr>
                <w:rFonts w:asciiTheme="minorHAnsi" w:hAnsiTheme="minorHAnsi"/>
                <w:sz w:val="18"/>
                <w:szCs w:val="18"/>
                <w:lang w:val="es-ES_tradnl"/>
              </w:rPr>
              <w:t>6</w:t>
            </w:r>
          </w:p>
        </w:tc>
        <w:tc>
          <w:tcPr>
            <w:tcW w:w="1018"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lang w:val="es-ES_tradnl"/>
              </w:rPr>
            </w:pPr>
            <w:r w:rsidRPr="00B02557">
              <w:rPr>
                <w:rFonts w:asciiTheme="minorHAnsi" w:hAnsiTheme="minorHAnsi"/>
                <w:sz w:val="18"/>
                <w:szCs w:val="18"/>
                <w:lang w:val="es-ES_tradnl"/>
              </w:rPr>
              <w:t>3</w:t>
            </w:r>
          </w:p>
        </w:tc>
        <w:tc>
          <w:tcPr>
            <w:tcW w:w="1017"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lang w:val="es-ES_tradnl"/>
              </w:rPr>
            </w:pPr>
            <w:r w:rsidRPr="00B02557">
              <w:rPr>
                <w:rFonts w:asciiTheme="minorHAnsi" w:hAnsiTheme="minorHAnsi"/>
                <w:sz w:val="18"/>
                <w:szCs w:val="18"/>
                <w:lang w:val="es-ES_tradnl"/>
              </w:rPr>
              <w:t>2</w:t>
            </w:r>
          </w:p>
        </w:tc>
        <w:tc>
          <w:tcPr>
            <w:tcW w:w="1047"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lang w:val="es-ES_tradnl"/>
              </w:rPr>
            </w:pPr>
            <w:r w:rsidRPr="00B02557">
              <w:rPr>
                <w:rFonts w:asciiTheme="minorHAnsi" w:hAnsiTheme="minorHAnsi"/>
                <w:sz w:val="18"/>
                <w:szCs w:val="18"/>
                <w:lang w:val="es-ES_tradnl"/>
              </w:rPr>
              <w:t>o</w:t>
            </w:r>
          </w:p>
        </w:tc>
        <w:tc>
          <w:tcPr>
            <w:tcW w:w="1156"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lang w:val="es-ES_tradnl"/>
              </w:rPr>
            </w:pPr>
            <w:r w:rsidRPr="00B02557">
              <w:rPr>
                <w:rFonts w:asciiTheme="minorHAnsi" w:hAnsiTheme="minorHAnsi"/>
                <w:sz w:val="18"/>
                <w:szCs w:val="18"/>
                <w:lang w:val="es-ES_tradnl"/>
              </w:rPr>
              <w:t>1</w:t>
            </w:r>
          </w:p>
        </w:tc>
      </w:tr>
    </w:tbl>
    <w:p w:rsidR="00DE6839" w:rsidRDefault="00DE6839" w:rsidP="00DE6839">
      <w:pPr>
        <w:pStyle w:val="Estilo"/>
        <w:spacing w:after="200" w:line="320" w:lineRule="exact"/>
        <w:rPr>
          <w:rFonts w:asciiTheme="minorHAnsi" w:hAnsiTheme="minorHAnsi"/>
          <w:sz w:val="28"/>
          <w:szCs w:val="28"/>
          <w:lang w:val="es-ES_tradnl"/>
        </w:rPr>
      </w:pPr>
      <w:r w:rsidRPr="00C26E0D">
        <w:rPr>
          <w:rFonts w:asciiTheme="minorHAnsi" w:hAnsiTheme="minorHAnsi"/>
          <w:sz w:val="28"/>
          <w:szCs w:val="28"/>
          <w:lang w:val="es-ES_tradnl"/>
        </w:rPr>
        <w:t>Lo que se comunica, a los efectos oportunos</w:t>
      </w:r>
    </w:p>
    <w:p w:rsidR="00DE6839" w:rsidRDefault="00DE6839" w:rsidP="00DE6839">
      <w:pPr>
        <w:pStyle w:val="Estilo"/>
        <w:spacing w:after="200" w:line="320" w:lineRule="exact"/>
        <w:rPr>
          <w:rFonts w:asciiTheme="minorHAnsi" w:hAnsiTheme="minorHAnsi"/>
          <w:sz w:val="28"/>
          <w:szCs w:val="28"/>
          <w:lang w:val="es-ES_tradnl"/>
        </w:rPr>
      </w:pPr>
      <w:r w:rsidRPr="00C26E0D">
        <w:rPr>
          <w:rFonts w:asciiTheme="minorHAnsi" w:hAnsiTheme="minorHAnsi"/>
          <w:sz w:val="28"/>
          <w:szCs w:val="28"/>
          <w:lang w:val="es-ES_tradnl"/>
        </w:rPr>
        <w:t>Pamplona, 15 de mayo de 2020</w:t>
      </w:r>
    </w:p>
    <w:p w:rsidR="00DE6839" w:rsidRDefault="00DE6839" w:rsidP="00DE6839">
      <w:pPr>
        <w:pStyle w:val="Estilo"/>
        <w:spacing w:after="200" w:line="320" w:lineRule="exact"/>
        <w:rPr>
          <w:rFonts w:asciiTheme="minorHAnsi" w:hAnsiTheme="minorHAnsi"/>
          <w:sz w:val="28"/>
          <w:szCs w:val="28"/>
          <w:lang w:val="es-ES_tradnl"/>
        </w:rPr>
      </w:pPr>
      <w:r>
        <w:rPr>
          <w:rFonts w:asciiTheme="minorHAnsi" w:hAnsiTheme="minorHAnsi"/>
          <w:sz w:val="28"/>
          <w:szCs w:val="28"/>
          <w:lang w:val="es-ES_tradnl"/>
        </w:rPr>
        <w:t>La Directora del Servicio de Régimen Jurídico de Interior: María Pilar Zapico Revuelta</w:t>
      </w:r>
    </w:p>
    <w:p w:rsidR="005D6830" w:rsidRDefault="00DE6839" w:rsidP="00DE6839">
      <w:r>
        <w:rPr>
          <w:rFonts w:asciiTheme="minorHAnsi" w:hAnsiTheme="minorHAnsi"/>
          <w:sz w:val="28"/>
          <w:szCs w:val="28"/>
          <w:lang w:val="es-ES_tradnl"/>
        </w:rPr>
        <w:t>(</w:t>
      </w:r>
      <w:r w:rsidRPr="00C26E0D">
        <w:rPr>
          <w:rFonts w:asciiTheme="minorHAnsi" w:hAnsiTheme="minorHAnsi"/>
          <w:sz w:val="28"/>
          <w:szCs w:val="28"/>
          <w:lang w:val="es-ES_tradnl"/>
        </w:rPr>
        <w:t>Nota</w:t>
      </w:r>
      <w:r>
        <w:rPr>
          <w:rFonts w:asciiTheme="minorHAnsi" w:hAnsiTheme="minorHAnsi"/>
          <w:sz w:val="28"/>
          <w:szCs w:val="28"/>
          <w:lang w:val="es-ES_tradnl"/>
        </w:rPr>
        <w:t xml:space="preserve">: </w:t>
      </w:r>
      <w:r w:rsidRPr="00C26E0D">
        <w:rPr>
          <w:rFonts w:asciiTheme="minorHAnsi" w:hAnsiTheme="minorHAnsi"/>
          <w:sz w:val="28"/>
          <w:szCs w:val="28"/>
          <w:lang w:val="es-ES_tradnl"/>
        </w:rPr>
        <w:t xml:space="preserve">Los datos reflejados en el presente informe han sido extractados del Gestor Corporativo de Procedimiento sancionador del Gobierno de Navarra, </w:t>
      </w:r>
      <w:proofErr w:type="spellStart"/>
      <w:r w:rsidRPr="00C26E0D">
        <w:rPr>
          <w:rFonts w:asciiTheme="minorHAnsi" w:hAnsiTheme="minorHAnsi"/>
          <w:sz w:val="28"/>
          <w:szCs w:val="28"/>
          <w:lang w:val="es-ES_tradnl"/>
        </w:rPr>
        <w:t>Extr</w:t>
      </w:r>
      <w:proofErr w:type="spellEnd"/>
      <w:r w:rsidRPr="00C26E0D">
        <w:rPr>
          <w:rFonts w:asciiTheme="minorHAnsi" w:hAnsiTheme="minorHAnsi"/>
          <w:sz w:val="28"/>
          <w:szCs w:val="28"/>
          <w:lang w:val="es-ES_tradnl"/>
        </w:rPr>
        <w:t>@</w:t>
      </w:r>
      <w:r w:rsidR="00EA65B2">
        <w:rPr>
          <w:rFonts w:asciiTheme="minorHAnsi" w:hAnsiTheme="minorHAnsi"/>
          <w:sz w:val="28"/>
          <w:szCs w:val="28"/>
          <w:lang w:val="es-ES_tradnl"/>
        </w:rPr>
        <w:t>)</w:t>
      </w:r>
    </w:p>
    <w:sectPr w:rsidR="005D68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839"/>
    <w:rsid w:val="000957E2"/>
    <w:rsid w:val="004D7F0B"/>
    <w:rsid w:val="005D6830"/>
    <w:rsid w:val="00D30B74"/>
    <w:rsid w:val="00DE6839"/>
    <w:rsid w:val="00EA65B2"/>
    <w:rsid w:val="00F627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839"/>
    <w:rPr>
      <w:rFonts w:ascii="Calibri" w:eastAsia="Times New Roman"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DE6839"/>
    <w:pPr>
      <w:widowControl w:val="0"/>
      <w:autoSpaceDE w:val="0"/>
      <w:autoSpaceDN w:val="0"/>
      <w:adjustRightInd w:val="0"/>
      <w:spacing w:after="0" w:line="240" w:lineRule="auto"/>
    </w:pPr>
    <w:rPr>
      <w:rFonts w:ascii="Arial" w:eastAsia="Times New Roman" w:hAnsi="Arial" w:cs="Arial"/>
      <w:sz w:val="24"/>
      <w:szCs w:val="24"/>
      <w:lang w:eastAsia="es-ES"/>
    </w:rPr>
  </w:style>
  <w:style w:type="character" w:styleId="Textoennegrita">
    <w:name w:val="Strong"/>
    <w:uiPriority w:val="22"/>
    <w:qFormat/>
    <w:rsid w:val="00DE683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839"/>
    <w:rPr>
      <w:rFonts w:ascii="Calibri" w:eastAsia="Times New Roman"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DE6839"/>
    <w:pPr>
      <w:widowControl w:val="0"/>
      <w:autoSpaceDE w:val="0"/>
      <w:autoSpaceDN w:val="0"/>
      <w:adjustRightInd w:val="0"/>
      <w:spacing w:after="0" w:line="240" w:lineRule="auto"/>
    </w:pPr>
    <w:rPr>
      <w:rFonts w:ascii="Arial" w:eastAsia="Times New Roman" w:hAnsi="Arial" w:cs="Arial"/>
      <w:sz w:val="24"/>
      <w:szCs w:val="24"/>
      <w:lang w:eastAsia="es-ES"/>
    </w:rPr>
  </w:style>
  <w:style w:type="character" w:styleId="Textoennegrita">
    <w:name w:val="Strong"/>
    <w:uiPriority w:val="22"/>
    <w:qFormat/>
    <w:rsid w:val="00DE68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972</Words>
  <Characters>5350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Iñaki De Santiago</dc:creator>
  <cp:lastModifiedBy>Iñaki De Santiago</cp:lastModifiedBy>
  <cp:revision>2</cp:revision>
  <dcterms:created xsi:type="dcterms:W3CDTF">2020-05-27T07:31:00Z</dcterms:created>
  <dcterms:modified xsi:type="dcterms:W3CDTF">2020-05-27T07:31:00Z</dcterms:modified>
</cp:coreProperties>
</file>