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39" w:rsidRDefault="00DE6839" w:rsidP="00DE6839">
      <w:pPr>
        <w:pStyle w:val="Estilo"/>
        <w:spacing w:after="200" w:line="320" w:lineRule="exact"/>
        <w:rPr>
          <w:rFonts w:asciiTheme="minorHAnsi" w:hAnsiTheme="minorHAnsi"/>
          <w:sz w:val="28"/>
          <w:szCs w:val="28"/>
        </w:rPr>
      </w:pPr>
      <w:bookmarkStart w:id="0" w:name="_GoBack"/>
      <w:r>
        <w:rPr>
          <w:rFonts w:asciiTheme="minorHAnsi" w:hAnsiTheme="minorHAnsi"/>
          <w:sz w:val="28"/>
          <w:szCs w:val="28"/>
        </w:rPr>
        <w:t>PES-00034</w:t>
      </w:r>
    </w:p>
    <w:p w:rsidR="00DE6839" w:rsidRDefault="00DE6839" w:rsidP="00DE6839">
      <w:pPr>
        <w:pStyle w:val="Estilo"/>
        <w:spacing w:after="200" w:line="320" w:lineRule="exact"/>
        <w:rPr>
          <w:rFonts w:asciiTheme="minorHAnsi" w:hAnsiTheme="minorHAnsi"/>
          <w:sz w:val="28"/>
          <w:szCs w:val="28"/>
        </w:rPr>
      </w:pPr>
      <w:r>
        <w:rPr>
          <w:sz w:val="28"/>
          <w:szCs w:val="28"/>
        </w:rPr>
        <w:t xml:space="preserve">EH Bildu Nafarroa talde parlamentarioari atxikitako foru parlamentari Adolfo Araiz </w:t>
      </w:r>
      <w:proofErr w:type="spellStart"/>
      <w:r>
        <w:rPr>
          <w:sz w:val="28"/>
          <w:szCs w:val="28"/>
        </w:rPr>
        <w:t>Flamarique</w:t>
      </w:r>
      <w:proofErr w:type="spellEnd"/>
      <w:r>
        <w:rPr>
          <w:sz w:val="28"/>
          <w:szCs w:val="28"/>
        </w:rPr>
        <w:t xml:space="preserve"> jaunak idatziz erantzuteko galdera bat egin du </w:t>
      </w:r>
      <w:proofErr w:type="spellStart"/>
      <w:r>
        <w:rPr>
          <w:sz w:val="28"/>
          <w:szCs w:val="28"/>
        </w:rPr>
        <w:t>–Parlamentuko</w:t>
      </w:r>
      <w:proofErr w:type="spellEnd"/>
      <w:r>
        <w:rPr>
          <w:sz w:val="28"/>
          <w:szCs w:val="28"/>
        </w:rPr>
        <w:t xml:space="preserve"> Mahaiak izapidetzeko onartu zuen eta 20PES-34 zenbakia </w:t>
      </w:r>
      <w:proofErr w:type="spellStart"/>
      <w:r>
        <w:rPr>
          <w:sz w:val="28"/>
          <w:szCs w:val="28"/>
        </w:rPr>
        <w:t>darama–</w:t>
      </w:r>
      <w:proofErr w:type="spellEnd"/>
      <w:r>
        <w:rPr>
          <w:sz w:val="28"/>
          <w:szCs w:val="28"/>
        </w:rPr>
        <w:t xml:space="preserve"> Herritarren Segurtasuna Babesteko 4/2015 Lege Organikoa indarrean sartu zenetik Foruzaingoak egindako zehapen-espedienteei buruz. Hona hemen Nafarroako Gobernuaren erantzuna:</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 xml:space="preserve">1. Zenbat zehapen-espediente ireki dituzte </w:t>
      </w:r>
      <w:proofErr w:type="spellStart"/>
      <w:r>
        <w:rPr>
          <w:rFonts w:asciiTheme="minorHAnsi" w:hAnsiTheme="minorHAnsi"/>
          <w:sz w:val="28"/>
          <w:szCs w:val="28"/>
        </w:rPr>
        <w:t>Foruzaingoko</w:t>
      </w:r>
      <w:proofErr w:type="spellEnd"/>
      <w:r>
        <w:rPr>
          <w:rFonts w:asciiTheme="minorHAnsi" w:hAnsiTheme="minorHAnsi"/>
          <w:sz w:val="28"/>
          <w:szCs w:val="28"/>
        </w:rPr>
        <w:t xml:space="preserve"> agenteek Herritarraren Segurtasuna Babesteari buruzko 4/2015 Lege Organikoa indarrean sartu zenetik?</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Herritarren segurtasunaren arloko espedienteak izapidetzeko eskumena Nafarroako segurtasun publikoari buruzko ekainaren 20ko 8/2006 Foru Legearen lehen xedapen gehigarrian aitortzen da. Xedapen horrek “Nafarroako Foru Komunitateko administrazioko zein agintarik duten eskumena segurtasun arloko zehapenak ezartzeko” izenburua du eta hauxe ezartzen du:</w:t>
      </w:r>
    </w:p>
    <w:p w:rsidR="00DE6839" w:rsidRPr="00C26E0D"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“1. Herritarren Segurtasunaren Babesari buruzko otsailaren 21eko 1/1992 Lege Organikoaren xedapen gehigarrian ezarritakoaren ondorioetarako, honakoak dira agintari eskudunak:</w:t>
      </w:r>
    </w:p>
    <w:p w:rsidR="00DE6839" w:rsidRPr="00C26E0D"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 xml:space="preserve">a) Nafarroako Gobernua, 600.000 euro arteko isunak eta arau-hauste oso larri, </w:t>
      </w:r>
      <w:proofErr w:type="spellStart"/>
      <w:r>
        <w:rPr>
          <w:rFonts w:asciiTheme="minorHAnsi" w:hAnsiTheme="minorHAnsi"/>
          <w:i/>
          <w:sz w:val="28"/>
          <w:szCs w:val="28"/>
        </w:rPr>
        <w:t>larri</w:t>
      </w:r>
      <w:proofErr w:type="spellEnd"/>
      <w:r>
        <w:rPr>
          <w:rFonts w:asciiTheme="minorHAnsi" w:hAnsiTheme="minorHAnsi"/>
          <w:i/>
          <w:sz w:val="28"/>
          <w:szCs w:val="28"/>
        </w:rPr>
        <w:t xml:space="preserve"> edo arinengatiko gainerako zehapenak ezartzeko.</w:t>
      </w:r>
    </w:p>
    <w:p w:rsidR="00DE6839" w:rsidRPr="00C26E0D"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 xml:space="preserve">b) Segurtasun publikoaren arloko eskumenak dituen departamentuko kontseilaria, 300.000 euro arteko isunak eta arau-hauste oso larri, </w:t>
      </w:r>
      <w:proofErr w:type="spellStart"/>
      <w:r>
        <w:rPr>
          <w:rFonts w:asciiTheme="minorHAnsi" w:hAnsiTheme="minorHAnsi"/>
          <w:i/>
          <w:sz w:val="28"/>
          <w:szCs w:val="28"/>
        </w:rPr>
        <w:t>larri</w:t>
      </w:r>
      <w:proofErr w:type="spellEnd"/>
      <w:r>
        <w:rPr>
          <w:rFonts w:asciiTheme="minorHAnsi" w:hAnsiTheme="minorHAnsi"/>
          <w:i/>
          <w:sz w:val="28"/>
          <w:szCs w:val="28"/>
        </w:rPr>
        <w:t xml:space="preserve"> edo arinengatiko gainerako zehapenak ezartzeko.</w:t>
      </w:r>
    </w:p>
    <w:p w:rsidR="00DE6839" w:rsidRPr="00C26E0D"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 xml:space="preserve">c) Segurtasun publikoaren arloko eskumenak dituen zuzendari nagusia, 60.000 euro arteko isunak eta arau-hauste oso larri, </w:t>
      </w:r>
      <w:proofErr w:type="spellStart"/>
      <w:r>
        <w:rPr>
          <w:rFonts w:asciiTheme="minorHAnsi" w:hAnsiTheme="minorHAnsi"/>
          <w:i/>
          <w:sz w:val="28"/>
          <w:szCs w:val="28"/>
        </w:rPr>
        <w:t>larri</w:t>
      </w:r>
      <w:proofErr w:type="spellEnd"/>
      <w:r>
        <w:rPr>
          <w:rFonts w:asciiTheme="minorHAnsi" w:hAnsiTheme="minorHAnsi"/>
          <w:i/>
          <w:sz w:val="28"/>
          <w:szCs w:val="28"/>
        </w:rPr>
        <w:t xml:space="preserve"> edo arinengatiko gainerako zehapenak ezartzeko.</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 xml:space="preserve">Eskumen-esleipen horretan oinarrituta eta barne gaietako eskumena duen departamentuko egitura organikoa arautzen duten foru dekretuen arabera </w:t>
      </w:r>
      <w:proofErr w:type="spellStart"/>
      <w:r>
        <w:rPr>
          <w:rFonts w:asciiTheme="minorHAnsi" w:hAnsiTheme="minorHAnsi"/>
          <w:sz w:val="28"/>
          <w:szCs w:val="28"/>
        </w:rPr>
        <w:t>–egun</w:t>
      </w:r>
      <w:proofErr w:type="spellEnd"/>
      <w:r>
        <w:rPr>
          <w:rFonts w:asciiTheme="minorHAnsi" w:hAnsiTheme="minorHAnsi"/>
          <w:sz w:val="28"/>
          <w:szCs w:val="28"/>
        </w:rPr>
        <w:t xml:space="preserve"> balio duena da Lehendakaritzako, Funtzio Publikoko, Barneko eta Justiziako Departamentuaren egitura ezartzen duen urriaren 30eko 259/2019 Foru </w:t>
      </w:r>
      <w:proofErr w:type="spellStart"/>
      <w:r>
        <w:rPr>
          <w:rFonts w:asciiTheme="minorHAnsi" w:hAnsiTheme="minorHAnsi"/>
          <w:sz w:val="28"/>
          <w:szCs w:val="28"/>
        </w:rPr>
        <w:t>Dekretua–</w:t>
      </w:r>
      <w:proofErr w:type="spellEnd"/>
      <w:r>
        <w:rPr>
          <w:rFonts w:asciiTheme="minorHAnsi" w:hAnsiTheme="minorHAnsi"/>
          <w:sz w:val="28"/>
          <w:szCs w:val="28"/>
        </w:rPr>
        <w:t>, zehapen-espedienteen izapidetzea Barneko Araubide Juridikoaren Zerbitzuari dagokio (aipatu foru dekretuaren 64.1 h) artikulua)</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 xml:space="preserve">Herritarren Segurtasuna Babesteko martxoaren 30eko 4/2015 Lege </w:t>
      </w:r>
      <w:r>
        <w:rPr>
          <w:rFonts w:asciiTheme="minorHAnsi" w:hAnsiTheme="minorHAnsi"/>
          <w:sz w:val="28"/>
          <w:szCs w:val="28"/>
        </w:rPr>
        <w:lastRenderedPageBreak/>
        <w:t>Organikoaren babesean izapideturiko espedienteen kopurua ondokoa da:</w:t>
      </w:r>
    </w:p>
    <w:tbl>
      <w:tblPr>
        <w:tblW w:w="0" w:type="auto"/>
        <w:tblInd w:w="2295" w:type="dxa"/>
        <w:tblLayout w:type="fixed"/>
        <w:tblCellMar>
          <w:left w:w="0" w:type="dxa"/>
          <w:right w:w="0" w:type="dxa"/>
        </w:tblCellMar>
        <w:tblLook w:val="0000" w:firstRow="0" w:lastRow="0" w:firstColumn="0" w:lastColumn="0" w:noHBand="0" w:noVBand="0"/>
      </w:tblPr>
      <w:tblGrid>
        <w:gridCol w:w="839"/>
        <w:gridCol w:w="3504"/>
      </w:tblGrid>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URTEA</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ESPEDIENTE KOPURUA</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2015</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2016</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2646</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2017</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2049</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2018</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2232</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2019</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2099</w:t>
            </w:r>
          </w:p>
        </w:tc>
      </w:tr>
      <w:tr w:rsidR="00DE6839" w:rsidRPr="00C26E0D" w:rsidTr="00471176">
        <w:trPr>
          <w:trHeight w:val="20"/>
        </w:trPr>
        <w:tc>
          <w:tcPr>
            <w:tcW w:w="839"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2020</w:t>
            </w:r>
          </w:p>
        </w:tc>
        <w:tc>
          <w:tcPr>
            <w:tcW w:w="3504" w:type="dxa"/>
            <w:tcBorders>
              <w:top w:val="single" w:sz="4" w:space="0" w:color="auto"/>
              <w:left w:val="single" w:sz="4" w:space="0" w:color="auto"/>
              <w:bottom w:val="single" w:sz="4" w:space="0" w:color="auto"/>
              <w:right w:val="single" w:sz="4" w:space="0" w:color="auto"/>
            </w:tcBorders>
            <w:vAlign w:val="center"/>
          </w:tcPr>
          <w:p w:rsidR="00DE6839" w:rsidRPr="00C26E0D"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307</w:t>
            </w:r>
          </w:p>
        </w:tc>
      </w:tr>
    </w:tbl>
    <w:p w:rsidR="00DE6839" w:rsidRPr="00B02557" w:rsidRDefault="00DE6839" w:rsidP="009311FC">
      <w:pPr>
        <w:pStyle w:val="Estilo"/>
        <w:spacing w:after="200"/>
        <w:ind w:left="2410" w:right="1841"/>
        <w:rPr>
          <w:rFonts w:asciiTheme="minorHAnsi" w:hAnsiTheme="minorHAnsi"/>
          <w:sz w:val="16"/>
          <w:szCs w:val="16"/>
        </w:rPr>
      </w:pPr>
      <w:r>
        <w:rPr>
          <w:rFonts w:asciiTheme="minorHAnsi" w:hAnsiTheme="minorHAnsi"/>
          <w:sz w:val="16"/>
          <w:szCs w:val="16"/>
        </w:rPr>
        <w:t>*2015eko erreferentziazko kopurua 0 da; izan ere, urte horretan izapidetu ziren salaketak Herritarren Segurtasunaren Babesari buruzko otsailaren 21eko 1/1992 Lege Organikoaren babesean izapidetu ziren, eta horiek ez dira galdera honen xede.</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 xml:space="preserve">2. </w:t>
      </w:r>
      <w:r>
        <w:rPr>
          <w:sz w:val="28"/>
          <w:szCs w:val="28"/>
        </w:rPr>
        <w:t>Aipatu lege organikoa indarrean sartu zenetik igaro diren urteetako bakoitzean zenbatekoak izan dira zehapen-espediente horien ondorioz ezarritako isunak?</w:t>
      </w:r>
    </w:p>
    <w:p w:rsidR="00DE6839" w:rsidRPr="00C26E0D" w:rsidRDefault="00DE6839" w:rsidP="00DE6839">
      <w:pPr>
        <w:pStyle w:val="Estilo"/>
        <w:spacing w:after="200" w:line="320" w:lineRule="exact"/>
        <w:rPr>
          <w:rFonts w:asciiTheme="minorHAnsi" w:hAnsiTheme="minorHAnsi"/>
          <w:sz w:val="28"/>
          <w:szCs w:val="28"/>
        </w:rPr>
      </w:pPr>
      <w:proofErr w:type="spellStart"/>
      <w:r>
        <w:rPr>
          <w:rFonts w:asciiTheme="minorHAnsi" w:hAnsiTheme="minorHAnsi"/>
          <w:sz w:val="28"/>
          <w:szCs w:val="28"/>
        </w:rPr>
        <w:t>Extr</w:t>
      </w:r>
      <w:proofErr w:type="spellEnd"/>
      <w:r>
        <w:rPr>
          <w:rFonts w:asciiTheme="minorHAnsi" w:hAnsiTheme="minorHAnsi"/>
          <w:sz w:val="28"/>
          <w:szCs w:val="28"/>
        </w:rPr>
        <w:t xml:space="preserve">@ espedienteen kudeatzaile korporatiboaren datuetan ageri denez, hona hemen zehapenei buruzko zenbatekoak, urtearen arabera: </w:t>
      </w:r>
    </w:p>
    <w:tbl>
      <w:tblPr>
        <w:tblW w:w="0" w:type="auto"/>
        <w:jc w:val="center"/>
        <w:tblInd w:w="5" w:type="dxa"/>
        <w:tblLayout w:type="fixed"/>
        <w:tblCellMar>
          <w:left w:w="0" w:type="dxa"/>
          <w:right w:w="0" w:type="dxa"/>
        </w:tblCellMar>
        <w:tblLook w:val="0000" w:firstRow="0" w:lastRow="0" w:firstColumn="0" w:lastColumn="0" w:noHBand="0" w:noVBand="0"/>
      </w:tblPr>
      <w:tblGrid>
        <w:gridCol w:w="839"/>
        <w:gridCol w:w="2688"/>
      </w:tblGrid>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URTEA</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ZENBATEKOA (EUROTAN)</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2015</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0</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2016</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852. 710,08</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2017</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1.234.483</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2018</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1.370.518,75</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2019</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1.204.540,75</w:t>
            </w:r>
          </w:p>
        </w:tc>
      </w:tr>
      <w:tr w:rsidR="00DE6839" w:rsidRPr="00B02557" w:rsidTr="00471176">
        <w:trPr>
          <w:trHeight w:val="20"/>
          <w:jc w:val="center"/>
        </w:trPr>
        <w:tc>
          <w:tcPr>
            <w:tcW w:w="839"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2020</w:t>
            </w:r>
          </w:p>
        </w:tc>
        <w:tc>
          <w:tcPr>
            <w:tcW w:w="268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after="20"/>
              <w:jc w:val="center"/>
              <w:rPr>
                <w:rFonts w:asciiTheme="minorHAnsi" w:hAnsiTheme="minorHAnsi"/>
                <w:sz w:val="18"/>
                <w:szCs w:val="18"/>
              </w:rPr>
            </w:pPr>
            <w:r>
              <w:rPr>
                <w:rFonts w:asciiTheme="minorHAnsi" w:hAnsiTheme="minorHAnsi"/>
                <w:sz w:val="18"/>
                <w:szCs w:val="18"/>
              </w:rPr>
              <w:t>215.771</w:t>
            </w:r>
          </w:p>
        </w:tc>
      </w:tr>
    </w:tbl>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Aurreko koadroan adierazten diren zenbatekoak prozeduraren fase desberdinetan ezarritako zehapenen osoko zenbatekoari buruzkoak dira, bereizi gabe ordainketa egin den lege organikoan bertan ezarritako deskontu edo murrizketaren bat espedientatuari aplikatu ahal zaion faseren batean (borondatez ordaintzeko epea), edota derrigorrezko diru-bilketa fasean egin den, Ekonomia eta Ogasun Departamentuaren premiamenduaren bidez eta, horrenbestez, berandutze-interesen balizko aplikazioarekin.</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3. 4/2015 Lege Organikoaren 35.etik 37.era arteko artikuluetako zein apartatutan oinarritu dira ezarritako zehazpenak?</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 xml:space="preserve">Prozeduraren hasierako egintzetan aipatzen diren xedapenak, oro har, 36.16, 36.6, 37.4, 36.3 eta 36.18 artikuluak dira. Hondarreko kasuetan, urratutako arau gisa aipatzen diren xedapenak Herritarraren Segurtasuna Babesteari buruzko Lege Organikoaren 36. eta 37. artikuluetako beste </w:t>
      </w:r>
      <w:r>
        <w:rPr>
          <w:rFonts w:asciiTheme="minorHAnsi" w:hAnsiTheme="minorHAnsi"/>
          <w:sz w:val="28"/>
          <w:szCs w:val="28"/>
        </w:rPr>
        <w:lastRenderedPageBreak/>
        <w:t>apartatu jakin batzuk dira.</w:t>
      </w:r>
    </w:p>
    <w:p w:rsidR="00DE6839" w:rsidRPr="00B02557" w:rsidRDefault="00DE6839" w:rsidP="00DE6839">
      <w:pPr>
        <w:pStyle w:val="Estilo"/>
        <w:spacing w:after="200" w:line="320" w:lineRule="exact"/>
        <w:jc w:val="center"/>
        <w:rPr>
          <w:rFonts w:asciiTheme="minorHAnsi" w:hAnsiTheme="minorHAnsi"/>
          <w:b/>
          <w:sz w:val="28"/>
          <w:szCs w:val="28"/>
        </w:rPr>
      </w:pPr>
      <w:r>
        <w:rPr>
          <w:rFonts w:asciiTheme="minorHAnsi" w:hAnsiTheme="minorHAnsi"/>
          <w:b/>
          <w:sz w:val="28"/>
          <w:szCs w:val="28"/>
        </w:rPr>
        <w:t>Xedapenen glosarioa</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36. artikulua. Arau-hauste larriak.</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3. Desordenak eragitea erabilera publikoko bide, eremu edo establezimenduetan edo bide publikoan oztopoak jartzea, hala nola hiri-altzariak, ibilgailuak, edukiontziak, pneumatikoak edo bestelako objektuak, bi kasuetan herritarren segurtasuna larriki nahasten denean.</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6. Agintaritzari edo beren eginkizunetan ari diren agintaritzaren agenteei ez obeditzea edo aurka egitea, betiere delitua ez bada, bai eta identifikatzeari uko egitea agintaritzak edo bere agenteek eskatutakoan edota datu faltsuak edo okerrak ematea identifikazio-prozesuetan.</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 xml:space="preserve">16. Droga toxikoak, estupefazienteak edo substantzia </w:t>
      </w:r>
      <w:proofErr w:type="spellStart"/>
      <w:r>
        <w:rPr>
          <w:rFonts w:asciiTheme="minorHAnsi" w:hAnsiTheme="minorHAnsi"/>
          <w:i/>
          <w:sz w:val="28"/>
          <w:szCs w:val="28"/>
        </w:rPr>
        <w:t>psikotropikoak</w:t>
      </w:r>
      <w:proofErr w:type="spellEnd"/>
      <w:r>
        <w:rPr>
          <w:rFonts w:asciiTheme="minorHAnsi" w:hAnsiTheme="minorHAnsi"/>
          <w:i/>
          <w:sz w:val="28"/>
          <w:szCs w:val="28"/>
        </w:rPr>
        <w:t xml:space="preserve"> leku, bide, establezimendu edo garraio publikoetan kontsumitzea edo modu ez-zilegian edukitzea </w:t>
      </w:r>
      <w:proofErr w:type="spellStart"/>
      <w:r>
        <w:rPr>
          <w:rFonts w:asciiTheme="minorHAnsi" w:hAnsiTheme="minorHAnsi"/>
          <w:i/>
          <w:sz w:val="28"/>
          <w:szCs w:val="28"/>
        </w:rPr>
        <w:t>–nahiz</w:t>
      </w:r>
      <w:proofErr w:type="spellEnd"/>
      <w:r>
        <w:rPr>
          <w:rFonts w:asciiTheme="minorHAnsi" w:hAnsiTheme="minorHAnsi"/>
          <w:i/>
          <w:sz w:val="28"/>
          <w:szCs w:val="28"/>
        </w:rPr>
        <w:t xml:space="preserve"> eta trafikatzeko asmorik izan </w:t>
      </w:r>
      <w:proofErr w:type="spellStart"/>
      <w:r>
        <w:rPr>
          <w:rFonts w:asciiTheme="minorHAnsi" w:hAnsiTheme="minorHAnsi"/>
          <w:i/>
          <w:sz w:val="28"/>
          <w:szCs w:val="28"/>
        </w:rPr>
        <w:t>ez–</w:t>
      </w:r>
      <w:proofErr w:type="spellEnd"/>
      <w:r>
        <w:rPr>
          <w:rFonts w:asciiTheme="minorHAnsi" w:hAnsiTheme="minorHAnsi"/>
          <w:i/>
          <w:sz w:val="28"/>
          <w:szCs w:val="28"/>
        </w:rPr>
        <w:t>, bai eta aipatutako lekuetan horiek kontsumitzeko erabilitako gailuak edo tresnak abandonatzea ere.</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 xml:space="preserve">18. Droga toxikoak, estupefazienteak edo substantzia </w:t>
      </w:r>
      <w:proofErr w:type="spellStart"/>
      <w:r>
        <w:rPr>
          <w:rFonts w:asciiTheme="minorHAnsi" w:hAnsiTheme="minorHAnsi"/>
          <w:i/>
          <w:sz w:val="28"/>
          <w:szCs w:val="28"/>
        </w:rPr>
        <w:t>psikotropikoak</w:t>
      </w:r>
      <w:proofErr w:type="spellEnd"/>
      <w:r>
        <w:rPr>
          <w:rFonts w:asciiTheme="minorHAnsi" w:hAnsiTheme="minorHAnsi"/>
          <w:i/>
          <w:sz w:val="28"/>
          <w:szCs w:val="28"/>
        </w:rPr>
        <w:t xml:space="preserve"> modu ez-zilegian landatu edo laboratzeko ekintzak, jendeak ikusteko moduko tokietan egiten badira, arau-hauste penala ez direnean.</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37. artikulua. Arau-hauste arinak.</w:t>
      </w:r>
    </w:p>
    <w:p w:rsidR="00DE6839" w:rsidRPr="00B02557" w:rsidRDefault="00DE6839" w:rsidP="00DE6839">
      <w:pPr>
        <w:pStyle w:val="Estilo"/>
        <w:spacing w:after="200" w:line="320" w:lineRule="exact"/>
        <w:ind w:left="720"/>
        <w:rPr>
          <w:rFonts w:asciiTheme="minorHAnsi" w:hAnsiTheme="minorHAnsi"/>
          <w:i/>
          <w:sz w:val="28"/>
          <w:szCs w:val="28"/>
        </w:rPr>
      </w:pPr>
      <w:r>
        <w:rPr>
          <w:rFonts w:asciiTheme="minorHAnsi" w:hAnsiTheme="minorHAnsi"/>
          <w:i/>
          <w:sz w:val="28"/>
          <w:szCs w:val="28"/>
        </w:rPr>
        <w:t xml:space="preserve">4. Segurtasuna babesteko eginkizunetan ari diren segurtasun indar eta kidegoetako </w:t>
      </w:r>
      <w:proofErr w:type="spellStart"/>
      <w:r>
        <w:rPr>
          <w:rFonts w:asciiTheme="minorHAnsi" w:hAnsiTheme="minorHAnsi"/>
          <w:i/>
          <w:sz w:val="28"/>
          <w:szCs w:val="28"/>
        </w:rPr>
        <w:t>kide</w:t>
      </w:r>
      <w:proofErr w:type="spellEnd"/>
      <w:r>
        <w:rPr>
          <w:rFonts w:asciiTheme="minorHAnsi" w:hAnsiTheme="minorHAnsi"/>
          <w:i/>
          <w:sz w:val="28"/>
          <w:szCs w:val="28"/>
        </w:rPr>
        <w:t xml:space="preserve"> bati eginiko errespetu eta begirune faltak, arau-hauste penala ez direnean.</w:t>
      </w:r>
    </w:p>
    <w:p w:rsidR="00DE6839" w:rsidRPr="00C26E0D"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4. Aipatu artikuluen apartatuetako bakoitzeko zenbat zehapen-espediente ireki dira lege organikoa indarrean sartu zenetik?</w:t>
      </w:r>
    </w:p>
    <w:tbl>
      <w:tblPr>
        <w:tblW w:w="0" w:type="auto"/>
        <w:jc w:val="center"/>
        <w:tblInd w:w="5" w:type="dxa"/>
        <w:tblLayout w:type="fixed"/>
        <w:tblCellMar>
          <w:left w:w="0" w:type="dxa"/>
          <w:right w:w="0" w:type="dxa"/>
        </w:tblCellMar>
        <w:tblLook w:val="0000" w:firstRow="0" w:lastRow="0" w:firstColumn="0" w:lastColumn="0" w:noHBand="0" w:noVBand="0"/>
      </w:tblPr>
      <w:tblGrid>
        <w:gridCol w:w="1017"/>
        <w:gridCol w:w="1142"/>
        <w:gridCol w:w="1018"/>
        <w:gridCol w:w="1018"/>
        <w:gridCol w:w="1017"/>
        <w:gridCol w:w="1047"/>
        <w:gridCol w:w="1156"/>
      </w:tblGrid>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Urtea</w:t>
            </w:r>
          </w:p>
        </w:tc>
        <w:tc>
          <w:tcPr>
            <w:tcW w:w="1142" w:type="dxa"/>
            <w:tcBorders>
              <w:top w:val="single" w:sz="4" w:space="0" w:color="auto"/>
              <w:left w:val="single" w:sz="4" w:space="0" w:color="auto"/>
              <w:bottom w:val="single" w:sz="4" w:space="0" w:color="auto"/>
              <w:right w:val="nil"/>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p>
        </w:tc>
        <w:tc>
          <w:tcPr>
            <w:tcW w:w="4100" w:type="dxa"/>
            <w:gridSpan w:val="4"/>
            <w:tcBorders>
              <w:top w:val="single" w:sz="4" w:space="0" w:color="auto"/>
              <w:left w:val="nil"/>
              <w:bottom w:val="single" w:sz="4" w:space="0" w:color="auto"/>
              <w:right w:val="nil"/>
            </w:tcBorders>
            <w:vAlign w:val="center"/>
          </w:tcPr>
          <w:p w:rsidR="00DE6839" w:rsidRPr="00B02557" w:rsidRDefault="00DE6839" w:rsidP="00471176">
            <w:pPr>
              <w:pStyle w:val="Estilo"/>
              <w:spacing w:before="20" w:after="20"/>
              <w:jc w:val="center"/>
              <w:rPr>
                <w:rFonts w:asciiTheme="minorHAnsi" w:hAnsiTheme="minorHAnsi"/>
                <w:b/>
                <w:sz w:val="18"/>
                <w:szCs w:val="18"/>
              </w:rPr>
            </w:pPr>
            <w:proofErr w:type="spellStart"/>
            <w:r>
              <w:rPr>
                <w:rFonts w:asciiTheme="minorHAnsi" w:hAnsiTheme="minorHAnsi"/>
                <w:b/>
                <w:sz w:val="18"/>
                <w:szCs w:val="18"/>
              </w:rPr>
              <w:t>HSBLOren</w:t>
            </w:r>
            <w:proofErr w:type="spellEnd"/>
            <w:r>
              <w:rPr>
                <w:rFonts w:asciiTheme="minorHAnsi" w:hAnsiTheme="minorHAnsi"/>
                <w:b/>
                <w:sz w:val="18"/>
                <w:szCs w:val="18"/>
              </w:rPr>
              <w:t xml:space="preserve"> xedapena</w:t>
            </w:r>
          </w:p>
        </w:tc>
        <w:tc>
          <w:tcPr>
            <w:tcW w:w="1156" w:type="dxa"/>
            <w:tcBorders>
              <w:top w:val="single" w:sz="4" w:space="0" w:color="auto"/>
              <w:left w:val="nil"/>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lang w:val="es-ES_tradnl"/>
              </w:rPr>
            </w:pP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36.16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36.6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37.4</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36.3</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36.18</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b/>
                <w:sz w:val="18"/>
                <w:szCs w:val="18"/>
              </w:rPr>
            </w:pPr>
            <w:r>
              <w:rPr>
                <w:rFonts w:asciiTheme="minorHAnsi" w:hAnsiTheme="minorHAnsi"/>
                <w:b/>
                <w:sz w:val="18"/>
                <w:szCs w:val="18"/>
              </w:rPr>
              <w:t>Beste batzuk</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2015</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0</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2016</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1.320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60</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6</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6</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o</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8</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2017</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2.007</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44</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47</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38</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o</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6</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2018</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2.207</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79</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83</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49</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8</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2019</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2.043</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86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51</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15</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3</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9</w:t>
            </w:r>
          </w:p>
        </w:tc>
      </w:tr>
      <w:tr w:rsidR="00DE6839" w:rsidRPr="00B02557" w:rsidTr="00471176">
        <w:trPr>
          <w:trHeight w:val="20"/>
          <w:jc w:val="center"/>
        </w:trPr>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2020</w:t>
            </w:r>
          </w:p>
        </w:tc>
        <w:tc>
          <w:tcPr>
            <w:tcW w:w="1142"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317</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6</w:t>
            </w:r>
          </w:p>
        </w:tc>
        <w:tc>
          <w:tcPr>
            <w:tcW w:w="1018"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3</w:t>
            </w:r>
          </w:p>
        </w:tc>
        <w:tc>
          <w:tcPr>
            <w:tcW w:w="101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2</w:t>
            </w:r>
          </w:p>
        </w:tc>
        <w:tc>
          <w:tcPr>
            <w:tcW w:w="1047"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o</w:t>
            </w:r>
          </w:p>
        </w:tc>
        <w:tc>
          <w:tcPr>
            <w:tcW w:w="1156" w:type="dxa"/>
            <w:tcBorders>
              <w:top w:val="single" w:sz="4" w:space="0" w:color="auto"/>
              <w:left w:val="single" w:sz="4" w:space="0" w:color="auto"/>
              <w:bottom w:val="single" w:sz="4" w:space="0" w:color="auto"/>
              <w:right w:val="single" w:sz="4" w:space="0" w:color="auto"/>
            </w:tcBorders>
            <w:vAlign w:val="center"/>
          </w:tcPr>
          <w:p w:rsidR="00DE6839" w:rsidRPr="00B02557" w:rsidRDefault="00DE6839" w:rsidP="00471176">
            <w:pPr>
              <w:pStyle w:val="Estilo"/>
              <w:spacing w:before="20" w:after="20"/>
              <w:jc w:val="center"/>
              <w:rPr>
                <w:rFonts w:asciiTheme="minorHAnsi" w:hAnsiTheme="minorHAnsi"/>
                <w:sz w:val="18"/>
                <w:szCs w:val="18"/>
              </w:rPr>
            </w:pPr>
            <w:r>
              <w:rPr>
                <w:rFonts w:asciiTheme="minorHAnsi" w:hAnsiTheme="minorHAnsi"/>
                <w:sz w:val="18"/>
                <w:szCs w:val="18"/>
              </w:rPr>
              <w:t>1</w:t>
            </w:r>
          </w:p>
        </w:tc>
      </w:tr>
    </w:tbl>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Hori jakinarazten da behar diren ondorioak izan ditzan.</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Iruñean, 2020ko maiatzaren 15ean</w:t>
      </w:r>
    </w:p>
    <w:p w:rsidR="00DE6839" w:rsidRDefault="00DE6839" w:rsidP="00DE6839">
      <w:pPr>
        <w:pStyle w:val="Estilo"/>
        <w:spacing w:after="200" w:line="320" w:lineRule="exact"/>
        <w:rPr>
          <w:rFonts w:asciiTheme="minorHAnsi" w:hAnsiTheme="minorHAnsi"/>
          <w:sz w:val="28"/>
          <w:szCs w:val="28"/>
        </w:rPr>
      </w:pPr>
      <w:r>
        <w:rPr>
          <w:rFonts w:asciiTheme="minorHAnsi" w:hAnsiTheme="minorHAnsi"/>
          <w:sz w:val="28"/>
          <w:szCs w:val="28"/>
        </w:rPr>
        <w:t xml:space="preserve">Barneko Araubide Juridikoaren Zerbitzuko zuzendaria: María Pilar </w:t>
      </w:r>
      <w:proofErr w:type="spellStart"/>
      <w:r>
        <w:rPr>
          <w:rFonts w:asciiTheme="minorHAnsi" w:hAnsiTheme="minorHAnsi"/>
          <w:sz w:val="28"/>
          <w:szCs w:val="28"/>
        </w:rPr>
        <w:t>Zapico</w:t>
      </w:r>
      <w:proofErr w:type="spellEnd"/>
      <w:r>
        <w:rPr>
          <w:rFonts w:asciiTheme="minorHAnsi" w:hAnsiTheme="minorHAnsi"/>
          <w:sz w:val="28"/>
          <w:szCs w:val="28"/>
        </w:rPr>
        <w:t xml:space="preserve"> Revuelta</w:t>
      </w:r>
    </w:p>
    <w:p w:rsidR="005D6830" w:rsidRDefault="00DE6839" w:rsidP="00DE6839">
      <w:r>
        <w:rPr>
          <w:rFonts w:asciiTheme="minorHAnsi" w:hAnsiTheme="minorHAnsi"/>
          <w:sz w:val="28"/>
          <w:szCs w:val="28"/>
        </w:rPr>
        <w:t xml:space="preserve">(Oharra: Txosten honetan agertzen diren datuak Nafarroako Gobernuaren Zehapen Prozedurarako </w:t>
      </w:r>
      <w:proofErr w:type="spellStart"/>
      <w:r>
        <w:rPr>
          <w:rFonts w:asciiTheme="minorHAnsi" w:hAnsiTheme="minorHAnsi"/>
          <w:sz w:val="28"/>
          <w:szCs w:val="28"/>
        </w:rPr>
        <w:t>Extr</w:t>
      </w:r>
      <w:proofErr w:type="spellEnd"/>
      <w:r>
        <w:rPr>
          <w:rFonts w:asciiTheme="minorHAnsi" w:hAnsiTheme="minorHAnsi"/>
          <w:sz w:val="28"/>
          <w:szCs w:val="28"/>
        </w:rPr>
        <w:t>@ Espedienteen Kudeatzailetik atera dira.</w:t>
      </w:r>
      <w:bookmarkEnd w:id="0"/>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39"/>
    <w:rsid w:val="000957E2"/>
    <w:rsid w:val="004D7F0B"/>
    <w:rsid w:val="005D6830"/>
    <w:rsid w:val="009311FC"/>
    <w:rsid w:val="00DE6839"/>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39"/>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E6839"/>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styleId="Textoennegrita">
    <w:name w:val="Strong"/>
    <w:uiPriority w:val="22"/>
    <w:qFormat/>
    <w:rsid w:val="00DE6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39"/>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E6839"/>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styleId="Textoennegrita">
    <w:name w:val="Strong"/>
    <w:uiPriority w:val="22"/>
    <w:qFormat/>
    <w:rsid w:val="00DE6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2</cp:revision>
  <dcterms:created xsi:type="dcterms:W3CDTF">2020-05-27T15:43:00Z</dcterms:created>
  <dcterms:modified xsi:type="dcterms:W3CDTF">2020-05-27T15:43:00Z</dcterms:modified>
</cp:coreProperties>
</file>