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hace un llamamiento para que sea la palabra y la cortesía parlamentaria la que presida los debates políticos frente a la descalificación y la violencia observadas en las últimas semanas en el ámbito nacional.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reafirma en la defensa de la pluralidad de las diferentes visiones políticas de nuestra comunidad y las considera enriquecedoras desde todos los puntos de vista.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Que los llamamientos a la criminalización sobre diferentes identidades políticas suponen un evidente riesgo para la convivencia pacífica a nivel nacional, autonómico y municipal y deberían desterrarse del debate político” (10-20/DEC-00036).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junio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