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17 de agosto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ayudas al sector vitivinícola,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17 de agosto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al amparo de lo dispuesto en el Reglamento de esta Cámara, presenta la siguiente pregunta oral con el fin de que sea respondida en el Pleno de esta Cámara por la Consejera del Departamento de Desarrollo Rural y Medio Ambiente.</w:t>
      </w:r>
    </w:p>
    <w:p>
      <w:pPr>
        <w:pStyle w:val="0"/>
        <w:suppressAutoHyphens w:val="false"/>
        <w:rPr>
          <w:rStyle w:val="1"/>
        </w:rPr>
      </w:pPr>
      <w:r>
        <w:rPr>
          <w:rStyle w:val="1"/>
        </w:rPr>
        <w:t xml:space="preserve">El Departamento de Desarrollo Rural y Medio Ambiente ha puesto en marcha una batería de medidas de apoyo al sector vitivinícola por importe de 4,3 millones de euros, entre ellas está la principal medida de esta batería, dotada de 2 millones de euros, que consiste en ayudas directas a agricultores y PYME especialmente afectados por la crisis de la covid-19 con el objetivo de garantizar la competitividad de las empresas agrícolas y la viabilidad a de las explotaciones agrarias.</w:t>
      </w:r>
    </w:p>
    <w:p>
      <w:pPr>
        <w:pStyle w:val="0"/>
        <w:suppressAutoHyphens w:val="false"/>
        <w:rPr>
          <w:rStyle w:val="1"/>
        </w:rPr>
      </w:pPr>
      <w:r>
        <w:rPr>
          <w:rStyle w:val="1"/>
        </w:rPr>
        <w:t xml:space="preserve">¿Con base en qué criterios se van a conceder dichas ayudas y cómo se va a garantizar la competitividad de los agricultores en el mercado por medio de ellas?</w:t>
      </w:r>
    </w:p>
    <w:p>
      <w:pPr>
        <w:pStyle w:val="0"/>
        <w:suppressAutoHyphens w:val="false"/>
        <w:rPr>
          <w:rStyle w:val="1"/>
        </w:rPr>
      </w:pPr>
      <w:r>
        <w:rPr>
          <w:rStyle w:val="1"/>
        </w:rPr>
        <w:t xml:space="preserve">Pamplona, a 3 de agosto de 2020.</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