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Elena Llorente Trujillo andreak aurkeztutako galdera, Europar Batasunak ezartzen dituen printzipioak betetzeko beharrezkoa den ingurumen-araudia onesteari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Yolanda Ibáñez Pérez andreak, Legebiltzarreko Erregelamenduko 190, 191 eta 192. artikuluetan ezarritakoaren babesean, honako galdera hau aurkezten du, Landa Garapeneko eta Ingurumeneko kontseilariak hurrengo Osoko Bilkuran ahoz erantzun dezan:</w:t>
      </w:r>
    </w:p>
    <w:p>
      <w:pPr>
        <w:pStyle w:val="0"/>
        <w:suppressAutoHyphens w:val="false"/>
        <w:rPr>
          <w:rStyle w:val="1"/>
        </w:rPr>
      </w:pPr>
      <w:r>
        <w:rPr>
          <w:rStyle w:val="1"/>
        </w:rPr>
        <w:t xml:space="preserve">Landa Garapeneko eta Ingurumeneko kontseilariak zer aurreikuspen darabil Europar Batasuna ezartzen ari den printzipioak betetzeko beharrezkoa dugun ingurumen-garapen osoa oinarritzeko arau-esparrua onesteari begira?</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Elena Llorente Trujillo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