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4C" w:rsidRDefault="0094264C" w:rsidP="007D7BBA">
      <w:pPr>
        <w:tabs>
          <w:tab w:val="left" w:pos="3780"/>
        </w:tabs>
        <w:spacing w:line="288" w:lineRule="auto"/>
        <w:rPr>
          <w:rFonts w:ascii="Century Gothic" w:hAnsi="Century Gothic"/>
          <w:sz w:val="24"/>
          <w:szCs w:val="24"/>
        </w:rPr>
      </w:pPr>
      <w:r>
        <w:rPr>
          <w:rFonts w:ascii="Century Gothic" w:hAnsi="Century Gothic"/>
          <w:sz w:val="24"/>
          <w:szCs w:val="24"/>
        </w:rPr>
        <w:t>3 de julio</w:t>
      </w:r>
    </w:p>
    <w:p w:rsidR="0094264C" w:rsidRDefault="007D7BBA" w:rsidP="007D7BBA">
      <w:pPr>
        <w:tabs>
          <w:tab w:val="left" w:pos="3780"/>
        </w:tabs>
        <w:spacing w:line="288" w:lineRule="auto"/>
        <w:rPr>
          <w:rFonts w:ascii="Century Gothic" w:hAnsi="Century Gothic"/>
          <w:sz w:val="24"/>
          <w:szCs w:val="24"/>
        </w:rPr>
      </w:pPr>
      <w:r w:rsidRPr="007D7BBA">
        <w:rPr>
          <w:rFonts w:ascii="Century Gothic" w:hAnsi="Century Gothic"/>
          <w:sz w:val="24"/>
          <w:szCs w:val="24"/>
        </w:rPr>
        <w:t xml:space="preserve">La Consejera de Salud del Gobierno de Navarra, en relación con la pregunta escrita (10-20-PES-00113)  presentada por la Parlamentaria Foral Ilma. Sra. Bakartxo Ruiz Jaso, adscrita al Grupo Parlamentario de EH </w:t>
      </w:r>
      <w:r w:rsidR="007947CA" w:rsidRPr="007D7BBA">
        <w:rPr>
          <w:rFonts w:ascii="Century Gothic" w:hAnsi="Century Gothic"/>
          <w:sz w:val="24"/>
          <w:szCs w:val="24"/>
        </w:rPr>
        <w:t>Bildu Nafarroa</w:t>
      </w:r>
      <w:r w:rsidRPr="007D7BBA">
        <w:rPr>
          <w:rFonts w:ascii="Century Gothic" w:hAnsi="Century Gothic"/>
          <w:sz w:val="24"/>
          <w:szCs w:val="24"/>
        </w:rPr>
        <w:t xml:space="preserve">, </w:t>
      </w:r>
      <w:bookmarkStart w:id="0" w:name="_GoBack"/>
      <w:bookmarkEnd w:id="0"/>
      <w:r w:rsidRPr="007D7BBA">
        <w:rPr>
          <w:rFonts w:ascii="Century Gothic" w:hAnsi="Century Gothic"/>
          <w:sz w:val="24"/>
          <w:szCs w:val="24"/>
        </w:rPr>
        <w:t>que solicita “información en el ámbito de las adicciones, especialmente en el del juego patológico o ludopatía online o las conductas y comportamientos adictivos relacionados con las pantallas, etc.”, tiene el honor de remitirle la siguiente información:</w:t>
      </w:r>
    </w:p>
    <w:p w:rsidR="0094264C" w:rsidRDefault="00D5439F" w:rsidP="007D7BBA">
      <w:pPr>
        <w:spacing w:after="0" w:line="288" w:lineRule="auto"/>
        <w:rPr>
          <w:rFonts w:ascii="Century Gothic" w:hAnsi="Century Gothic"/>
          <w:caps/>
          <w:color w:val="9BBB59"/>
          <w:sz w:val="24"/>
          <w:szCs w:val="24"/>
        </w:rPr>
      </w:pPr>
      <w:r w:rsidRPr="007D7BBA">
        <w:rPr>
          <w:rFonts w:ascii="Century Gothic" w:hAnsi="Century Gothic" w:cs="Tahoma"/>
          <w:b/>
          <w:sz w:val="24"/>
          <w:szCs w:val="24"/>
        </w:rPr>
        <w:t xml:space="preserve">1. </w:t>
      </w:r>
      <w:r w:rsidRPr="007D7BBA">
        <w:rPr>
          <w:rFonts w:ascii="Century Gothic" w:hAnsi="Century Gothic" w:cs="Tahoma"/>
          <w:sz w:val="24"/>
          <w:szCs w:val="24"/>
        </w:rPr>
        <w:t>¿Dispone el Gobierno de Navarra de datos, información o algún tipo de estudio que permita conocer la incidencia que ha tenido, que está teniendo o puede tener la situación provocada por el COVID-19 en el ámbito de las adicciones, especialmente en el del juego patológico o ludopatía online o las conductas y comportamientos adictivos relacionados con las pantallas?</w:t>
      </w:r>
    </w:p>
    <w:p w:rsidR="00D5439F" w:rsidRPr="007D7BBA" w:rsidRDefault="00D5439F" w:rsidP="007D7BBA">
      <w:pPr>
        <w:spacing w:after="120" w:line="288" w:lineRule="auto"/>
        <w:rPr>
          <w:rFonts w:ascii="Century Gothic" w:hAnsi="Century Gothic" w:cs="Tahoma"/>
          <w:sz w:val="24"/>
          <w:szCs w:val="24"/>
        </w:rPr>
      </w:pPr>
      <w:r w:rsidRPr="007D7BBA">
        <w:rPr>
          <w:rFonts w:ascii="Century Gothic" w:hAnsi="Century Gothic" w:cs="Tahoma"/>
          <w:sz w:val="24"/>
          <w:szCs w:val="24"/>
        </w:rPr>
        <w:t xml:space="preserve">El </w:t>
      </w:r>
      <w:r w:rsidRPr="007D7BBA">
        <w:rPr>
          <w:rFonts w:ascii="Century Gothic" w:hAnsi="Century Gothic" w:cs="Tahoma"/>
          <w:i/>
          <w:sz w:val="24"/>
          <w:szCs w:val="24"/>
        </w:rPr>
        <w:t>III Plan de Prevención: Drogas y Adicciones</w:t>
      </w:r>
      <w:r w:rsidRPr="007D7BBA">
        <w:rPr>
          <w:rFonts w:ascii="Century Gothic" w:hAnsi="Century Gothic" w:cs="Tahoma"/>
          <w:sz w:val="24"/>
          <w:szCs w:val="24"/>
        </w:rPr>
        <w:t xml:space="preserve">, al igual que lo hiciera su precedente, en el marco de las acciones destinadas a prevenir e incidir sobre los consumos relacionados con el alcohol, tabaco y cannabis así mismo como prevenir las adicciones sin sustancia contempla la “Socialización del conocimiento, formación e investigación” del fenómeno de las adicciones. Para el ISPLN y el Servicio de Promoción de la Salud Comunitaria la investigación se plantea además como acción continua y  durante el periodo de confinamiento ha llevado a cabo dos estudios sobre la incidencia en las conductas relacionadas con los estilos de vida que afectan al bienestar y la salud de la población: </w:t>
      </w:r>
    </w:p>
    <w:p w:rsidR="00D5439F" w:rsidRPr="007D7BBA" w:rsidRDefault="00D5439F" w:rsidP="007D7BBA">
      <w:pPr>
        <w:pStyle w:val="Prrafodelista"/>
        <w:numPr>
          <w:ilvl w:val="0"/>
          <w:numId w:val="6"/>
        </w:numPr>
        <w:spacing w:after="120" w:line="288" w:lineRule="auto"/>
        <w:jc w:val="both"/>
        <w:rPr>
          <w:rFonts w:ascii="Century Gothic" w:hAnsi="Century Gothic" w:cs="Tahoma"/>
          <w:b/>
          <w:sz w:val="24"/>
          <w:szCs w:val="24"/>
        </w:rPr>
      </w:pPr>
      <w:r w:rsidRPr="007D7BBA">
        <w:rPr>
          <w:rFonts w:ascii="Century Gothic" w:hAnsi="Century Gothic" w:cs="Tahoma"/>
          <w:b/>
          <w:sz w:val="24"/>
          <w:szCs w:val="24"/>
        </w:rPr>
        <w:t xml:space="preserve">Estudio sobre el estado de salud de la población adulta de Navarra durante el confinamiento. </w:t>
      </w:r>
      <w:r w:rsidRPr="007D7BBA">
        <w:rPr>
          <w:rFonts w:ascii="Century Gothic" w:hAnsi="Century Gothic" w:cs="Tahoma"/>
          <w:sz w:val="24"/>
          <w:szCs w:val="24"/>
        </w:rPr>
        <w:t xml:space="preserve">Población de 18 y más años. </w:t>
      </w:r>
    </w:p>
    <w:p w:rsidR="00D5439F" w:rsidRPr="007D7BBA" w:rsidRDefault="00D5439F" w:rsidP="007D7BBA">
      <w:pPr>
        <w:pStyle w:val="Prrafodelista"/>
        <w:numPr>
          <w:ilvl w:val="0"/>
          <w:numId w:val="6"/>
        </w:numPr>
        <w:spacing w:after="120" w:line="288" w:lineRule="auto"/>
        <w:jc w:val="both"/>
        <w:rPr>
          <w:rFonts w:ascii="Century Gothic" w:hAnsi="Century Gothic" w:cs="Tahoma"/>
          <w:sz w:val="24"/>
          <w:szCs w:val="24"/>
        </w:rPr>
      </w:pPr>
      <w:r w:rsidRPr="007D7BBA">
        <w:rPr>
          <w:rFonts w:ascii="Century Gothic" w:hAnsi="Century Gothic" w:cs="Tahoma"/>
          <w:b/>
          <w:sz w:val="24"/>
          <w:szCs w:val="24"/>
        </w:rPr>
        <w:t>Recogida del Indicador de Urgencias</w:t>
      </w:r>
      <w:r w:rsidRPr="007D7BBA">
        <w:rPr>
          <w:rFonts w:ascii="Century Gothic" w:hAnsi="Century Gothic" w:cs="Tahoma"/>
          <w:sz w:val="24"/>
          <w:szCs w:val="24"/>
        </w:rPr>
        <w:t>. Número de atenciones en los centros de urgencias hospitalarios de Navarra relacionadas con “intoxicaciones” por drogas.</w:t>
      </w:r>
    </w:p>
    <w:p w:rsidR="00D5439F" w:rsidRPr="007D7BBA" w:rsidRDefault="00D5439F" w:rsidP="007D7BBA">
      <w:pPr>
        <w:spacing w:after="120" w:line="288" w:lineRule="auto"/>
        <w:ind w:left="360"/>
        <w:rPr>
          <w:rFonts w:ascii="Century Gothic" w:hAnsi="Century Gothic" w:cs="Tahoma"/>
          <w:sz w:val="24"/>
          <w:szCs w:val="24"/>
        </w:rPr>
      </w:pPr>
      <w:r w:rsidRPr="007D7BBA">
        <w:rPr>
          <w:rFonts w:ascii="Century Gothic" w:hAnsi="Century Gothic" w:cs="Tahoma"/>
          <w:sz w:val="24"/>
          <w:szCs w:val="24"/>
        </w:rPr>
        <w:t xml:space="preserve">También se ha realizado un estudio por el Instituto Navarro de la Juventud: </w:t>
      </w:r>
    </w:p>
    <w:p w:rsidR="0094264C" w:rsidRDefault="00D5439F" w:rsidP="007D7BBA">
      <w:pPr>
        <w:pStyle w:val="Prrafodelista"/>
        <w:spacing w:after="120" w:line="288" w:lineRule="auto"/>
        <w:jc w:val="both"/>
        <w:rPr>
          <w:rFonts w:ascii="Century Gothic" w:hAnsi="Century Gothic" w:cs="Tahoma"/>
          <w:sz w:val="24"/>
          <w:szCs w:val="24"/>
        </w:rPr>
      </w:pPr>
      <w:r w:rsidRPr="007D7BBA">
        <w:rPr>
          <w:rFonts w:ascii="Century Gothic" w:hAnsi="Century Gothic" w:cs="Tahoma"/>
          <w:b/>
          <w:sz w:val="24"/>
          <w:szCs w:val="24"/>
        </w:rPr>
        <w:t xml:space="preserve">Queremos Saber tu opinión. ¿Cómo llevas el día a día de este confinamiento, en qué empelas el tiempo? </w:t>
      </w:r>
      <w:r w:rsidRPr="007D7BBA">
        <w:rPr>
          <w:rFonts w:ascii="Century Gothic" w:hAnsi="Century Gothic" w:cs="Tahoma"/>
          <w:sz w:val="24"/>
          <w:szCs w:val="24"/>
        </w:rPr>
        <w:t>Encuesta dirigida a jóvenes de entre 14 y 30 años.</w:t>
      </w:r>
    </w:p>
    <w:p w:rsidR="0094264C" w:rsidRDefault="00D5439F" w:rsidP="007D7BBA">
      <w:pPr>
        <w:pStyle w:val="Prrafodelista"/>
        <w:numPr>
          <w:ilvl w:val="0"/>
          <w:numId w:val="7"/>
        </w:numPr>
        <w:spacing w:after="0" w:line="288" w:lineRule="auto"/>
        <w:jc w:val="both"/>
        <w:rPr>
          <w:rFonts w:ascii="Century Gothic" w:eastAsia="MS Mincho" w:hAnsi="Century Gothic" w:cs="Tahoma"/>
          <w:b/>
          <w:color w:val="943634"/>
          <w:sz w:val="24"/>
          <w:szCs w:val="24"/>
          <w:lang w:eastAsia="ja-JP"/>
        </w:rPr>
      </w:pPr>
      <w:r w:rsidRPr="007D7BBA">
        <w:rPr>
          <w:rFonts w:ascii="Century Gothic" w:eastAsia="MS Mincho" w:hAnsi="Century Gothic" w:cs="Tahoma"/>
          <w:b/>
          <w:color w:val="943634"/>
          <w:sz w:val="24"/>
          <w:szCs w:val="24"/>
          <w:lang w:eastAsia="ja-JP"/>
        </w:rPr>
        <w:t>ESTUDIO SOBRE ESTADO DE SALUD DE LA POBLACION ADULTA DE NAVARRA DURANTE EL CONFINAMIENTO</w:t>
      </w:r>
    </w:p>
    <w:p w:rsidR="0094264C" w:rsidRDefault="00D5439F" w:rsidP="007D7BBA">
      <w:pPr>
        <w:spacing w:after="0" w:line="288" w:lineRule="auto"/>
        <w:rPr>
          <w:rFonts w:ascii="Century Gothic" w:eastAsia="MS Mincho" w:hAnsi="Century Gothic" w:cs="Tahoma"/>
          <w:sz w:val="24"/>
          <w:szCs w:val="24"/>
          <w:lang w:eastAsia="ja-JP"/>
        </w:rPr>
      </w:pPr>
      <w:r w:rsidRPr="007D7BBA">
        <w:rPr>
          <w:rFonts w:ascii="Century Gothic" w:eastAsia="MS Mincho" w:hAnsi="Century Gothic" w:cs="Tahoma"/>
          <w:sz w:val="24"/>
          <w:szCs w:val="24"/>
          <w:lang w:eastAsia="ja-JP"/>
        </w:rPr>
        <w:lastRenderedPageBreak/>
        <w:t>Se trataba de una entrevista telefónica sobre un cuestionario de 25 preguntas con 3 apartados fundamentales entre los que se incluye Estilos de vida como alimentación, ejercicio, consumo de alcohol, tabaco y juego online.</w:t>
      </w:r>
    </w:p>
    <w:p w:rsidR="0094264C" w:rsidRDefault="00D5439F" w:rsidP="007D7BBA">
      <w:pPr>
        <w:spacing w:after="0" w:line="288" w:lineRule="auto"/>
        <w:rPr>
          <w:rFonts w:ascii="Century Gothic" w:eastAsia="MS Mincho" w:hAnsi="Century Gothic" w:cs="Tahoma"/>
          <w:sz w:val="24"/>
          <w:szCs w:val="24"/>
          <w:lang w:eastAsia="ja-JP"/>
        </w:rPr>
      </w:pPr>
      <w:r w:rsidRPr="007D7BBA">
        <w:rPr>
          <w:rFonts w:ascii="Century Gothic" w:eastAsia="MS Mincho" w:hAnsi="Century Gothic" w:cs="Tahoma"/>
          <w:sz w:val="24"/>
          <w:szCs w:val="24"/>
          <w:lang w:eastAsia="ja-JP"/>
        </w:rPr>
        <w:t>La METODOLOGÍA incluye una muestra representativa de la población mayor de 18 años por sexo, edad, zonas de Navarra y tamaño del municipio; 1200 personas en total, en 4 Olas de 300 entrevistas en cada semana del mes de abril. Encuesta telefónica.</w:t>
      </w:r>
    </w:p>
    <w:p w:rsidR="00D5439F" w:rsidRPr="007D7BBA" w:rsidRDefault="00D5439F" w:rsidP="007D7BBA">
      <w:pPr>
        <w:spacing w:after="120" w:line="288" w:lineRule="auto"/>
        <w:rPr>
          <w:rFonts w:ascii="Century Gothic" w:hAnsi="Century Gothic" w:cs="Tahoma"/>
          <w:b/>
          <w:sz w:val="24"/>
          <w:szCs w:val="24"/>
        </w:rPr>
      </w:pPr>
      <w:r w:rsidRPr="007D7BBA">
        <w:rPr>
          <w:rFonts w:ascii="Century Gothic" w:hAnsi="Century Gothic" w:cs="Tahoma"/>
          <w:b/>
          <w:sz w:val="24"/>
          <w:szCs w:val="24"/>
        </w:rPr>
        <w:t>Pregunta del cuestionario que guarda relación con la pregunta parlamentaria.</w:t>
      </w:r>
    </w:p>
    <w:p w:rsidR="00D5439F" w:rsidRPr="007D7BBA" w:rsidRDefault="00D5439F" w:rsidP="007D7BBA">
      <w:pPr>
        <w:spacing w:after="120" w:line="288" w:lineRule="auto"/>
        <w:rPr>
          <w:rFonts w:ascii="Century Gothic" w:hAnsi="Century Gothic" w:cs="Tahoma"/>
          <w:sz w:val="24"/>
          <w:szCs w:val="24"/>
        </w:rPr>
      </w:pPr>
      <w:r w:rsidRPr="007D7BBA">
        <w:rPr>
          <w:rFonts w:ascii="Century Gothic" w:hAnsi="Century Gothic" w:cs="Tahoma"/>
          <w:sz w:val="24"/>
          <w:szCs w:val="24"/>
        </w:rPr>
        <w:t xml:space="preserve">P12. ¿Podrías decirme cómo ha sido en estos días de confinamiento respecto a hace un mes las siguientes cuestiones, si lo has hecho </w:t>
      </w:r>
      <w:r w:rsidRPr="007D7BBA">
        <w:rPr>
          <w:rFonts w:ascii="Century Gothic" w:hAnsi="Century Gothic" w:cs="Tahoma"/>
          <w:b/>
          <w:sz w:val="24"/>
          <w:szCs w:val="24"/>
        </w:rPr>
        <w:t>más, igual o menos</w:t>
      </w:r>
      <w:r w:rsidRPr="007D7BBA">
        <w:rPr>
          <w:rFonts w:ascii="Century Gothic" w:hAnsi="Century Gothic" w:cs="Tahoma"/>
          <w:sz w:val="24"/>
          <w:szCs w:val="24"/>
        </w:rPr>
        <w:t xml:space="preserve">? Entre los ítems están: </w:t>
      </w:r>
      <w:r w:rsidRPr="007D7BBA">
        <w:rPr>
          <w:rFonts w:ascii="Century Gothic" w:hAnsi="Century Gothic" w:cs="Tahoma"/>
          <w:b/>
          <w:sz w:val="24"/>
          <w:szCs w:val="24"/>
        </w:rPr>
        <w:t>tabaco, alcohol y juego online</w:t>
      </w:r>
      <w:r w:rsidRPr="007D7BBA">
        <w:rPr>
          <w:rFonts w:ascii="Century Gothic" w:hAnsi="Century Gothic" w:cs="Tahoma"/>
          <w:sz w:val="24"/>
          <w:szCs w:val="24"/>
        </w:rPr>
        <w:t>.</w:t>
      </w:r>
    </w:p>
    <w:p w:rsidR="00D5439F" w:rsidRPr="007D7BBA" w:rsidRDefault="00D5439F" w:rsidP="007D7BBA">
      <w:pPr>
        <w:spacing w:after="120" w:line="288" w:lineRule="auto"/>
        <w:rPr>
          <w:rFonts w:ascii="Century Gothic" w:hAnsi="Century Gothic" w:cs="Tahoma"/>
          <w:sz w:val="24"/>
          <w:szCs w:val="24"/>
        </w:rPr>
      </w:pPr>
      <w:r w:rsidRPr="007D7BBA">
        <w:rPr>
          <w:rFonts w:ascii="Century Gothic" w:hAnsi="Century Gothic" w:cs="Tahoma"/>
          <w:sz w:val="24"/>
          <w:szCs w:val="24"/>
        </w:rPr>
        <w:t xml:space="preserve">(La definición de juego online es muy amplia, podría entenderse como juego </w:t>
      </w:r>
      <w:r w:rsidRPr="007D7BBA">
        <w:rPr>
          <w:rFonts w:ascii="Century Gothic" w:hAnsi="Century Gothic" w:cs="Tahoma"/>
          <w:noProof/>
          <w:sz w:val="24"/>
          <w:szCs w:val="24"/>
          <w:lang w:val="es-ES_tradnl" w:eastAsia="es-ES"/>
        </w:rPr>
        <w:t>con y sin apuestas que puede realizarse a través de PC, móvil o consolas, puede incluir por otra parte videojuegos que pueden practicarse en compañía de amistades o en solitario, etc.)</w:t>
      </w:r>
    </w:p>
    <w:p w:rsidR="00D5439F" w:rsidRPr="007D7BBA" w:rsidRDefault="00D5439F" w:rsidP="007D7BBA">
      <w:pPr>
        <w:spacing w:after="0" w:line="288" w:lineRule="auto"/>
        <w:rPr>
          <w:rFonts w:ascii="Century Gothic" w:hAnsi="Century Gothic" w:cs="Tahoma"/>
          <w:sz w:val="24"/>
          <w:szCs w:val="24"/>
          <w:lang w:val="es-ES_tradnl"/>
        </w:rPr>
      </w:pPr>
      <w:r w:rsidRPr="007D7BBA">
        <w:rPr>
          <w:rFonts w:ascii="Century Gothic" w:hAnsi="Century Gothic" w:cs="Tahoma"/>
          <w:sz w:val="24"/>
          <w:szCs w:val="24"/>
          <w:lang w:val="es-ES_tradnl"/>
        </w:rPr>
        <w:t xml:space="preserve">El 15% de las personas afirman que ha aumentado la conducta de </w:t>
      </w:r>
      <w:r w:rsidRPr="007D7BBA">
        <w:rPr>
          <w:rFonts w:ascii="Century Gothic" w:hAnsi="Century Gothic" w:cs="Tahoma"/>
          <w:b/>
          <w:sz w:val="24"/>
          <w:szCs w:val="24"/>
          <w:lang w:val="es-ES_tradnl"/>
        </w:rPr>
        <w:t>juego online</w:t>
      </w:r>
      <w:r w:rsidRPr="007D7BBA">
        <w:rPr>
          <w:rFonts w:ascii="Century Gothic" w:hAnsi="Century Gothic" w:cs="Tahoma"/>
          <w:sz w:val="24"/>
          <w:szCs w:val="24"/>
          <w:lang w:val="es-ES_tradnl"/>
        </w:rPr>
        <w:t xml:space="preserve"> durante el periodo de confinamiento respecto al mes anterior, mientras el 63%  de los encuestados no han llevado a cabo esta conducta. Por otro lado, no han modificado su conducta en relación al juego online el 20 %. Lo que podría indicar que para la mayor parte de la población encuestada el confinamiento no ha supuesto la entrada a una nueva conducta sino que ha contribuido a modificar las existentes, especialmente en las primeras semanas del confinamiento y no entre todas las personas que realizan algún tipo de juego online. </w:t>
      </w:r>
    </w:p>
    <w:p w:rsidR="00D5439F" w:rsidRPr="007D7BBA" w:rsidRDefault="00D5439F" w:rsidP="007D7BBA">
      <w:pPr>
        <w:tabs>
          <w:tab w:val="left" w:pos="1965"/>
        </w:tabs>
        <w:spacing w:line="288" w:lineRule="auto"/>
        <w:rPr>
          <w:rFonts w:ascii="Century Gothic" w:hAnsi="Century Gothic" w:cs="Tahoma"/>
          <w:sz w:val="24"/>
          <w:szCs w:val="24"/>
          <w:lang w:val="es-ES_tradnl"/>
        </w:rPr>
      </w:pPr>
      <w:r w:rsidRPr="007D7BBA">
        <w:rPr>
          <w:rFonts w:ascii="Century Gothic" w:hAnsi="Century Gothic" w:cs="Tahoma"/>
          <w:sz w:val="24"/>
          <w:szCs w:val="24"/>
          <w:lang w:val="es-ES_tradnl"/>
        </w:rPr>
        <w:t xml:space="preserve">Los mayores aumentos del juego online se produjeron entre los jóvenes de 18 a 30 años (un 47,4% de ellos) aumento que se mantiene estable durante todo el mes de abril para este grupo de edad. </w:t>
      </w:r>
    </w:p>
    <w:p w:rsidR="0094264C" w:rsidRDefault="00D5439F" w:rsidP="007D7BBA">
      <w:pPr>
        <w:spacing w:after="0" w:line="288" w:lineRule="auto"/>
        <w:rPr>
          <w:rFonts w:ascii="Century Gothic" w:hAnsi="Century Gothic" w:cs="Tahoma"/>
          <w:sz w:val="24"/>
          <w:szCs w:val="24"/>
          <w:lang w:val="es-ES_tradnl"/>
        </w:rPr>
      </w:pPr>
      <w:r w:rsidRPr="007D7BBA">
        <w:rPr>
          <w:rFonts w:ascii="Century Gothic" w:hAnsi="Century Gothic" w:cs="Tahoma"/>
          <w:sz w:val="24"/>
          <w:szCs w:val="24"/>
          <w:lang w:val="es-ES_tradnl"/>
        </w:rPr>
        <w:t xml:space="preserve">En relación al </w:t>
      </w:r>
      <w:r w:rsidRPr="007D7BBA">
        <w:rPr>
          <w:rFonts w:ascii="Century Gothic" w:hAnsi="Century Gothic" w:cs="Tahoma"/>
          <w:b/>
          <w:sz w:val="24"/>
          <w:szCs w:val="24"/>
          <w:lang w:val="es-ES_tradnl"/>
        </w:rPr>
        <w:t>alcohol</w:t>
      </w:r>
      <w:r w:rsidRPr="007D7BBA">
        <w:rPr>
          <w:rFonts w:ascii="Century Gothic" w:hAnsi="Century Gothic" w:cs="Tahoma"/>
          <w:sz w:val="24"/>
          <w:szCs w:val="24"/>
          <w:lang w:val="es-ES_tradnl"/>
        </w:rPr>
        <w:t xml:space="preserve"> el confinamiento ha supuesto en líneas generales un descenso significativo, descenso que se observa en todas las oleadas. Por otra parte, la proporción de quienes declaran haber consumido más alcohol se concentra entre los adultos jóvenes de 30 a 45 años, los hogares sin vínculo familiar y las familias monoparentales. </w:t>
      </w:r>
    </w:p>
    <w:p w:rsidR="00D5439F" w:rsidRPr="007D7BBA" w:rsidRDefault="00D5439F" w:rsidP="007D7BBA">
      <w:pPr>
        <w:spacing w:line="288" w:lineRule="auto"/>
        <w:rPr>
          <w:rFonts w:ascii="Century Gothic" w:hAnsi="Century Gothic" w:cs="Tahoma"/>
          <w:sz w:val="24"/>
          <w:szCs w:val="24"/>
          <w:lang w:val="es-ES_tradnl"/>
        </w:rPr>
      </w:pPr>
      <w:r w:rsidRPr="007D7BBA">
        <w:rPr>
          <w:rFonts w:ascii="Century Gothic" w:hAnsi="Century Gothic" w:cs="Tahoma"/>
          <w:sz w:val="24"/>
          <w:szCs w:val="24"/>
          <w:lang w:val="es-ES_tradnl"/>
        </w:rPr>
        <w:t xml:space="preserve">Respecto al consumo de </w:t>
      </w:r>
      <w:r w:rsidRPr="007D7BBA">
        <w:rPr>
          <w:rFonts w:ascii="Century Gothic" w:hAnsi="Century Gothic" w:cs="Tahoma"/>
          <w:b/>
          <w:sz w:val="24"/>
          <w:szCs w:val="24"/>
          <w:lang w:val="es-ES_tradnl"/>
        </w:rPr>
        <w:t>tabaco</w:t>
      </w:r>
      <w:r w:rsidRPr="007D7BBA">
        <w:rPr>
          <w:rFonts w:ascii="Century Gothic" w:hAnsi="Century Gothic" w:cs="Tahoma"/>
          <w:sz w:val="24"/>
          <w:szCs w:val="24"/>
          <w:lang w:val="es-ES_tradnl"/>
        </w:rPr>
        <w:t xml:space="preserve">, el 7,5% de los encuestados afirma haber consumido más tabaco, aumento que se concentra entre las personas de 30 a 45 años, encontrándose mayores proporciones </w:t>
      </w:r>
      <w:r w:rsidRPr="007D7BBA">
        <w:rPr>
          <w:rFonts w:ascii="Century Gothic" w:hAnsi="Century Gothic" w:cs="Tahoma"/>
          <w:sz w:val="24"/>
          <w:szCs w:val="24"/>
          <w:lang w:val="es-ES_tradnl"/>
        </w:rPr>
        <w:lastRenderedPageBreak/>
        <w:t>significativas de reducción del consumo entre los jóvenes de 18 a 29 años.</w:t>
      </w:r>
    </w:p>
    <w:p w:rsidR="00D5439F" w:rsidRPr="007D7BBA" w:rsidRDefault="00D5439F" w:rsidP="007D7BBA">
      <w:pPr>
        <w:pStyle w:val="Prrafodelista"/>
        <w:numPr>
          <w:ilvl w:val="0"/>
          <w:numId w:val="7"/>
        </w:numPr>
        <w:spacing w:after="0" w:line="288" w:lineRule="auto"/>
        <w:jc w:val="both"/>
        <w:rPr>
          <w:rFonts w:ascii="Century Gothic" w:eastAsia="MS Mincho" w:hAnsi="Century Gothic" w:cs="Tahoma"/>
          <w:b/>
          <w:color w:val="943634"/>
          <w:sz w:val="24"/>
          <w:szCs w:val="24"/>
          <w:lang w:eastAsia="ja-JP"/>
        </w:rPr>
      </w:pPr>
      <w:r w:rsidRPr="007D7BBA">
        <w:rPr>
          <w:rFonts w:ascii="Century Gothic" w:eastAsia="MS Mincho" w:hAnsi="Century Gothic" w:cs="Tahoma"/>
          <w:b/>
          <w:color w:val="943634"/>
          <w:sz w:val="24"/>
          <w:szCs w:val="24"/>
          <w:lang w:eastAsia="ja-JP"/>
        </w:rPr>
        <w:t>INDICADOR DE URGENCIAS</w:t>
      </w: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sz w:val="24"/>
          <w:szCs w:val="24"/>
          <w:lang w:eastAsia="ja-JP"/>
        </w:rPr>
        <w:t>El indicador recoge las atenciones en los servicios de urgencias hospitalarias debidas a intoxicaciones por sustancias. El protocolo y semanas de urgencias de cada mes son establecidas de manera aleatoria para todas las CCAA por el Plan Nacional sobre Drogas (en marcha desde 1987, Navarra comienza a recoger este indicador desde el año 2012)</w:t>
      </w:r>
    </w:p>
    <w:p w:rsidR="0094264C"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sz w:val="24"/>
          <w:szCs w:val="24"/>
          <w:lang w:eastAsia="ja-JP"/>
        </w:rPr>
        <w:t xml:space="preserve">Comparando la semana del mes de abril de 2019 con la del año 2020 se puede observar que la atención en urgencias ha sufrido una reducción drástica: los servicios de urgencias hospitalarias atendieron a 25 personas en la semana de 13 al 19 de abril del año 2019, en la semana del 15 al 21 de abril de 2020 han sido 4 el total de personas atendidas. </w:t>
      </w:r>
    </w:p>
    <w:p w:rsidR="00D5439F" w:rsidRPr="007D7BBA" w:rsidRDefault="00D5439F" w:rsidP="007D7BBA">
      <w:pPr>
        <w:pStyle w:val="Prrafodelista"/>
        <w:numPr>
          <w:ilvl w:val="0"/>
          <w:numId w:val="7"/>
        </w:numPr>
        <w:spacing w:after="0" w:line="288" w:lineRule="auto"/>
        <w:jc w:val="both"/>
        <w:rPr>
          <w:rFonts w:ascii="Century Gothic" w:eastAsia="MS Mincho" w:hAnsi="Century Gothic" w:cs="Tahoma"/>
          <w:b/>
          <w:color w:val="943634"/>
          <w:sz w:val="24"/>
          <w:szCs w:val="24"/>
          <w:lang w:eastAsia="ja-JP"/>
        </w:rPr>
      </w:pPr>
      <w:r w:rsidRPr="007D7BBA">
        <w:rPr>
          <w:rFonts w:ascii="Century Gothic" w:eastAsia="MS Mincho" w:hAnsi="Century Gothic" w:cs="Tahoma"/>
          <w:b/>
          <w:color w:val="943634"/>
          <w:sz w:val="24"/>
          <w:szCs w:val="24"/>
          <w:lang w:eastAsia="ja-JP"/>
        </w:rPr>
        <w:t>ESTUDIO CONFINAMIENTO INSTITUTO NAVARRO DE LA JUVENTUD</w:t>
      </w: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sz w:val="24"/>
          <w:szCs w:val="24"/>
          <w:lang w:eastAsia="ja-JP"/>
        </w:rPr>
        <w:t>En este estudio se preguntó por una serie de actividades relacionadas con el ocio, cuya frecuencia se ha incrementado, y son mayoría las personas jóvenes que dicen hacerlas más que antes del confinamiento. Se trata de ver películas o series, hablar o chatear con amistades o familiares, escuchar música, y jugar con videojuegos. En el resto de actividades de ocio se ha mantenido prácticamente el nivel de actividad previo al confinamiento.</w:t>
      </w:r>
    </w:p>
    <w:p w:rsidR="0094264C" w:rsidRDefault="00D5439F" w:rsidP="007D7BBA">
      <w:pPr>
        <w:autoSpaceDE w:val="0"/>
        <w:autoSpaceDN w:val="0"/>
        <w:adjustRightInd w:val="0"/>
        <w:spacing w:after="0" w:line="288" w:lineRule="auto"/>
        <w:rPr>
          <w:rFonts w:ascii="Century Gothic" w:hAnsi="Century Gothic" w:cs="Tahoma"/>
          <w:sz w:val="24"/>
          <w:szCs w:val="24"/>
          <w:lang w:eastAsia="ja-JP"/>
        </w:rPr>
      </w:pPr>
      <w:r w:rsidRPr="007D7BBA">
        <w:rPr>
          <w:rFonts w:ascii="Century Gothic" w:hAnsi="Century Gothic" w:cs="Tahoma"/>
          <w:sz w:val="24"/>
          <w:szCs w:val="24"/>
          <w:lang w:eastAsia="ja-JP"/>
        </w:rPr>
        <w:t xml:space="preserve">“Jugar con el ordenador, consolas o móvil”, el 70% de los chicos juega más frente al 56,5 % de las chicas (61,8% ambos sexos) </w:t>
      </w:r>
    </w:p>
    <w:p w:rsidR="00D5439F" w:rsidRPr="007D7BBA" w:rsidRDefault="00D5439F" w:rsidP="007D7BBA">
      <w:pPr>
        <w:pStyle w:val="Prrafodelista"/>
        <w:numPr>
          <w:ilvl w:val="0"/>
          <w:numId w:val="7"/>
        </w:numPr>
        <w:spacing w:line="288" w:lineRule="auto"/>
        <w:jc w:val="both"/>
        <w:rPr>
          <w:rFonts w:ascii="Century Gothic" w:eastAsia="MS Mincho" w:hAnsi="Century Gothic" w:cs="Tahoma"/>
          <w:b/>
          <w:color w:val="943634"/>
          <w:sz w:val="24"/>
          <w:szCs w:val="24"/>
          <w:lang w:eastAsia="ja-JP"/>
        </w:rPr>
      </w:pPr>
      <w:r w:rsidRPr="007D7BBA">
        <w:rPr>
          <w:rFonts w:ascii="Century Gothic" w:eastAsia="MS Mincho" w:hAnsi="Century Gothic" w:cs="Tahoma"/>
          <w:b/>
          <w:color w:val="943634"/>
          <w:sz w:val="24"/>
          <w:szCs w:val="24"/>
          <w:lang w:eastAsia="ja-JP"/>
        </w:rPr>
        <w:t>SEGUIMIENTO de estudios e investigaciones durante el periodo de confinamiento</w:t>
      </w: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sz w:val="24"/>
          <w:szCs w:val="24"/>
          <w:lang w:eastAsia="ja-JP"/>
        </w:rPr>
        <w:t>Por último añadir, que desde el comienzo del confinamiento se está haciendo seguimiento de los estudios iniciados por otras instituciones a nivel estatal y europeo:</w:t>
      </w: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b/>
          <w:color w:val="943634"/>
          <w:sz w:val="24"/>
          <w:szCs w:val="24"/>
          <w:lang w:eastAsia="ja-JP"/>
        </w:rPr>
        <w:t>El Observatorio Europeo de las Drogas y las Toxicomanías (OEDT)</w:t>
      </w:r>
      <w:r w:rsidRPr="007D7BBA">
        <w:rPr>
          <w:rFonts w:ascii="Century Gothic" w:hAnsi="Century Gothic" w:cs="Tahoma"/>
          <w:color w:val="943634"/>
          <w:sz w:val="24"/>
          <w:szCs w:val="24"/>
          <w:lang w:eastAsia="ja-JP"/>
        </w:rPr>
        <w:t xml:space="preserve"> </w:t>
      </w:r>
      <w:proofErr w:type="gramStart"/>
      <w:r w:rsidRPr="007D7BBA">
        <w:rPr>
          <w:rFonts w:ascii="Century Gothic" w:hAnsi="Century Gothic" w:cs="Tahoma"/>
          <w:sz w:val="24"/>
          <w:szCs w:val="24"/>
          <w:lang w:eastAsia="ja-JP"/>
        </w:rPr>
        <w:t>ha</w:t>
      </w:r>
      <w:proofErr w:type="gramEnd"/>
      <w:r w:rsidRPr="007D7BBA">
        <w:rPr>
          <w:rFonts w:ascii="Century Gothic" w:hAnsi="Century Gothic" w:cs="Tahoma"/>
          <w:sz w:val="24"/>
          <w:szCs w:val="24"/>
          <w:lang w:eastAsia="ja-JP"/>
        </w:rPr>
        <w:t xml:space="preserve"> creado un nuevo espacio en su página web para la publicación de datos ad hoc desde el inicio del COVID-19.  El OEDT instigó un estudio de tendencias de métodos mixtos para investigar la situación actual. Obtuvo 10.000 encuestas/respuesta de población de 18 o más años. </w:t>
      </w: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sz w:val="24"/>
          <w:szCs w:val="24"/>
          <w:lang w:eastAsia="ja-JP"/>
        </w:rPr>
        <w:t xml:space="preserve">Los resultados preliminares sugieren una disminución general en el uso de drogas, o algunas formas de uso de drogas, en Europa durante los </w:t>
      </w:r>
      <w:r w:rsidRPr="007D7BBA">
        <w:rPr>
          <w:rFonts w:ascii="Century Gothic" w:hAnsi="Century Gothic" w:cs="Tahoma"/>
          <w:sz w:val="24"/>
          <w:szCs w:val="24"/>
          <w:lang w:eastAsia="ja-JP"/>
        </w:rPr>
        <w:lastRenderedPageBreak/>
        <w:t>primeros 3 meses de la pandemia. Entre los factores que podría explicar esto: las medidas nacionales de confinamiento, que han reducido las oportunidades de consumir drogas en entornos sociales y la interrupción de mercados de drogas.</w:t>
      </w:r>
    </w:p>
    <w:p w:rsidR="0094264C" w:rsidRDefault="00D5439F" w:rsidP="007D7BBA">
      <w:pPr>
        <w:spacing w:after="0" w:line="288" w:lineRule="auto"/>
        <w:rPr>
          <w:rFonts w:ascii="Century Gothic" w:hAnsi="Century Gothic" w:cs="Tahoma"/>
          <w:sz w:val="24"/>
          <w:szCs w:val="24"/>
          <w:lang w:eastAsia="ja-JP"/>
        </w:rPr>
      </w:pPr>
      <w:r w:rsidRPr="007D7BBA">
        <w:rPr>
          <w:rFonts w:ascii="Century Gothic" w:hAnsi="Century Gothic" w:cs="Tahoma"/>
          <w:b/>
          <w:color w:val="943634"/>
          <w:sz w:val="24"/>
          <w:szCs w:val="24"/>
          <w:lang w:eastAsia="ja-JP"/>
        </w:rPr>
        <w:t xml:space="preserve">Otros estudios e informaciones: </w:t>
      </w:r>
      <w:r w:rsidRPr="007D7BBA">
        <w:rPr>
          <w:rFonts w:ascii="Century Gothic" w:hAnsi="Century Gothic" w:cs="Tahoma"/>
          <w:sz w:val="24"/>
          <w:szCs w:val="24"/>
          <w:lang w:eastAsia="ja-JP"/>
        </w:rPr>
        <w:t xml:space="preserve">recogida </w:t>
      </w:r>
      <w:proofErr w:type="gramStart"/>
      <w:r w:rsidRPr="007D7BBA">
        <w:rPr>
          <w:rFonts w:ascii="Century Gothic" w:hAnsi="Century Gothic" w:cs="Tahoma"/>
          <w:sz w:val="24"/>
          <w:szCs w:val="24"/>
          <w:lang w:eastAsia="ja-JP"/>
        </w:rPr>
        <w:t>continua</w:t>
      </w:r>
      <w:proofErr w:type="gramEnd"/>
      <w:r w:rsidRPr="007D7BBA">
        <w:rPr>
          <w:rFonts w:ascii="Century Gothic" w:hAnsi="Century Gothic" w:cs="Tahoma"/>
          <w:sz w:val="24"/>
          <w:szCs w:val="24"/>
          <w:lang w:eastAsia="ja-JP"/>
        </w:rPr>
        <w:t xml:space="preserve"> de</w:t>
      </w:r>
      <w:r w:rsidRPr="007D7BBA">
        <w:rPr>
          <w:rFonts w:ascii="Century Gothic" w:hAnsi="Century Gothic" w:cs="Tahoma"/>
          <w:b/>
          <w:sz w:val="24"/>
          <w:szCs w:val="24"/>
          <w:lang w:eastAsia="ja-JP"/>
        </w:rPr>
        <w:t xml:space="preserve"> </w:t>
      </w:r>
      <w:r w:rsidRPr="007D7BBA">
        <w:rPr>
          <w:rFonts w:ascii="Century Gothic" w:hAnsi="Century Gothic" w:cs="Tahoma"/>
          <w:sz w:val="24"/>
          <w:szCs w:val="24"/>
          <w:lang w:eastAsia="ja-JP"/>
        </w:rPr>
        <w:t>encuestas y/o investigaciones realizadas durante el confinamiento con una mirada más amplia sobre la salud y bienestar (publicadas o pendientes de publicación)</w:t>
      </w: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b/>
          <w:sz w:val="24"/>
          <w:szCs w:val="24"/>
        </w:rPr>
        <w:t xml:space="preserve">2. </w:t>
      </w:r>
      <w:r w:rsidRPr="007D7BBA">
        <w:rPr>
          <w:rFonts w:ascii="Century Gothic" w:hAnsi="Century Gothic" w:cs="Tahoma"/>
          <w:sz w:val="24"/>
          <w:szCs w:val="24"/>
          <w:lang w:eastAsia="ja-JP"/>
        </w:rPr>
        <w:t>Si no es así, ¿tiene intención de realizar algún estudio?</w:t>
      </w:r>
      <w:r w:rsidRPr="007D7BBA">
        <w:rPr>
          <w:rFonts w:ascii="Century Gothic" w:hAnsi="Century Gothic"/>
          <w:caps/>
          <w:color w:val="943634"/>
          <w:sz w:val="24"/>
          <w:szCs w:val="24"/>
        </w:rPr>
        <w:t>]</w:t>
      </w:r>
    </w:p>
    <w:p w:rsidR="00D5439F" w:rsidRPr="007D7BBA" w:rsidRDefault="00D5439F" w:rsidP="007D7BBA">
      <w:pPr>
        <w:spacing w:line="288" w:lineRule="auto"/>
        <w:rPr>
          <w:rFonts w:ascii="Century Gothic" w:hAnsi="Century Gothic" w:cs="Tahoma"/>
          <w:sz w:val="24"/>
          <w:szCs w:val="24"/>
        </w:rPr>
      </w:pPr>
      <w:r w:rsidRPr="007D7BBA">
        <w:rPr>
          <w:rFonts w:ascii="Century Gothic" w:hAnsi="Century Gothic" w:cs="Tahoma"/>
          <w:b/>
          <w:sz w:val="24"/>
          <w:szCs w:val="24"/>
        </w:rPr>
        <w:t>U</w:t>
      </w:r>
      <w:r w:rsidRPr="007D7BBA">
        <w:rPr>
          <w:rFonts w:ascii="Century Gothic" w:hAnsi="Century Gothic" w:cs="Tahoma"/>
          <w:sz w:val="24"/>
          <w:szCs w:val="24"/>
        </w:rPr>
        <w:t xml:space="preserve">no de los principios del </w:t>
      </w:r>
      <w:r w:rsidRPr="007D7BBA">
        <w:rPr>
          <w:rFonts w:ascii="Century Gothic" w:hAnsi="Century Gothic" w:cs="Tahoma"/>
          <w:i/>
          <w:sz w:val="24"/>
          <w:szCs w:val="24"/>
        </w:rPr>
        <w:t>III Plan de prevención: drogas y adicciones</w:t>
      </w:r>
      <w:r w:rsidRPr="007D7BBA">
        <w:rPr>
          <w:rFonts w:ascii="Century Gothic" w:hAnsi="Century Gothic" w:cs="Tahoma"/>
          <w:sz w:val="24"/>
          <w:szCs w:val="24"/>
        </w:rPr>
        <w:t xml:space="preserve"> es que las recomendaciones y las intervenciones se sustenten en la evidencia y en los resultados de las investigaciones realizadas. Investigaciones que permitan conocer nuestra realidad y que responda a las necesidades de los profesionales que trabajan con menores, adolescentes y jóvenes. En nuevo conocimiento adquirido a través de éstas permitirá la capacitación de los profesionales que se dedican a la prevención de las adicciones con y sin sustancia. </w:t>
      </w:r>
    </w:p>
    <w:p w:rsidR="0094264C" w:rsidRDefault="00D5439F" w:rsidP="007D7BBA">
      <w:pPr>
        <w:pStyle w:val="Prrafodelista"/>
        <w:spacing w:after="0" w:line="288" w:lineRule="auto"/>
        <w:ind w:left="0"/>
        <w:jc w:val="both"/>
        <w:rPr>
          <w:rFonts w:ascii="Century Gothic" w:hAnsi="Century Gothic" w:cs="Tahoma"/>
          <w:sz w:val="24"/>
          <w:szCs w:val="24"/>
          <w:lang w:eastAsia="ja-JP"/>
        </w:rPr>
      </w:pPr>
      <w:r w:rsidRPr="007D7BBA">
        <w:rPr>
          <w:rFonts w:ascii="Century Gothic" w:hAnsi="Century Gothic" w:cs="Tahoma"/>
          <w:sz w:val="24"/>
          <w:szCs w:val="24"/>
          <w:lang w:eastAsia="ja-JP"/>
        </w:rPr>
        <w:t xml:space="preserve">En esta línea en el año 2018 se inició la ampliación de muestras en las </w:t>
      </w:r>
      <w:r w:rsidRPr="007D7BBA">
        <w:rPr>
          <w:rFonts w:ascii="Century Gothic" w:hAnsi="Century Gothic" w:cs="Tahoma"/>
          <w:b/>
          <w:bCs/>
          <w:color w:val="963634"/>
          <w:sz w:val="24"/>
          <w:szCs w:val="24"/>
          <w:lang w:eastAsia="es-ES"/>
        </w:rPr>
        <w:t>encuestas realizadas a nivel nacional por el Plan Nacional sobre Drogas y Adicciones</w:t>
      </w:r>
      <w:r w:rsidRPr="007D7BBA">
        <w:rPr>
          <w:rFonts w:ascii="Century Gothic" w:hAnsi="Century Gothic" w:cs="Tahoma"/>
          <w:sz w:val="24"/>
          <w:szCs w:val="24"/>
          <w:lang w:eastAsia="ja-JP"/>
        </w:rPr>
        <w:t xml:space="preserve"> lo que permite, por una parte, mayor potencia estadística y fiabilidad de los resultados y, por otra parte, contar con información periódica, cada dos años</w:t>
      </w:r>
      <w:r w:rsidRPr="007D7BBA">
        <w:rPr>
          <w:rStyle w:val="Refdenotaalpie"/>
          <w:rFonts w:ascii="Century Gothic" w:hAnsi="Century Gothic" w:cs="Tahoma"/>
          <w:sz w:val="24"/>
          <w:szCs w:val="24"/>
          <w:lang w:eastAsia="ja-JP"/>
        </w:rPr>
        <w:footnoteReference w:id="1"/>
      </w:r>
      <w:r w:rsidRPr="007D7BBA">
        <w:rPr>
          <w:rFonts w:ascii="Century Gothic" w:hAnsi="Century Gothic" w:cs="Tahoma"/>
          <w:sz w:val="24"/>
          <w:szCs w:val="24"/>
          <w:lang w:eastAsia="ja-JP"/>
        </w:rPr>
        <w:t xml:space="preserve">, de la evolución de las adiciones: </w:t>
      </w:r>
    </w:p>
    <w:p w:rsidR="0094264C" w:rsidRDefault="00D5439F" w:rsidP="007D7BBA">
      <w:pPr>
        <w:pStyle w:val="Prrafodelista"/>
        <w:numPr>
          <w:ilvl w:val="0"/>
          <w:numId w:val="10"/>
        </w:numPr>
        <w:spacing w:after="0" w:line="288" w:lineRule="auto"/>
        <w:jc w:val="both"/>
        <w:rPr>
          <w:rFonts w:ascii="Century Gothic" w:hAnsi="Century Gothic"/>
          <w:sz w:val="24"/>
          <w:szCs w:val="24"/>
          <w:lang w:val="es-ES_tradnl"/>
        </w:rPr>
      </w:pPr>
      <w:r w:rsidRPr="007D7BBA">
        <w:rPr>
          <w:rFonts w:ascii="Century Gothic" w:hAnsi="Century Gothic" w:cs="Tahoma"/>
          <w:sz w:val="24"/>
          <w:szCs w:val="24"/>
          <w:lang w:eastAsia="ja-JP"/>
        </w:rPr>
        <w:t>La Encuesta sobre Uso de Drogas en Enseñanzas Secundarias en España (ESTUDES) dirigida a población de 14 a 18 años incluye preguntas relacionados con: a) los consumos de sustancias tabaco, alcohol, cannabis y otras sustancias; nuevas formas de consumo en el caso de tabaco (cigarrillos electrónicos) y b) el uso/abuso de TIC, prevalencia de juego con dinero (online y presencial), prevalencia de videojuegos-</w:t>
      </w:r>
      <w:proofErr w:type="spellStart"/>
      <w:r w:rsidRPr="007D7BBA">
        <w:rPr>
          <w:rFonts w:ascii="Century Gothic" w:hAnsi="Century Gothic" w:cs="Tahoma"/>
          <w:sz w:val="24"/>
          <w:szCs w:val="24"/>
          <w:lang w:eastAsia="ja-JP"/>
        </w:rPr>
        <w:t>eSports</w:t>
      </w:r>
      <w:proofErr w:type="spellEnd"/>
      <w:r w:rsidRPr="007D7BBA">
        <w:rPr>
          <w:rFonts w:ascii="Century Gothic" w:hAnsi="Century Gothic" w:cs="Tahoma"/>
          <w:sz w:val="24"/>
          <w:szCs w:val="24"/>
          <w:lang w:eastAsia="ja-JP"/>
        </w:rPr>
        <w:t xml:space="preserve"> e Internet (contenidos). </w:t>
      </w:r>
    </w:p>
    <w:p w:rsidR="00D5439F" w:rsidRPr="007D7BBA" w:rsidRDefault="00D5439F" w:rsidP="007D7BBA">
      <w:pPr>
        <w:pStyle w:val="Prrafodelista"/>
        <w:spacing w:after="0" w:line="288" w:lineRule="auto"/>
        <w:jc w:val="both"/>
        <w:rPr>
          <w:rFonts w:ascii="Century Gothic" w:hAnsi="Century Gothic"/>
          <w:color w:val="943634"/>
          <w:sz w:val="24"/>
          <w:szCs w:val="24"/>
          <w:lang w:val="es-ES_tradnl"/>
        </w:rPr>
      </w:pPr>
      <w:r w:rsidRPr="007D7BBA">
        <w:rPr>
          <w:rFonts w:ascii="Century Gothic" w:hAnsi="Century Gothic"/>
          <w:sz w:val="24"/>
          <w:szCs w:val="24"/>
          <w:lang w:val="es-ES_tradnl"/>
        </w:rPr>
        <w:t xml:space="preserve">Tabla 1. </w:t>
      </w:r>
      <w:r w:rsidRPr="007D7BBA">
        <w:rPr>
          <w:rFonts w:ascii="Century Gothic" w:hAnsi="Century Gothic"/>
          <w:color w:val="943634"/>
          <w:sz w:val="24"/>
          <w:szCs w:val="24"/>
          <w:lang w:val="es-ES_tradnl"/>
        </w:rPr>
        <w:t xml:space="preserve">Diferencia sin/con ampliación muestra ESTUDES año 2018 </w:t>
      </w:r>
    </w:p>
    <w:tbl>
      <w:tblPr>
        <w:tblpPr w:leftFromText="141" w:rightFromText="141" w:vertAnchor="text" w:horzAnchor="margin" w:tblpXSpec="center" w:tblpY="34"/>
        <w:tblW w:w="7283" w:type="dxa"/>
        <w:tblInd w:w="708" w:type="dxa"/>
        <w:tblCellMar>
          <w:left w:w="70" w:type="dxa"/>
          <w:right w:w="70" w:type="dxa"/>
        </w:tblCellMar>
        <w:tblLook w:val="00A0" w:firstRow="1" w:lastRow="0" w:firstColumn="1" w:lastColumn="0" w:noHBand="0" w:noVBand="0"/>
      </w:tblPr>
      <w:tblGrid>
        <w:gridCol w:w="1709"/>
        <w:gridCol w:w="2324"/>
        <w:gridCol w:w="1639"/>
        <w:gridCol w:w="1611"/>
      </w:tblGrid>
      <w:tr w:rsidR="00D5439F" w:rsidRPr="007D7BBA" w:rsidTr="00BC628A">
        <w:trPr>
          <w:trHeight w:val="300"/>
        </w:trPr>
        <w:tc>
          <w:tcPr>
            <w:tcW w:w="1709"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Muestra…</w:t>
            </w:r>
          </w:p>
        </w:tc>
        <w:tc>
          <w:tcPr>
            <w:tcW w:w="2324"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Sin ampliar</w:t>
            </w:r>
          </w:p>
        </w:tc>
        <w:tc>
          <w:tcPr>
            <w:tcW w:w="1639"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Con ampliación</w:t>
            </w:r>
          </w:p>
        </w:tc>
        <w:tc>
          <w:tcPr>
            <w:tcW w:w="1611"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Total</w:t>
            </w:r>
          </w:p>
        </w:tc>
      </w:tr>
      <w:tr w:rsidR="00D5439F" w:rsidRPr="007D7BBA" w:rsidTr="00BC628A">
        <w:trPr>
          <w:trHeight w:val="315"/>
        </w:trPr>
        <w:tc>
          <w:tcPr>
            <w:tcW w:w="1709"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Entrevistas</w:t>
            </w:r>
          </w:p>
        </w:tc>
        <w:tc>
          <w:tcPr>
            <w:tcW w:w="2324"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680 (3,8% error)</w:t>
            </w:r>
          </w:p>
        </w:tc>
        <w:tc>
          <w:tcPr>
            <w:tcW w:w="1639"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1360</w:t>
            </w:r>
          </w:p>
        </w:tc>
        <w:tc>
          <w:tcPr>
            <w:tcW w:w="1611"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 xml:space="preserve">2040 </w:t>
            </w:r>
          </w:p>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lastRenderedPageBreak/>
              <w:t>(2,1% error)</w:t>
            </w:r>
          </w:p>
        </w:tc>
      </w:tr>
      <w:tr w:rsidR="00D5439F" w:rsidRPr="007D7BBA" w:rsidTr="00BC628A">
        <w:trPr>
          <w:trHeight w:val="300"/>
        </w:trPr>
        <w:tc>
          <w:tcPr>
            <w:tcW w:w="1709"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lastRenderedPageBreak/>
              <w:t>Puntos</w:t>
            </w:r>
          </w:p>
        </w:tc>
        <w:tc>
          <w:tcPr>
            <w:tcW w:w="2324"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17</w:t>
            </w:r>
          </w:p>
        </w:tc>
        <w:tc>
          <w:tcPr>
            <w:tcW w:w="1639"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34</w:t>
            </w:r>
          </w:p>
        </w:tc>
        <w:tc>
          <w:tcPr>
            <w:tcW w:w="1611"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51</w:t>
            </w:r>
          </w:p>
        </w:tc>
      </w:tr>
    </w:tbl>
    <w:p w:rsidR="00D5439F" w:rsidRPr="007D7BBA" w:rsidRDefault="00D5439F" w:rsidP="007D7BBA">
      <w:pPr>
        <w:pStyle w:val="Prrafodelista"/>
        <w:spacing w:line="288" w:lineRule="auto"/>
        <w:jc w:val="both"/>
        <w:rPr>
          <w:rFonts w:ascii="Century Gothic" w:hAnsi="Century Gothic" w:cs="Tahoma"/>
          <w:noProof/>
          <w:sz w:val="24"/>
          <w:szCs w:val="24"/>
          <w:lang w:val="es-ES_tradnl" w:eastAsia="es-ES"/>
        </w:rPr>
      </w:pPr>
    </w:p>
    <w:p w:rsidR="0094264C" w:rsidRDefault="00D5439F" w:rsidP="007D7BBA">
      <w:pPr>
        <w:pStyle w:val="Prrafodelista"/>
        <w:numPr>
          <w:ilvl w:val="0"/>
          <w:numId w:val="10"/>
        </w:numPr>
        <w:spacing w:line="288" w:lineRule="auto"/>
        <w:jc w:val="both"/>
        <w:rPr>
          <w:rFonts w:ascii="Century Gothic" w:hAnsi="Century Gothic" w:cs="Tahoma"/>
          <w:noProof/>
          <w:sz w:val="24"/>
          <w:szCs w:val="24"/>
          <w:lang w:val="es-ES_tradnl" w:eastAsia="es-ES"/>
        </w:rPr>
      </w:pPr>
      <w:r w:rsidRPr="007D7BBA">
        <w:rPr>
          <w:rFonts w:ascii="Century Gothic" w:hAnsi="Century Gothic" w:cs="Tahoma"/>
          <w:sz w:val="24"/>
          <w:szCs w:val="24"/>
          <w:lang w:eastAsia="ja-JP"/>
        </w:rPr>
        <w:t>La Encuesta sobre alcohol y otras drogas en España (EDADES) dirigida a</w:t>
      </w:r>
      <w:r w:rsidRPr="007D7BBA">
        <w:rPr>
          <w:rFonts w:ascii="Century Gothic" w:hAnsi="Century Gothic" w:cs="Tahoma"/>
          <w:noProof/>
          <w:sz w:val="24"/>
          <w:szCs w:val="24"/>
          <w:lang w:val="es-ES_tradnl" w:eastAsia="es-ES"/>
        </w:rPr>
        <w:t xml:space="preserve"> población de 15 a 64 años. Permite detectar el juego problemático, prevalencias de juego con dinero online y presencial, el perfil de consumidores problemáticos de consumo de cannabis, uso compulsivo de internet </w:t>
      </w:r>
    </w:p>
    <w:p w:rsidR="00D5439F" w:rsidRPr="007D7BBA" w:rsidRDefault="00D5439F" w:rsidP="007D7BBA">
      <w:pPr>
        <w:pStyle w:val="Prrafodelista"/>
        <w:spacing w:after="0" w:line="288" w:lineRule="auto"/>
        <w:jc w:val="both"/>
        <w:rPr>
          <w:rFonts w:ascii="Century Gothic" w:hAnsi="Century Gothic"/>
          <w:color w:val="943634"/>
          <w:sz w:val="24"/>
          <w:szCs w:val="24"/>
          <w:lang w:val="es-ES_tradnl"/>
        </w:rPr>
      </w:pPr>
      <w:r w:rsidRPr="007D7BBA">
        <w:rPr>
          <w:rFonts w:ascii="Century Gothic" w:hAnsi="Century Gothic"/>
          <w:sz w:val="24"/>
          <w:szCs w:val="24"/>
          <w:lang w:val="es-ES_tradnl"/>
        </w:rPr>
        <w:t xml:space="preserve">Tabla 2. </w:t>
      </w:r>
      <w:r w:rsidRPr="007D7BBA">
        <w:rPr>
          <w:rFonts w:ascii="Century Gothic" w:hAnsi="Century Gothic"/>
          <w:color w:val="943634"/>
          <w:sz w:val="24"/>
          <w:szCs w:val="24"/>
          <w:lang w:val="es-ES_tradnl"/>
        </w:rPr>
        <w:t xml:space="preserve">Diferencia sin/con ampliación muestra EDADES NAVARRA año 2019 </w:t>
      </w:r>
    </w:p>
    <w:tbl>
      <w:tblPr>
        <w:tblW w:w="6300" w:type="dxa"/>
        <w:jc w:val="center"/>
        <w:tblInd w:w="708" w:type="dxa"/>
        <w:tblCellMar>
          <w:left w:w="70" w:type="dxa"/>
          <w:right w:w="70" w:type="dxa"/>
        </w:tblCellMar>
        <w:tblLook w:val="00A0" w:firstRow="1" w:lastRow="0" w:firstColumn="1" w:lastColumn="0" w:noHBand="0" w:noVBand="0"/>
      </w:tblPr>
      <w:tblGrid>
        <w:gridCol w:w="1600"/>
        <w:gridCol w:w="1639"/>
        <w:gridCol w:w="1465"/>
        <w:gridCol w:w="1600"/>
      </w:tblGrid>
      <w:tr w:rsidR="00D5439F" w:rsidRPr="007D7BBA" w:rsidTr="00AF085E">
        <w:trPr>
          <w:trHeight w:val="300"/>
          <w:jc w:val="center"/>
        </w:trPr>
        <w:tc>
          <w:tcPr>
            <w:tcW w:w="1600"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 Muestra</w:t>
            </w:r>
          </w:p>
        </w:tc>
        <w:tc>
          <w:tcPr>
            <w:tcW w:w="1639"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Con ampliación</w:t>
            </w:r>
          </w:p>
        </w:tc>
        <w:tc>
          <w:tcPr>
            <w:tcW w:w="1461"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Sin ampliación</w:t>
            </w:r>
          </w:p>
        </w:tc>
        <w:tc>
          <w:tcPr>
            <w:tcW w:w="1600"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b/>
                <w:bCs/>
                <w:color w:val="963634"/>
                <w:sz w:val="24"/>
                <w:szCs w:val="24"/>
                <w:lang w:eastAsia="es-ES"/>
              </w:rPr>
            </w:pPr>
            <w:r w:rsidRPr="007D7BBA">
              <w:rPr>
                <w:rFonts w:ascii="Century Gothic" w:hAnsi="Century Gothic" w:cs="Tahoma"/>
                <w:b/>
                <w:bCs/>
                <w:color w:val="963634"/>
                <w:sz w:val="24"/>
                <w:szCs w:val="24"/>
                <w:lang w:eastAsia="es-ES"/>
              </w:rPr>
              <w:t>Total</w:t>
            </w:r>
          </w:p>
        </w:tc>
      </w:tr>
      <w:tr w:rsidR="00D5439F" w:rsidRPr="007D7BBA" w:rsidTr="00AF085E">
        <w:trPr>
          <w:trHeight w:val="300"/>
          <w:jc w:val="center"/>
        </w:trPr>
        <w:tc>
          <w:tcPr>
            <w:tcW w:w="1600" w:type="dxa"/>
            <w:tcBorders>
              <w:top w:val="nil"/>
              <w:left w:val="nil"/>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Entrevistas</w:t>
            </w:r>
          </w:p>
        </w:tc>
        <w:tc>
          <w:tcPr>
            <w:tcW w:w="1639" w:type="dxa"/>
            <w:tcBorders>
              <w:top w:val="nil"/>
              <w:left w:val="nil"/>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610</w:t>
            </w:r>
          </w:p>
        </w:tc>
        <w:tc>
          <w:tcPr>
            <w:tcW w:w="1461" w:type="dxa"/>
            <w:tcBorders>
              <w:top w:val="nil"/>
              <w:left w:val="nil"/>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390</w:t>
            </w:r>
          </w:p>
        </w:tc>
        <w:tc>
          <w:tcPr>
            <w:tcW w:w="1600" w:type="dxa"/>
            <w:tcBorders>
              <w:top w:val="nil"/>
              <w:left w:val="nil"/>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1000 (3,2% error)</w:t>
            </w:r>
          </w:p>
        </w:tc>
      </w:tr>
      <w:tr w:rsidR="00D5439F" w:rsidRPr="007D7BBA" w:rsidTr="00AF085E">
        <w:trPr>
          <w:trHeight w:val="300"/>
          <w:jc w:val="center"/>
        </w:trPr>
        <w:tc>
          <w:tcPr>
            <w:tcW w:w="1600"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Puntos</w:t>
            </w:r>
          </w:p>
        </w:tc>
        <w:tc>
          <w:tcPr>
            <w:tcW w:w="1639"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61</w:t>
            </w:r>
          </w:p>
        </w:tc>
        <w:tc>
          <w:tcPr>
            <w:tcW w:w="1461"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39</w:t>
            </w:r>
          </w:p>
        </w:tc>
        <w:tc>
          <w:tcPr>
            <w:tcW w:w="1600"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rFonts w:ascii="Century Gothic" w:hAnsi="Century Gothic" w:cs="Tahoma"/>
                <w:color w:val="963634"/>
                <w:sz w:val="24"/>
                <w:szCs w:val="24"/>
                <w:lang w:eastAsia="es-ES"/>
              </w:rPr>
            </w:pPr>
            <w:r w:rsidRPr="007D7BBA">
              <w:rPr>
                <w:rFonts w:ascii="Century Gothic" w:hAnsi="Century Gothic" w:cs="Tahoma"/>
                <w:color w:val="963634"/>
                <w:sz w:val="24"/>
                <w:szCs w:val="24"/>
                <w:lang w:eastAsia="es-ES"/>
              </w:rPr>
              <w:t>100</w:t>
            </w:r>
          </w:p>
        </w:tc>
      </w:tr>
    </w:tbl>
    <w:p w:rsidR="00D5439F" w:rsidRPr="007D7BBA" w:rsidRDefault="00D5439F" w:rsidP="007D7BBA">
      <w:pPr>
        <w:spacing w:line="288" w:lineRule="auto"/>
        <w:rPr>
          <w:rFonts w:ascii="Century Gothic" w:hAnsi="Century Gothic" w:cs="Tahoma"/>
          <w:b/>
          <w:color w:val="943634"/>
          <w:sz w:val="24"/>
          <w:szCs w:val="24"/>
          <w:lang w:eastAsia="ja-JP"/>
        </w:rPr>
      </w:pPr>
    </w:p>
    <w:p w:rsidR="00D5439F" w:rsidRPr="007D7BBA" w:rsidRDefault="00D5439F" w:rsidP="007D7BBA">
      <w:pPr>
        <w:spacing w:line="288" w:lineRule="auto"/>
        <w:rPr>
          <w:rFonts w:ascii="Century Gothic" w:hAnsi="Century Gothic" w:cs="Tahoma"/>
          <w:sz w:val="24"/>
          <w:szCs w:val="24"/>
          <w:lang w:eastAsia="ja-JP"/>
        </w:rPr>
      </w:pPr>
      <w:r w:rsidRPr="007D7BBA">
        <w:rPr>
          <w:rFonts w:ascii="Century Gothic" w:hAnsi="Century Gothic" w:cs="Tahoma"/>
          <w:b/>
          <w:color w:val="943634"/>
          <w:sz w:val="24"/>
          <w:szCs w:val="24"/>
          <w:lang w:eastAsia="ja-JP"/>
        </w:rPr>
        <w:t>Indicador de Urgencias</w:t>
      </w:r>
      <w:r w:rsidRPr="007D7BBA">
        <w:rPr>
          <w:rFonts w:ascii="Century Gothic" w:hAnsi="Century Gothic" w:cs="Tahoma"/>
          <w:sz w:val="24"/>
          <w:szCs w:val="24"/>
          <w:lang w:eastAsia="ja-JP"/>
        </w:rPr>
        <w:t xml:space="preserve">. La recogida de este indicador que se realiza desde el año 2012, permite la comparativa por año y mes de la evolución de las atenciones en los centros hospitalarios de Navarra. Podremos a la vista de la comparativa de diversos años comprobar el impacto de los meses de confinamiento sobre las intoxicaciones y su atención por estos servicios. </w:t>
      </w:r>
    </w:p>
    <w:p w:rsidR="0094264C" w:rsidRDefault="00D5439F" w:rsidP="007D7BBA">
      <w:pPr>
        <w:spacing w:line="288" w:lineRule="auto"/>
        <w:rPr>
          <w:rFonts w:ascii="Century Gothic" w:hAnsi="Century Gothic" w:cs="Tahoma"/>
          <w:b/>
          <w:sz w:val="24"/>
          <w:szCs w:val="24"/>
        </w:rPr>
      </w:pPr>
      <w:r w:rsidRPr="007D7BBA">
        <w:rPr>
          <w:rFonts w:ascii="Century Gothic" w:hAnsi="Century Gothic" w:cs="Tahoma"/>
          <w:sz w:val="24"/>
          <w:szCs w:val="24"/>
        </w:rPr>
        <w:t xml:space="preserve">No se tiene intención de desarrollar nuevos estudios en Navarra, dado que los que están en marcha permiten la vigilancia continua e impacto de las situaciones relacionadas con la pandemia en los consumos citados. </w:t>
      </w:r>
    </w:p>
    <w:p w:rsidR="0094264C" w:rsidRDefault="00D5439F" w:rsidP="007D7BBA">
      <w:pPr>
        <w:spacing w:after="0" w:line="288" w:lineRule="auto"/>
        <w:rPr>
          <w:rFonts w:ascii="Century Gothic" w:hAnsi="Century Gothic"/>
          <w:caps/>
          <w:color w:val="943634"/>
          <w:sz w:val="24"/>
          <w:szCs w:val="24"/>
        </w:rPr>
      </w:pPr>
      <w:r w:rsidRPr="007D7BBA">
        <w:rPr>
          <w:rFonts w:ascii="Century Gothic" w:hAnsi="Century Gothic" w:cs="Tahoma"/>
          <w:b/>
          <w:sz w:val="24"/>
          <w:szCs w:val="24"/>
        </w:rPr>
        <w:t xml:space="preserve">3. </w:t>
      </w:r>
      <w:proofErr w:type="gramStart"/>
      <w:r w:rsidRPr="007D7BBA">
        <w:rPr>
          <w:rFonts w:ascii="Century Gothic" w:hAnsi="Century Gothic" w:cs="Tahoma"/>
          <w:sz w:val="24"/>
          <w:szCs w:val="24"/>
        </w:rPr>
        <w:t>¿</w:t>
      </w:r>
      <w:proofErr w:type="gramEnd"/>
      <w:r w:rsidRPr="007D7BBA">
        <w:rPr>
          <w:rFonts w:ascii="Century Gothic" w:hAnsi="Century Gothic" w:cs="Tahoma"/>
          <w:sz w:val="24"/>
          <w:szCs w:val="24"/>
        </w:rPr>
        <w:t>Tiene intención el Gobierno de Navarra de adecuar el III. Plan de Prevención de drogas y adicciones 2018-2023 a la situación actual y valorar los riesgos añadidos que en este ámbito suponen las medidas de confinamiento y distancia social, así como el aumento del uso de pantallas</w:t>
      </w:r>
      <w:proofErr w:type="gramStart"/>
      <w:r w:rsidRPr="007D7BBA">
        <w:rPr>
          <w:rFonts w:ascii="Century Gothic" w:hAnsi="Century Gothic" w:cs="Tahoma"/>
          <w:sz w:val="24"/>
          <w:szCs w:val="24"/>
        </w:rPr>
        <w:t>?</w:t>
      </w:r>
      <w:proofErr w:type="gramEnd"/>
      <w:r w:rsidRPr="007D7BBA">
        <w:rPr>
          <w:rFonts w:ascii="Century Gothic" w:hAnsi="Century Gothic"/>
          <w:sz w:val="24"/>
          <w:szCs w:val="24"/>
        </w:rPr>
        <w:t xml:space="preserve"> </w:t>
      </w:r>
    </w:p>
    <w:p w:rsidR="00D5439F" w:rsidRPr="007D7BBA" w:rsidRDefault="00D5439F" w:rsidP="007D7BBA">
      <w:pPr>
        <w:spacing w:line="288" w:lineRule="auto"/>
        <w:rPr>
          <w:rFonts w:ascii="Century Gothic" w:hAnsi="Century Gothic" w:cs="Tahoma"/>
          <w:noProof/>
          <w:sz w:val="24"/>
          <w:szCs w:val="24"/>
          <w:lang w:val="es-ES_tradnl" w:eastAsia="es-ES"/>
        </w:rPr>
      </w:pPr>
      <w:r w:rsidRPr="007D7BBA">
        <w:rPr>
          <w:rFonts w:ascii="Century Gothic" w:hAnsi="Century Gothic" w:cs="Tahoma"/>
          <w:noProof/>
          <w:sz w:val="24"/>
          <w:szCs w:val="24"/>
          <w:lang w:val="es-ES_tradnl" w:eastAsia="es-ES"/>
        </w:rPr>
        <w:t>El III Plan de Prevención: Drogas y Adicciones, contempla entre su líneas prioritarias de actuación que se seguirán desarrollando, y reforzarán si fuera neceario:</w:t>
      </w:r>
    </w:p>
    <w:p w:rsidR="00D5439F" w:rsidRPr="007D7BBA" w:rsidRDefault="00D5439F" w:rsidP="007D7BBA">
      <w:pPr>
        <w:pStyle w:val="Prrafodelista"/>
        <w:numPr>
          <w:ilvl w:val="0"/>
          <w:numId w:val="12"/>
        </w:numPr>
        <w:spacing w:line="288" w:lineRule="auto"/>
        <w:jc w:val="both"/>
        <w:rPr>
          <w:rFonts w:ascii="Century Gothic" w:hAnsi="Century Gothic" w:cs="Tahoma"/>
          <w:noProof/>
          <w:sz w:val="24"/>
          <w:szCs w:val="24"/>
          <w:lang w:val="es-ES_tradnl" w:eastAsia="es-ES"/>
        </w:rPr>
      </w:pPr>
      <w:r w:rsidRPr="007D7BBA">
        <w:rPr>
          <w:rFonts w:ascii="Century Gothic" w:hAnsi="Century Gothic" w:cs="Tahoma"/>
          <w:b/>
          <w:noProof/>
          <w:color w:val="943634"/>
          <w:sz w:val="24"/>
          <w:szCs w:val="24"/>
          <w:lang w:val="es-ES_tradnl" w:eastAsia="es-ES"/>
        </w:rPr>
        <w:t>Formación</w:t>
      </w:r>
      <w:r w:rsidRPr="007D7BBA">
        <w:rPr>
          <w:rFonts w:ascii="Century Gothic" w:hAnsi="Century Gothic" w:cs="Tahoma"/>
          <w:noProof/>
          <w:color w:val="943634"/>
          <w:sz w:val="24"/>
          <w:szCs w:val="24"/>
          <w:lang w:val="es-ES_tradnl" w:eastAsia="es-ES"/>
        </w:rPr>
        <w:t xml:space="preserve">: </w:t>
      </w:r>
      <w:r w:rsidRPr="007D7BBA">
        <w:rPr>
          <w:rFonts w:ascii="Century Gothic" w:hAnsi="Century Gothic" w:cs="Tahoma"/>
          <w:noProof/>
          <w:sz w:val="24"/>
          <w:szCs w:val="24"/>
          <w:lang w:val="es-ES_tradnl" w:eastAsia="es-ES"/>
        </w:rPr>
        <w:t xml:space="preserve">desde el año 2017 se vienen desarrollando distintas acciones formativas dirigidas a profesionales de la salud, servicios sociales y juventud sobre la prevención del juego patológico y </w:t>
      </w:r>
      <w:r w:rsidRPr="007D7BBA">
        <w:rPr>
          <w:rFonts w:ascii="Century Gothic" w:hAnsi="Century Gothic" w:cs="Tahoma"/>
          <w:noProof/>
          <w:sz w:val="24"/>
          <w:szCs w:val="24"/>
          <w:lang w:val="es-ES_tradnl" w:eastAsia="es-ES"/>
        </w:rPr>
        <w:lastRenderedPageBreak/>
        <w:t xml:space="preserve">sobre la prevención del abuso de pantallas en colaboración con distintas entidades sociales. </w:t>
      </w:r>
    </w:p>
    <w:p w:rsidR="00D5439F" w:rsidRPr="007D7BBA" w:rsidRDefault="00D5439F" w:rsidP="007D7BBA">
      <w:pPr>
        <w:pStyle w:val="Prrafodelista"/>
        <w:numPr>
          <w:ilvl w:val="0"/>
          <w:numId w:val="12"/>
        </w:numPr>
        <w:spacing w:line="288" w:lineRule="auto"/>
        <w:ind w:left="708"/>
        <w:jc w:val="both"/>
        <w:rPr>
          <w:rFonts w:ascii="Century Gothic" w:hAnsi="Century Gothic" w:cs="Tahoma"/>
          <w:noProof/>
          <w:sz w:val="24"/>
          <w:szCs w:val="24"/>
          <w:lang w:val="es-ES_tradnl" w:eastAsia="es-ES"/>
        </w:rPr>
      </w:pPr>
      <w:r w:rsidRPr="007D7BBA">
        <w:rPr>
          <w:rFonts w:ascii="Century Gothic" w:hAnsi="Century Gothic" w:cs="Tahoma"/>
          <w:b/>
          <w:noProof/>
          <w:color w:val="943634"/>
          <w:sz w:val="24"/>
          <w:szCs w:val="24"/>
          <w:lang w:val="es-ES_tradnl" w:eastAsia="es-ES"/>
        </w:rPr>
        <w:t>Información</w:t>
      </w:r>
      <w:r w:rsidRPr="007D7BBA">
        <w:rPr>
          <w:rFonts w:ascii="Century Gothic" w:hAnsi="Century Gothic" w:cs="Tahoma"/>
          <w:noProof/>
          <w:color w:val="943634"/>
          <w:sz w:val="24"/>
          <w:szCs w:val="24"/>
          <w:lang w:val="es-ES_tradnl" w:eastAsia="es-ES"/>
        </w:rPr>
        <w:t xml:space="preserve"> </w:t>
      </w:r>
      <w:r w:rsidRPr="007D7BBA">
        <w:rPr>
          <w:rFonts w:ascii="Century Gothic" w:hAnsi="Century Gothic" w:cs="Tahoma"/>
          <w:noProof/>
          <w:sz w:val="24"/>
          <w:szCs w:val="24"/>
          <w:lang w:val="es-ES_tradnl" w:eastAsia="es-ES"/>
        </w:rPr>
        <w:t xml:space="preserve">sobre el </w:t>
      </w:r>
      <w:r w:rsidRPr="007D7BBA">
        <w:rPr>
          <w:rFonts w:ascii="Century Gothic" w:hAnsi="Century Gothic" w:cs="Tahoma"/>
          <w:b/>
          <w:noProof/>
          <w:sz w:val="24"/>
          <w:szCs w:val="24"/>
          <w:lang w:val="es-ES_tradnl" w:eastAsia="es-ES"/>
        </w:rPr>
        <w:t>uso de pantallas</w:t>
      </w:r>
      <w:r w:rsidRPr="007D7BBA">
        <w:rPr>
          <w:rFonts w:ascii="Century Gothic" w:hAnsi="Century Gothic" w:cs="Tahoma"/>
          <w:noProof/>
          <w:sz w:val="24"/>
          <w:szCs w:val="24"/>
          <w:lang w:val="es-ES_tradnl" w:eastAsia="es-ES"/>
        </w:rPr>
        <w:t xml:space="preserve">: en el año 2019 se realizó el diseño y se viene distribuyendo desde entonces el  “Decálogo para promover el uso seguro y saludable de pantallas en la infancia y adolescencia”.  </w:t>
      </w:r>
    </w:p>
    <w:p w:rsidR="00D5439F" w:rsidRPr="007D7BBA" w:rsidRDefault="00D5439F" w:rsidP="007D7BBA">
      <w:pPr>
        <w:pStyle w:val="Prrafodelista"/>
        <w:numPr>
          <w:ilvl w:val="0"/>
          <w:numId w:val="12"/>
        </w:numPr>
        <w:spacing w:line="288" w:lineRule="auto"/>
        <w:ind w:left="708"/>
        <w:jc w:val="both"/>
        <w:rPr>
          <w:rFonts w:ascii="Century Gothic" w:hAnsi="Century Gothic" w:cs="Tahoma"/>
          <w:noProof/>
          <w:sz w:val="24"/>
          <w:szCs w:val="24"/>
          <w:lang w:val="es-ES_tradnl" w:eastAsia="es-ES"/>
        </w:rPr>
      </w:pPr>
      <w:r w:rsidRPr="007D7BBA">
        <w:rPr>
          <w:rFonts w:ascii="Century Gothic" w:hAnsi="Century Gothic" w:cs="Tahoma"/>
          <w:b/>
          <w:noProof/>
          <w:color w:val="943634"/>
          <w:sz w:val="24"/>
          <w:szCs w:val="24"/>
          <w:lang w:val="es-ES_tradnl" w:eastAsia="es-ES"/>
        </w:rPr>
        <w:t xml:space="preserve">Investigación: </w:t>
      </w:r>
      <w:r w:rsidRPr="007D7BBA">
        <w:rPr>
          <w:rFonts w:ascii="Century Gothic" w:hAnsi="Century Gothic" w:cs="Tahoma"/>
          <w:noProof/>
          <w:sz w:val="24"/>
          <w:szCs w:val="24"/>
          <w:lang w:val="es-ES_tradnl" w:eastAsia="es-ES"/>
        </w:rPr>
        <w:t xml:space="preserve">ESTUDES, EDADES, Encuesta Navarra de Juventud y Salud, el Indicador de Urgencias que ya están en la agenda del III Plan. </w:t>
      </w:r>
    </w:p>
    <w:p w:rsidR="0094264C" w:rsidRDefault="00D5439F" w:rsidP="007D7BBA">
      <w:pPr>
        <w:pStyle w:val="Prrafodelista"/>
        <w:numPr>
          <w:ilvl w:val="0"/>
          <w:numId w:val="12"/>
        </w:numPr>
        <w:spacing w:line="288" w:lineRule="auto"/>
        <w:ind w:left="708"/>
        <w:jc w:val="both"/>
        <w:rPr>
          <w:rFonts w:ascii="Century Gothic" w:hAnsi="Century Gothic" w:cs="Tahoma"/>
          <w:noProof/>
          <w:sz w:val="24"/>
          <w:szCs w:val="24"/>
          <w:lang w:val="es-ES_tradnl" w:eastAsia="es-ES"/>
        </w:rPr>
      </w:pPr>
      <w:r w:rsidRPr="007D7BBA">
        <w:rPr>
          <w:rFonts w:ascii="Century Gothic" w:hAnsi="Century Gothic" w:cs="Tahoma"/>
          <w:b/>
          <w:noProof/>
          <w:color w:val="943634"/>
          <w:sz w:val="24"/>
          <w:szCs w:val="24"/>
          <w:lang w:val="es-ES_tradnl" w:eastAsia="es-ES"/>
        </w:rPr>
        <w:t xml:space="preserve">Apoyo a Programas Municipales de Drogodependencias y Entidades Sociales. </w:t>
      </w:r>
      <w:r w:rsidRPr="007D7BBA">
        <w:rPr>
          <w:rFonts w:ascii="Century Gothic" w:hAnsi="Century Gothic" w:cs="Tahoma"/>
          <w:noProof/>
          <w:sz w:val="24"/>
          <w:szCs w:val="24"/>
          <w:lang w:val="es-ES_tradnl" w:eastAsia="es-ES"/>
        </w:rPr>
        <w:t xml:space="preserve">A través de las líneas de subvenciones se financian acciones de prevención de adicciones con y sin sustancia. Las acciones financiadas por la linea de subvenciones destinadas a las entidades sociales que previnen la ludopatía y el uso abuso de las TIC han aumentado en los últimos. </w:t>
      </w:r>
    </w:p>
    <w:p w:rsidR="00D5439F" w:rsidRPr="007D7BBA" w:rsidRDefault="00D5439F" w:rsidP="007D7BBA">
      <w:pPr>
        <w:pStyle w:val="Prrafodelista"/>
        <w:spacing w:after="0" w:line="288" w:lineRule="auto"/>
        <w:jc w:val="both"/>
        <w:rPr>
          <w:rFonts w:ascii="Century Gothic" w:hAnsi="Century Gothic"/>
          <w:sz w:val="24"/>
          <w:szCs w:val="24"/>
          <w:lang w:val="es-ES_tradnl"/>
        </w:rPr>
      </w:pPr>
      <w:r w:rsidRPr="007D7BBA">
        <w:rPr>
          <w:rFonts w:ascii="Century Gothic" w:hAnsi="Century Gothic"/>
          <w:sz w:val="24"/>
          <w:szCs w:val="24"/>
          <w:lang w:val="es-ES_tradnl"/>
        </w:rPr>
        <w:t xml:space="preserve">Tabla 5. </w:t>
      </w:r>
      <w:r w:rsidRPr="007D7BBA">
        <w:rPr>
          <w:rFonts w:ascii="Century Gothic" w:hAnsi="Century Gothic"/>
          <w:color w:val="943634"/>
          <w:sz w:val="24"/>
          <w:szCs w:val="24"/>
          <w:lang w:val="es-ES_tradnl"/>
        </w:rPr>
        <w:t xml:space="preserve">Evolución de las ayudas destinadas a EESS para </w:t>
      </w:r>
      <w:r w:rsidR="0094264C" w:rsidRPr="007D7BBA">
        <w:rPr>
          <w:rFonts w:ascii="Century Gothic" w:hAnsi="Century Gothic"/>
          <w:color w:val="943634"/>
          <w:sz w:val="24"/>
          <w:szCs w:val="24"/>
          <w:lang w:val="es-ES_tradnl"/>
        </w:rPr>
        <w:t>actividades</w:t>
      </w:r>
      <w:r w:rsidRPr="007D7BBA">
        <w:rPr>
          <w:rFonts w:ascii="Century Gothic" w:hAnsi="Century Gothic"/>
          <w:color w:val="943634"/>
          <w:sz w:val="24"/>
          <w:szCs w:val="24"/>
          <w:lang w:val="es-ES_tradnl"/>
        </w:rPr>
        <w:t xml:space="preserve"> de prevención de </w:t>
      </w:r>
      <w:proofErr w:type="spellStart"/>
      <w:r w:rsidRPr="007D7BBA">
        <w:rPr>
          <w:rFonts w:ascii="Century Gothic" w:hAnsi="Century Gothic"/>
          <w:color w:val="943634"/>
          <w:sz w:val="24"/>
          <w:szCs w:val="24"/>
          <w:lang w:val="es-ES_tradnl"/>
        </w:rPr>
        <w:t>adiccines</w:t>
      </w:r>
      <w:proofErr w:type="spellEnd"/>
      <w:r w:rsidRPr="007D7BBA">
        <w:rPr>
          <w:rFonts w:ascii="Century Gothic" w:hAnsi="Century Gothic"/>
          <w:color w:val="943634"/>
          <w:sz w:val="24"/>
          <w:szCs w:val="24"/>
          <w:lang w:val="es-ES_tradnl"/>
        </w:rPr>
        <w:t xml:space="preserve"> con y sin sustancia (€)</w:t>
      </w:r>
    </w:p>
    <w:tbl>
      <w:tblPr>
        <w:tblW w:w="7896" w:type="dxa"/>
        <w:jc w:val="center"/>
        <w:tblInd w:w="-1313" w:type="dxa"/>
        <w:tblCellMar>
          <w:left w:w="70" w:type="dxa"/>
          <w:right w:w="70" w:type="dxa"/>
        </w:tblCellMar>
        <w:tblLook w:val="00A0" w:firstRow="1" w:lastRow="0" w:firstColumn="1" w:lastColumn="0" w:noHBand="0" w:noVBand="0"/>
      </w:tblPr>
      <w:tblGrid>
        <w:gridCol w:w="3021"/>
        <w:gridCol w:w="1005"/>
        <w:gridCol w:w="1005"/>
        <w:gridCol w:w="1005"/>
        <w:gridCol w:w="1107"/>
        <w:gridCol w:w="1209"/>
      </w:tblGrid>
      <w:tr w:rsidR="00D5439F" w:rsidRPr="007D7BBA" w:rsidTr="00E8048E">
        <w:trPr>
          <w:trHeight w:val="300"/>
          <w:jc w:val="center"/>
        </w:trPr>
        <w:tc>
          <w:tcPr>
            <w:tcW w:w="3021"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r w:rsidRPr="007D7BBA">
              <w:rPr>
                <w:rFonts w:ascii="Century Gothic" w:hAnsi="Century Gothic"/>
                <w:b/>
                <w:bCs/>
                <w:color w:val="963634"/>
                <w:sz w:val="24"/>
                <w:szCs w:val="24"/>
                <w:lang w:eastAsia="es-ES"/>
              </w:rPr>
              <w:t>2016</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r w:rsidRPr="007D7BBA">
              <w:rPr>
                <w:rFonts w:ascii="Century Gothic" w:hAnsi="Century Gothic"/>
                <w:b/>
                <w:bCs/>
                <w:color w:val="963634"/>
                <w:sz w:val="24"/>
                <w:szCs w:val="24"/>
                <w:lang w:eastAsia="es-ES"/>
              </w:rPr>
              <w:t>2017</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r w:rsidRPr="007D7BBA">
              <w:rPr>
                <w:rFonts w:ascii="Century Gothic" w:hAnsi="Century Gothic"/>
                <w:b/>
                <w:bCs/>
                <w:color w:val="963634"/>
                <w:sz w:val="24"/>
                <w:szCs w:val="24"/>
                <w:lang w:eastAsia="es-ES"/>
              </w:rPr>
              <w:t>2018</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r w:rsidRPr="007D7BBA">
              <w:rPr>
                <w:rFonts w:ascii="Century Gothic" w:hAnsi="Century Gothic"/>
                <w:b/>
                <w:bCs/>
                <w:color w:val="963634"/>
                <w:sz w:val="24"/>
                <w:szCs w:val="24"/>
                <w:lang w:eastAsia="es-ES"/>
              </w:rPr>
              <w:t>2019</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r w:rsidRPr="007D7BBA">
              <w:rPr>
                <w:rFonts w:ascii="Century Gothic" w:hAnsi="Century Gothic"/>
                <w:b/>
                <w:bCs/>
                <w:color w:val="963634"/>
                <w:sz w:val="24"/>
                <w:szCs w:val="24"/>
                <w:lang w:eastAsia="es-ES"/>
              </w:rPr>
              <w:t>2020</w:t>
            </w:r>
          </w:p>
        </w:tc>
      </w:tr>
      <w:tr w:rsidR="00D5439F" w:rsidRPr="007D7BBA" w:rsidTr="004A0317">
        <w:trPr>
          <w:trHeight w:val="348"/>
          <w:jc w:val="center"/>
        </w:trPr>
        <w:tc>
          <w:tcPr>
            <w:tcW w:w="3021"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r w:rsidRPr="007D7BBA">
              <w:rPr>
                <w:rFonts w:ascii="Century Gothic" w:hAnsi="Century Gothic"/>
                <w:b/>
                <w:bCs/>
                <w:color w:val="963634"/>
                <w:sz w:val="24"/>
                <w:szCs w:val="24"/>
                <w:lang w:eastAsia="es-ES"/>
              </w:rPr>
              <w:t>Subvención entidades sociales</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rFonts w:ascii="Century Gothic" w:hAnsi="Century Gothic"/>
                <w:color w:val="963634"/>
                <w:sz w:val="24"/>
                <w:szCs w:val="24"/>
                <w:lang w:eastAsia="es-ES"/>
              </w:rPr>
            </w:pPr>
            <w:r w:rsidRPr="007D7BBA">
              <w:rPr>
                <w:rFonts w:ascii="Century Gothic" w:hAnsi="Century Gothic"/>
                <w:color w:val="963634"/>
                <w:sz w:val="24"/>
                <w:szCs w:val="24"/>
                <w:lang w:eastAsia="es-ES"/>
              </w:rPr>
              <w:t>185.000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rFonts w:ascii="Century Gothic" w:hAnsi="Century Gothic"/>
                <w:color w:val="963634"/>
                <w:sz w:val="24"/>
                <w:szCs w:val="24"/>
                <w:lang w:eastAsia="es-ES"/>
              </w:rPr>
            </w:pPr>
            <w:r w:rsidRPr="007D7BBA">
              <w:rPr>
                <w:rFonts w:ascii="Century Gothic" w:hAnsi="Century Gothic"/>
                <w:color w:val="963634"/>
                <w:sz w:val="24"/>
                <w:szCs w:val="24"/>
                <w:lang w:eastAsia="es-ES"/>
              </w:rPr>
              <w:t>235.000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rFonts w:ascii="Century Gothic" w:hAnsi="Century Gothic"/>
                <w:color w:val="963634"/>
                <w:sz w:val="24"/>
                <w:szCs w:val="24"/>
                <w:lang w:eastAsia="es-ES"/>
              </w:rPr>
            </w:pPr>
            <w:r w:rsidRPr="007D7BBA">
              <w:rPr>
                <w:rFonts w:ascii="Century Gothic" w:hAnsi="Century Gothic"/>
                <w:color w:val="963634"/>
                <w:sz w:val="24"/>
                <w:szCs w:val="24"/>
                <w:lang w:eastAsia="es-ES"/>
              </w:rPr>
              <w:t>235.000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rFonts w:ascii="Century Gothic" w:hAnsi="Century Gothic"/>
                <w:color w:val="963634"/>
                <w:sz w:val="24"/>
                <w:szCs w:val="24"/>
                <w:lang w:eastAsia="es-ES"/>
              </w:rPr>
            </w:pPr>
            <w:r w:rsidRPr="007D7BBA">
              <w:rPr>
                <w:rFonts w:ascii="Century Gothic" w:hAnsi="Century Gothic"/>
                <w:color w:val="963634"/>
                <w:sz w:val="24"/>
                <w:szCs w:val="24"/>
                <w:lang w:eastAsia="es-ES"/>
              </w:rPr>
              <w:t>318.000*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rFonts w:ascii="Century Gothic" w:hAnsi="Century Gothic"/>
                <w:color w:val="963634"/>
                <w:sz w:val="24"/>
                <w:szCs w:val="24"/>
                <w:lang w:eastAsia="es-ES"/>
              </w:rPr>
            </w:pPr>
            <w:r w:rsidRPr="007D7BBA">
              <w:rPr>
                <w:rFonts w:ascii="Century Gothic" w:hAnsi="Century Gothic"/>
                <w:color w:val="963634"/>
                <w:sz w:val="24"/>
                <w:szCs w:val="24"/>
                <w:lang w:eastAsia="es-ES"/>
              </w:rPr>
              <w:t>343.000**</w:t>
            </w:r>
          </w:p>
        </w:tc>
      </w:tr>
    </w:tbl>
    <w:p w:rsidR="00D5439F" w:rsidRPr="007D7BBA" w:rsidRDefault="00D5439F" w:rsidP="007D7BBA">
      <w:pPr>
        <w:spacing w:after="0" w:line="288" w:lineRule="auto"/>
        <w:rPr>
          <w:rFonts w:ascii="Century Gothic" w:hAnsi="Century Gothic" w:cs="Tahoma"/>
          <w:noProof/>
          <w:sz w:val="24"/>
          <w:szCs w:val="24"/>
          <w:lang w:val="es-ES_tradnl" w:eastAsia="es-ES"/>
        </w:rPr>
      </w:pPr>
      <w:r w:rsidRPr="007D7BBA">
        <w:rPr>
          <w:rFonts w:ascii="Century Gothic" w:hAnsi="Century Gothic" w:cs="Tahoma"/>
          <w:noProof/>
          <w:sz w:val="24"/>
          <w:szCs w:val="24"/>
          <w:lang w:val="es-ES_tradnl" w:eastAsia="es-ES"/>
        </w:rPr>
        <w:t>*Incluye una subvención nominativa</w:t>
      </w:r>
    </w:p>
    <w:p w:rsidR="0094264C" w:rsidRDefault="00D5439F" w:rsidP="007D7BBA">
      <w:pPr>
        <w:spacing w:after="0" w:line="288" w:lineRule="auto"/>
        <w:rPr>
          <w:rFonts w:ascii="Century Gothic" w:hAnsi="Century Gothic" w:cs="Tahoma"/>
          <w:noProof/>
          <w:sz w:val="24"/>
          <w:szCs w:val="24"/>
          <w:lang w:val="es-ES_tradnl" w:eastAsia="es-ES"/>
        </w:rPr>
      </w:pPr>
      <w:r w:rsidRPr="007D7BBA">
        <w:rPr>
          <w:rFonts w:ascii="Century Gothic" w:hAnsi="Century Gothic" w:cs="Tahoma"/>
          <w:noProof/>
          <w:sz w:val="24"/>
          <w:szCs w:val="24"/>
          <w:lang w:val="es-ES_tradnl" w:eastAsia="es-ES"/>
        </w:rPr>
        <w:t>**Incluye dos subvenciones nominativas</w:t>
      </w:r>
    </w:p>
    <w:p w:rsidR="00D5439F" w:rsidRPr="007D7BBA" w:rsidRDefault="00D5439F" w:rsidP="007D7BBA">
      <w:pPr>
        <w:spacing w:line="288" w:lineRule="auto"/>
        <w:rPr>
          <w:rFonts w:ascii="Century Gothic" w:hAnsi="Century Gothic"/>
          <w:sz w:val="24"/>
          <w:szCs w:val="24"/>
        </w:rPr>
      </w:pPr>
      <w:r w:rsidRPr="007D7BBA">
        <w:rPr>
          <w:rFonts w:ascii="Century Gothic" w:hAnsi="Century Gothic" w:cs="Tahoma"/>
          <w:b/>
          <w:sz w:val="24"/>
          <w:szCs w:val="24"/>
        </w:rPr>
        <w:t xml:space="preserve">4. </w:t>
      </w:r>
      <w:r w:rsidRPr="007D7BBA">
        <w:rPr>
          <w:rFonts w:ascii="Century Gothic" w:hAnsi="Century Gothic" w:cs="Tahoma"/>
          <w:sz w:val="24"/>
          <w:szCs w:val="24"/>
        </w:rPr>
        <w:t>Si es así, ¿qué nuevas líneas de trabajo o medidas concretas están valorando?</w:t>
      </w:r>
    </w:p>
    <w:p w:rsidR="00D5439F" w:rsidRPr="007D7BBA" w:rsidRDefault="00D5439F" w:rsidP="007D7BBA">
      <w:pPr>
        <w:spacing w:line="288" w:lineRule="auto"/>
        <w:rPr>
          <w:rFonts w:ascii="Century Gothic" w:hAnsi="Century Gothic" w:cs="Tahoma"/>
          <w:noProof/>
          <w:sz w:val="24"/>
          <w:szCs w:val="24"/>
          <w:lang w:eastAsia="es-ES"/>
        </w:rPr>
      </w:pPr>
      <w:r w:rsidRPr="007D7BBA">
        <w:rPr>
          <w:rFonts w:ascii="Century Gothic" w:hAnsi="Century Gothic" w:cs="Tahoma"/>
          <w:noProof/>
          <w:sz w:val="24"/>
          <w:szCs w:val="24"/>
          <w:lang w:eastAsia="es-ES"/>
        </w:rPr>
        <w:t xml:space="preserve">Entre las nuevas líneas a desarrollar están las ya contempladas en el III Plan que resultan adecuadas a la nueva situación y se intensificarán si fuera preciso: </w:t>
      </w:r>
    </w:p>
    <w:p w:rsidR="00D5439F" w:rsidRPr="007D7BBA" w:rsidRDefault="00D5439F" w:rsidP="007D7BBA">
      <w:pPr>
        <w:pStyle w:val="Prrafodelista"/>
        <w:numPr>
          <w:ilvl w:val="0"/>
          <w:numId w:val="13"/>
        </w:numPr>
        <w:spacing w:line="288" w:lineRule="auto"/>
        <w:jc w:val="both"/>
        <w:rPr>
          <w:rFonts w:ascii="Century Gothic" w:hAnsi="Century Gothic" w:cs="Tahoma"/>
          <w:noProof/>
          <w:sz w:val="24"/>
          <w:szCs w:val="24"/>
          <w:lang w:eastAsia="es-ES"/>
        </w:rPr>
      </w:pPr>
      <w:r w:rsidRPr="007D7BBA">
        <w:rPr>
          <w:rFonts w:ascii="Century Gothic" w:hAnsi="Century Gothic" w:cs="Tahoma"/>
          <w:b/>
          <w:noProof/>
          <w:color w:val="943634"/>
          <w:sz w:val="24"/>
          <w:szCs w:val="24"/>
          <w:lang w:eastAsia="es-ES"/>
        </w:rPr>
        <w:t>Desarrollo de la capacidad comunicativa del Plan</w:t>
      </w:r>
      <w:r w:rsidRPr="007D7BBA">
        <w:rPr>
          <w:rFonts w:ascii="Century Gothic" w:hAnsi="Century Gothic" w:cs="Tahoma"/>
          <w:noProof/>
          <w:sz w:val="24"/>
          <w:szCs w:val="24"/>
          <w:lang w:eastAsia="es-ES"/>
        </w:rPr>
        <w:t>, incorporando las nuevas tecnologías (demandado en el proceso participativo para la elaboración del Plan)</w:t>
      </w:r>
    </w:p>
    <w:p w:rsidR="00D5439F" w:rsidRPr="007D7BBA" w:rsidRDefault="00D5439F" w:rsidP="007D7BBA">
      <w:pPr>
        <w:spacing w:line="288" w:lineRule="auto"/>
        <w:ind w:left="360"/>
        <w:rPr>
          <w:rFonts w:ascii="Century Gothic" w:hAnsi="Century Gothic" w:cs="Tahoma"/>
          <w:noProof/>
          <w:sz w:val="24"/>
          <w:szCs w:val="24"/>
          <w:lang w:eastAsia="es-ES"/>
        </w:rPr>
      </w:pPr>
      <w:r w:rsidRPr="007D7BBA">
        <w:rPr>
          <w:rFonts w:ascii="Century Gothic" w:hAnsi="Century Gothic" w:cs="Tahoma"/>
          <w:noProof/>
          <w:sz w:val="24"/>
          <w:szCs w:val="24"/>
          <w:lang w:eastAsia="es-ES"/>
        </w:rPr>
        <w:t>Campañas centrales anuales sobre diferentes temas, como las ya iniciadas y que siguen reforzándose, a través también de medios online, alcohol, cannabis y otras nuevas como adicciones sin sustancia o tabaco -nuevas formas de consumo- (pag. 33 del III Plan)</w:t>
      </w:r>
    </w:p>
    <w:p w:rsidR="00D5439F" w:rsidRPr="007D7BBA" w:rsidRDefault="00D5439F" w:rsidP="007D7BBA">
      <w:pPr>
        <w:spacing w:line="288" w:lineRule="auto"/>
        <w:ind w:left="360"/>
        <w:rPr>
          <w:rFonts w:ascii="Century Gothic" w:hAnsi="Century Gothic" w:cs="Tahoma"/>
          <w:noProof/>
          <w:sz w:val="24"/>
          <w:szCs w:val="24"/>
          <w:lang w:eastAsia="es-ES"/>
        </w:rPr>
      </w:pPr>
      <w:r w:rsidRPr="007D7BBA">
        <w:rPr>
          <w:rFonts w:ascii="Century Gothic" w:hAnsi="Century Gothic" w:cs="Tahoma"/>
          <w:noProof/>
          <w:sz w:val="24"/>
          <w:szCs w:val="24"/>
          <w:lang w:eastAsia="es-ES"/>
        </w:rPr>
        <w:t xml:space="preserve">Las web </w:t>
      </w:r>
      <w:hyperlink r:id="rId8" w:history="1">
        <w:r w:rsidRPr="007D7BBA">
          <w:rPr>
            <w:rStyle w:val="Hipervnculo"/>
            <w:rFonts w:ascii="Century Gothic" w:hAnsi="Century Gothic" w:cs="Tahoma"/>
            <w:noProof/>
            <w:sz w:val="24"/>
            <w:szCs w:val="24"/>
            <w:lang w:eastAsia="es-ES"/>
          </w:rPr>
          <w:t>www.saludjovennavarra.es</w:t>
        </w:r>
      </w:hyperlink>
      <w:r w:rsidRPr="007D7BBA">
        <w:rPr>
          <w:rFonts w:ascii="Century Gothic" w:hAnsi="Century Gothic" w:cs="Tahoma"/>
          <w:noProof/>
          <w:sz w:val="24"/>
          <w:szCs w:val="24"/>
          <w:lang w:eastAsia="es-ES"/>
        </w:rPr>
        <w:t xml:space="preserve">  con contenidos específicos sobre Bienestar Emocional; Drogas y Juego; y Sexualidad realizado </w:t>
      </w:r>
      <w:r w:rsidRPr="007D7BBA">
        <w:rPr>
          <w:rFonts w:ascii="Century Gothic" w:hAnsi="Century Gothic" w:cs="Tahoma"/>
          <w:noProof/>
          <w:sz w:val="24"/>
          <w:szCs w:val="24"/>
          <w:lang w:eastAsia="es-ES"/>
        </w:rPr>
        <w:lastRenderedPageBreak/>
        <w:t xml:space="preserve">entre el Instituto Navarrao de la Juventud y la Sección de Promoción de la Salud. </w:t>
      </w:r>
    </w:p>
    <w:p w:rsidR="00D5439F" w:rsidRPr="007D7BBA" w:rsidRDefault="00D5439F" w:rsidP="007D7BBA">
      <w:pPr>
        <w:pStyle w:val="Prrafodelista"/>
        <w:numPr>
          <w:ilvl w:val="0"/>
          <w:numId w:val="13"/>
        </w:numPr>
        <w:spacing w:line="288" w:lineRule="auto"/>
        <w:jc w:val="both"/>
        <w:rPr>
          <w:rFonts w:ascii="Century Gothic" w:hAnsi="Century Gothic" w:cs="Tahoma"/>
          <w:noProof/>
          <w:sz w:val="24"/>
          <w:szCs w:val="24"/>
          <w:lang w:eastAsia="es-ES"/>
        </w:rPr>
      </w:pPr>
      <w:r w:rsidRPr="007D7BBA">
        <w:rPr>
          <w:rFonts w:ascii="Century Gothic" w:hAnsi="Century Gothic" w:cs="Tahoma"/>
          <w:b/>
          <w:noProof/>
          <w:color w:val="943634"/>
          <w:sz w:val="24"/>
          <w:szCs w:val="24"/>
          <w:lang w:eastAsia="es-ES"/>
        </w:rPr>
        <w:t>Creación de espacios de relacion con el servicios de investigación de la UPNA,</w:t>
      </w:r>
      <w:r w:rsidRPr="007D7BBA">
        <w:rPr>
          <w:rFonts w:ascii="Century Gothic" w:hAnsi="Century Gothic" w:cs="Tahoma"/>
          <w:noProof/>
          <w:sz w:val="24"/>
          <w:szCs w:val="24"/>
          <w:lang w:eastAsia="es-ES"/>
        </w:rPr>
        <w:t xml:space="preserve"> generación de nuevo conomiento y aplicación práctica (pág. 34 del III Plan)</w:t>
      </w:r>
    </w:p>
    <w:p w:rsidR="00D5439F" w:rsidRPr="007D7BBA" w:rsidRDefault="00D5439F" w:rsidP="007D7BBA">
      <w:pPr>
        <w:pStyle w:val="Prrafodelista"/>
        <w:numPr>
          <w:ilvl w:val="0"/>
          <w:numId w:val="13"/>
        </w:numPr>
        <w:spacing w:line="288" w:lineRule="auto"/>
        <w:jc w:val="both"/>
        <w:rPr>
          <w:rFonts w:ascii="Century Gothic" w:hAnsi="Century Gothic" w:cs="Tahoma"/>
          <w:noProof/>
          <w:sz w:val="24"/>
          <w:szCs w:val="24"/>
          <w:lang w:val="es-ES_tradnl" w:eastAsia="es-ES"/>
        </w:rPr>
      </w:pPr>
      <w:r w:rsidRPr="007D7BBA">
        <w:rPr>
          <w:rFonts w:ascii="Century Gothic" w:hAnsi="Century Gothic" w:cs="Tahoma"/>
          <w:noProof/>
          <w:sz w:val="24"/>
          <w:szCs w:val="24"/>
          <w:lang w:val="es-ES_tradnl" w:eastAsia="es-ES"/>
        </w:rPr>
        <w:t xml:space="preserve">La línea 6.2.1. de </w:t>
      </w:r>
      <w:r w:rsidRPr="007D7BBA">
        <w:rPr>
          <w:rFonts w:ascii="Century Gothic" w:hAnsi="Century Gothic" w:cs="Tahoma"/>
          <w:b/>
          <w:noProof/>
          <w:color w:val="943634"/>
          <w:sz w:val="24"/>
          <w:szCs w:val="24"/>
          <w:lang w:val="es-ES_tradnl" w:eastAsia="es-ES"/>
        </w:rPr>
        <w:t xml:space="preserve">Infancia y Adolescencia </w:t>
      </w:r>
      <w:r w:rsidRPr="007D7BBA">
        <w:rPr>
          <w:rFonts w:ascii="Century Gothic" w:hAnsi="Century Gothic" w:cs="Tahoma"/>
          <w:noProof/>
          <w:sz w:val="24"/>
          <w:szCs w:val="24"/>
          <w:lang w:val="es-ES_tradnl" w:eastAsia="es-ES"/>
        </w:rPr>
        <w:t>del Plan recoge la preocupación por el uso de pantallas (pág. 37 del III Plan)</w:t>
      </w:r>
    </w:p>
    <w:p w:rsidR="0094264C" w:rsidRDefault="00D5439F" w:rsidP="007D7BBA">
      <w:pPr>
        <w:spacing w:after="0" w:line="288" w:lineRule="auto"/>
        <w:ind w:left="360"/>
        <w:rPr>
          <w:rFonts w:ascii="Century Gothic" w:hAnsi="Century Gothic" w:cs="Tahoma"/>
          <w:noProof/>
          <w:sz w:val="24"/>
          <w:szCs w:val="24"/>
          <w:lang w:val="es-ES_tradnl" w:eastAsia="es-ES"/>
        </w:rPr>
      </w:pPr>
      <w:r w:rsidRPr="007D7BBA">
        <w:rPr>
          <w:rFonts w:ascii="Century Gothic" w:hAnsi="Century Gothic" w:cs="Tahoma"/>
          <w:noProof/>
          <w:sz w:val="24"/>
          <w:szCs w:val="24"/>
          <w:lang w:val="es-ES_tradnl" w:eastAsia="es-ES"/>
        </w:rPr>
        <w:t>En el ámbito educativo teniendo en cuenta que el tratamiento curricular, requiere contenidos específicos adecuados a las distintas etapas educativas (infantil, primaria y secundaria) y situaciones del grupo y procurar al alumnado de forma transversal el desarrollo de recursos y capacidades</w:t>
      </w:r>
      <w:r w:rsidRPr="007D7BBA">
        <w:rPr>
          <w:rFonts w:ascii="Century Gothic" w:hAnsi="Century Gothic"/>
          <w:sz w:val="24"/>
          <w:szCs w:val="24"/>
        </w:rPr>
        <w:t xml:space="preserve"> </w:t>
      </w:r>
      <w:r w:rsidRPr="007D7BBA">
        <w:rPr>
          <w:rFonts w:ascii="Century Gothic" w:hAnsi="Century Gothic" w:cs="Tahoma"/>
          <w:noProof/>
          <w:sz w:val="24"/>
          <w:szCs w:val="24"/>
          <w:lang w:val="es-ES_tradnl" w:eastAsia="es-ES"/>
        </w:rPr>
        <w:t xml:space="preserve">necesarios que apoye estilos de vida y comportamientos seguros y saludables está contemplada la realizacion de una </w:t>
      </w:r>
      <w:r w:rsidRPr="007D7BBA">
        <w:rPr>
          <w:rFonts w:ascii="Century Gothic" w:hAnsi="Century Gothic" w:cs="Tahoma"/>
          <w:b/>
          <w:noProof/>
          <w:sz w:val="24"/>
          <w:szCs w:val="24"/>
          <w:lang w:val="es-ES_tradnl" w:eastAsia="es-ES"/>
        </w:rPr>
        <w:t>guía, en colaboración con el Departamento de Educación,</w:t>
      </w:r>
      <w:r w:rsidRPr="007D7BBA">
        <w:rPr>
          <w:rFonts w:ascii="Century Gothic" w:hAnsi="Century Gothic" w:cs="Tahoma"/>
          <w:noProof/>
          <w:sz w:val="24"/>
          <w:szCs w:val="24"/>
          <w:lang w:val="es-ES_tradnl" w:eastAsia="es-ES"/>
        </w:rPr>
        <w:t xml:space="preserve"> que contribuirá  el proceso educativo formal de Educación para la Salud y la </w:t>
      </w:r>
      <w:r w:rsidRPr="007D7BBA">
        <w:rPr>
          <w:rFonts w:ascii="Century Gothic" w:hAnsi="Century Gothic" w:cs="Tahoma"/>
          <w:b/>
          <w:noProof/>
          <w:sz w:val="24"/>
          <w:szCs w:val="24"/>
          <w:lang w:val="es-ES_tradnl" w:eastAsia="es-ES"/>
        </w:rPr>
        <w:t>prevención de adicciones durante todas las etapas curriculares de la enseñanza obligatoria</w:t>
      </w:r>
      <w:r w:rsidRPr="007D7BBA">
        <w:rPr>
          <w:rFonts w:ascii="Century Gothic" w:hAnsi="Century Gothic" w:cs="Tahoma"/>
          <w:noProof/>
          <w:sz w:val="24"/>
          <w:szCs w:val="24"/>
          <w:lang w:val="es-ES_tradnl" w:eastAsia="es-ES"/>
        </w:rPr>
        <w:t xml:space="preserve">. </w:t>
      </w:r>
    </w:p>
    <w:p w:rsidR="00D5439F" w:rsidRPr="007D7BBA" w:rsidRDefault="00D5439F" w:rsidP="007D7BBA">
      <w:pPr>
        <w:spacing w:line="288" w:lineRule="auto"/>
        <w:rPr>
          <w:rFonts w:ascii="Century Gothic" w:hAnsi="Century Gothic" w:cs="Tahoma"/>
          <w:noProof/>
          <w:sz w:val="24"/>
          <w:szCs w:val="24"/>
          <w:lang w:eastAsia="es-ES"/>
        </w:rPr>
      </w:pPr>
      <w:r w:rsidRPr="007D7BBA">
        <w:rPr>
          <w:rFonts w:ascii="Century Gothic" w:hAnsi="Century Gothic" w:cs="Tahoma"/>
          <w:noProof/>
          <w:sz w:val="24"/>
          <w:szCs w:val="24"/>
          <w:lang w:eastAsia="es-ES"/>
        </w:rPr>
        <w:t>Finalmente, cabe recordar que desde el III Plan de prevención de drogodependencias y adicciones mantenemos la coordinación y colaboración, además de con las Estructuras citadas, con otras Estructuras del Gobierno de Navarra implicadas en este tema, especialmente la Subdirección de Salud mental del servicio Navarro de Salud como la Dirección general de Interior</w:t>
      </w:r>
    </w:p>
    <w:p w:rsidR="0094264C" w:rsidRDefault="007D7BBA" w:rsidP="007D7BBA">
      <w:pPr>
        <w:tabs>
          <w:tab w:val="left" w:pos="720"/>
        </w:tabs>
        <w:spacing w:line="288" w:lineRule="auto"/>
        <w:rPr>
          <w:rFonts w:ascii="Century Gothic" w:hAnsi="Century Gothic"/>
          <w:sz w:val="24"/>
          <w:szCs w:val="24"/>
        </w:rPr>
      </w:pPr>
      <w:r w:rsidRPr="007D7BBA">
        <w:rPr>
          <w:rFonts w:ascii="Century Gothic" w:hAnsi="Century Gothic"/>
          <w:sz w:val="24"/>
          <w:szCs w:val="24"/>
        </w:rPr>
        <w:t>Es cuanto tengo el honor de informar en cumplimiento de lo dispuesto en el artículo 194 del Reglamento del Parlamento de Navarra.</w:t>
      </w:r>
    </w:p>
    <w:p w:rsidR="0094264C" w:rsidRDefault="007D7BBA" w:rsidP="007D7BBA">
      <w:pPr>
        <w:tabs>
          <w:tab w:val="left" w:pos="3780"/>
        </w:tabs>
        <w:spacing w:line="288" w:lineRule="auto"/>
        <w:jc w:val="center"/>
        <w:rPr>
          <w:rFonts w:ascii="Century Gothic" w:hAnsi="Century Gothic"/>
          <w:sz w:val="24"/>
          <w:szCs w:val="24"/>
        </w:rPr>
      </w:pPr>
      <w:r w:rsidRPr="007D7BBA">
        <w:rPr>
          <w:rFonts w:ascii="Century Gothic" w:hAnsi="Century Gothic"/>
          <w:sz w:val="24"/>
          <w:szCs w:val="24"/>
        </w:rPr>
        <w:t xml:space="preserve">Pamplona,  </w:t>
      </w:r>
      <w:r>
        <w:rPr>
          <w:rFonts w:ascii="Century Gothic" w:hAnsi="Century Gothic"/>
          <w:sz w:val="24"/>
          <w:szCs w:val="24"/>
        </w:rPr>
        <w:t>2</w:t>
      </w:r>
      <w:r w:rsidRPr="007D7BBA">
        <w:rPr>
          <w:rFonts w:ascii="Century Gothic" w:hAnsi="Century Gothic"/>
          <w:sz w:val="24"/>
          <w:szCs w:val="24"/>
        </w:rPr>
        <w:t xml:space="preserve"> de </w:t>
      </w:r>
      <w:r>
        <w:rPr>
          <w:rFonts w:ascii="Century Gothic" w:hAnsi="Century Gothic"/>
          <w:sz w:val="24"/>
          <w:szCs w:val="24"/>
        </w:rPr>
        <w:t>julio</w:t>
      </w:r>
      <w:r w:rsidRPr="007D7BBA">
        <w:rPr>
          <w:rFonts w:ascii="Century Gothic" w:hAnsi="Century Gothic"/>
          <w:sz w:val="24"/>
          <w:szCs w:val="24"/>
        </w:rPr>
        <w:t xml:space="preserve"> de 2020</w:t>
      </w:r>
    </w:p>
    <w:p w:rsidR="0094264C" w:rsidRDefault="0094264C" w:rsidP="007D7BBA">
      <w:pPr>
        <w:spacing w:line="288" w:lineRule="auto"/>
        <w:ind w:left="567" w:right="567"/>
        <w:jc w:val="center"/>
        <w:rPr>
          <w:rFonts w:ascii="Century Gothic" w:hAnsi="Century Gothic"/>
          <w:sz w:val="24"/>
          <w:szCs w:val="24"/>
          <w:lang w:val="pt-BR"/>
        </w:rPr>
      </w:pPr>
      <w:r w:rsidRPr="007D7BBA">
        <w:rPr>
          <w:rFonts w:ascii="Century Gothic" w:hAnsi="Century Gothic"/>
          <w:sz w:val="24"/>
          <w:szCs w:val="24"/>
        </w:rPr>
        <w:t>La Consejera de Salud</w:t>
      </w:r>
      <w:r>
        <w:rPr>
          <w:rFonts w:ascii="Century Gothic" w:hAnsi="Century Gothic"/>
          <w:sz w:val="24"/>
          <w:szCs w:val="24"/>
        </w:rPr>
        <w:t>:</w:t>
      </w:r>
      <w:r w:rsidRPr="007D7BBA">
        <w:rPr>
          <w:rFonts w:ascii="Century Gothic" w:hAnsi="Century Gothic"/>
          <w:sz w:val="24"/>
          <w:szCs w:val="24"/>
          <w:lang w:val="pt-BR"/>
        </w:rPr>
        <w:t xml:space="preserve"> </w:t>
      </w:r>
      <w:r w:rsidR="007D7BBA" w:rsidRPr="007D7BBA">
        <w:rPr>
          <w:rFonts w:ascii="Century Gothic" w:hAnsi="Century Gothic"/>
          <w:sz w:val="24"/>
          <w:szCs w:val="24"/>
          <w:lang w:val="pt-BR"/>
        </w:rPr>
        <w:t xml:space="preserve">Santos </w:t>
      </w:r>
      <w:proofErr w:type="spellStart"/>
      <w:r w:rsidR="007D7BBA" w:rsidRPr="007D7BBA">
        <w:rPr>
          <w:rFonts w:ascii="Century Gothic" w:hAnsi="Century Gothic"/>
          <w:sz w:val="24"/>
          <w:szCs w:val="24"/>
          <w:lang w:val="pt-BR"/>
        </w:rPr>
        <w:t>Indur</w:t>
      </w:r>
      <w:r>
        <w:rPr>
          <w:rFonts w:ascii="Century Gothic" w:hAnsi="Century Gothic"/>
          <w:sz w:val="24"/>
          <w:szCs w:val="24"/>
          <w:lang w:val="pt-BR"/>
        </w:rPr>
        <w:t>á</w:t>
      </w:r>
      <w:r w:rsidR="007D7BBA" w:rsidRPr="007D7BBA">
        <w:rPr>
          <w:rFonts w:ascii="Century Gothic" w:hAnsi="Century Gothic"/>
          <w:sz w:val="24"/>
          <w:szCs w:val="24"/>
          <w:lang w:val="pt-BR"/>
        </w:rPr>
        <w:t>in</w:t>
      </w:r>
      <w:proofErr w:type="spellEnd"/>
      <w:r w:rsidR="007D7BBA" w:rsidRPr="007D7BBA">
        <w:rPr>
          <w:rFonts w:ascii="Century Gothic" w:hAnsi="Century Gothic"/>
          <w:sz w:val="24"/>
          <w:szCs w:val="24"/>
          <w:lang w:val="pt-BR"/>
        </w:rPr>
        <w:t xml:space="preserve"> </w:t>
      </w:r>
      <w:proofErr w:type="spellStart"/>
      <w:r w:rsidR="007D7BBA" w:rsidRPr="007D7BBA">
        <w:rPr>
          <w:rFonts w:ascii="Century Gothic" w:hAnsi="Century Gothic"/>
          <w:sz w:val="24"/>
          <w:szCs w:val="24"/>
          <w:lang w:val="pt-BR"/>
        </w:rPr>
        <w:t>Orduna</w:t>
      </w:r>
      <w:proofErr w:type="spellEnd"/>
    </w:p>
    <w:p w:rsidR="00D5439F" w:rsidRPr="007D7BBA" w:rsidRDefault="00D5439F" w:rsidP="007D7BBA">
      <w:pPr>
        <w:spacing w:after="0" w:line="288" w:lineRule="auto"/>
        <w:rPr>
          <w:rFonts w:ascii="Century Gothic" w:hAnsi="Century Gothic"/>
          <w:sz w:val="24"/>
          <w:szCs w:val="24"/>
        </w:rPr>
      </w:pPr>
    </w:p>
    <w:sectPr w:rsidR="00D5439F" w:rsidRPr="007D7BBA" w:rsidSect="00E410D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9F" w:rsidRDefault="00D5439F" w:rsidP="00E410D4">
      <w:pPr>
        <w:spacing w:after="0"/>
      </w:pPr>
      <w:r>
        <w:separator/>
      </w:r>
    </w:p>
  </w:endnote>
  <w:endnote w:type="continuationSeparator" w:id="0">
    <w:p w:rsidR="00D5439F" w:rsidRDefault="00D5439F" w:rsidP="00E410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9F" w:rsidRDefault="00D5439F" w:rsidP="00E410D4">
      <w:pPr>
        <w:spacing w:after="0"/>
      </w:pPr>
      <w:r>
        <w:separator/>
      </w:r>
    </w:p>
  </w:footnote>
  <w:footnote w:type="continuationSeparator" w:id="0">
    <w:p w:rsidR="00D5439F" w:rsidRDefault="00D5439F" w:rsidP="00E410D4">
      <w:pPr>
        <w:spacing w:after="0"/>
      </w:pPr>
      <w:r>
        <w:continuationSeparator/>
      </w:r>
    </w:p>
  </w:footnote>
  <w:footnote w:id="1">
    <w:p w:rsidR="00D5439F" w:rsidRDefault="00D5439F" w:rsidP="00BC628A">
      <w:pPr>
        <w:tabs>
          <w:tab w:val="left" w:pos="1965"/>
        </w:tabs>
        <w:rPr>
          <w:rFonts w:ascii="Tahoma" w:hAnsi="Tahoma" w:cs="Tahoma"/>
          <w:lang w:val="es-ES_tradnl"/>
        </w:rPr>
      </w:pPr>
      <w:r>
        <w:rPr>
          <w:rStyle w:val="Refdenotaalpie"/>
        </w:rPr>
        <w:footnoteRef/>
      </w:r>
      <w:r>
        <w:t xml:space="preserve"> </w:t>
      </w:r>
      <w:r w:rsidRPr="00BC628A">
        <w:rPr>
          <w:rFonts w:ascii="Tahoma" w:hAnsi="Tahoma" w:cs="Tahoma"/>
          <w:sz w:val="18"/>
          <w:szCs w:val="18"/>
          <w:lang w:val="es-ES_tradnl"/>
        </w:rPr>
        <w:t>Que las encuestas se realicen cada dos años, de forma alterna, nos permite la observación continua de la evolución de los distintos consumos de sustancias y usos de las TIC/Internet/Videojuegos.</w:t>
      </w:r>
      <w:r>
        <w:rPr>
          <w:rFonts w:ascii="Tahoma" w:hAnsi="Tahoma" w:cs="Tahoma"/>
          <w:lang w:val="es-ES_tradnl"/>
        </w:rPr>
        <w:t xml:space="preserve"> </w:t>
      </w:r>
    </w:p>
    <w:p w:rsidR="00D5439F" w:rsidRDefault="00D5439F" w:rsidP="00BC628A">
      <w:pPr>
        <w:tabs>
          <w:tab w:val="left" w:pos="1965"/>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833"/>
    <w:multiLevelType w:val="hybridMultilevel"/>
    <w:tmpl w:val="CC36D44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AF8793B"/>
    <w:multiLevelType w:val="hybridMultilevel"/>
    <w:tmpl w:val="5B625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FC4B0B"/>
    <w:multiLevelType w:val="hybridMultilevel"/>
    <w:tmpl w:val="F3D60C0A"/>
    <w:lvl w:ilvl="0" w:tplc="FD36AFA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B9009C8"/>
    <w:multiLevelType w:val="multilevel"/>
    <w:tmpl w:val="5DDEA028"/>
    <w:lvl w:ilvl="0">
      <w:start w:val="6"/>
      <w:numFmt w:val="decimal"/>
      <w:lvlText w:val="%1."/>
      <w:lvlJc w:val="left"/>
      <w:pPr>
        <w:tabs>
          <w:tab w:val="num" w:pos="825"/>
        </w:tabs>
        <w:ind w:left="825" w:hanging="465"/>
      </w:pPr>
      <w:rPr>
        <w:rFonts w:cs="Times New Roman" w:hint="default"/>
        <w:b/>
      </w:rPr>
    </w:lvl>
    <w:lvl w:ilvl="1">
      <w:start w:val="1"/>
      <w:numFmt w:val="decimal"/>
      <w:pStyle w:val="Ttulo2"/>
      <w:lvlText w:val="%1.%2."/>
      <w:lvlJc w:val="left"/>
      <w:pPr>
        <w:tabs>
          <w:tab w:val="num" w:pos="1530"/>
        </w:tabs>
        <w:ind w:left="1530" w:hanging="465"/>
      </w:pPr>
      <w:rPr>
        <w:rFonts w:cs="Times New Roman" w:hint="default"/>
        <w:b/>
      </w:rPr>
    </w:lvl>
    <w:lvl w:ilvl="2">
      <w:start w:val="1"/>
      <w:numFmt w:val="decimal"/>
      <w:lvlText w:val="%1.%2.%3."/>
      <w:lvlJc w:val="left"/>
      <w:pPr>
        <w:tabs>
          <w:tab w:val="num" w:pos="2490"/>
        </w:tabs>
        <w:ind w:left="2490" w:hanging="720"/>
      </w:pPr>
      <w:rPr>
        <w:rFonts w:cs="Times New Roman" w:hint="default"/>
        <w:b/>
      </w:rPr>
    </w:lvl>
    <w:lvl w:ilvl="3">
      <w:start w:val="1"/>
      <w:numFmt w:val="decimal"/>
      <w:lvlText w:val="%1.%2.%3.%4."/>
      <w:lvlJc w:val="left"/>
      <w:pPr>
        <w:tabs>
          <w:tab w:val="num" w:pos="3195"/>
        </w:tabs>
        <w:ind w:left="3195" w:hanging="720"/>
      </w:pPr>
      <w:rPr>
        <w:rFonts w:cs="Times New Roman" w:hint="default"/>
        <w:b/>
      </w:rPr>
    </w:lvl>
    <w:lvl w:ilvl="4">
      <w:start w:val="1"/>
      <w:numFmt w:val="decimal"/>
      <w:lvlText w:val="%1.%2.%3.%4.%5."/>
      <w:lvlJc w:val="left"/>
      <w:pPr>
        <w:tabs>
          <w:tab w:val="num" w:pos="4260"/>
        </w:tabs>
        <w:ind w:left="4260" w:hanging="1080"/>
      </w:pPr>
      <w:rPr>
        <w:rFonts w:cs="Times New Roman" w:hint="default"/>
        <w:b/>
      </w:rPr>
    </w:lvl>
    <w:lvl w:ilvl="5">
      <w:start w:val="1"/>
      <w:numFmt w:val="decimal"/>
      <w:lvlText w:val="%1.%2.%3.%4.%5.%6."/>
      <w:lvlJc w:val="left"/>
      <w:pPr>
        <w:tabs>
          <w:tab w:val="num" w:pos="4965"/>
        </w:tabs>
        <w:ind w:left="4965" w:hanging="1080"/>
      </w:pPr>
      <w:rPr>
        <w:rFonts w:cs="Times New Roman" w:hint="default"/>
        <w:b/>
      </w:rPr>
    </w:lvl>
    <w:lvl w:ilvl="6">
      <w:start w:val="1"/>
      <w:numFmt w:val="decimal"/>
      <w:lvlText w:val="%1.%2.%3.%4.%5.%6.%7."/>
      <w:lvlJc w:val="left"/>
      <w:pPr>
        <w:tabs>
          <w:tab w:val="num" w:pos="6030"/>
        </w:tabs>
        <w:ind w:left="6030" w:hanging="1440"/>
      </w:pPr>
      <w:rPr>
        <w:rFonts w:cs="Times New Roman" w:hint="default"/>
        <w:b/>
      </w:rPr>
    </w:lvl>
    <w:lvl w:ilvl="7">
      <w:start w:val="1"/>
      <w:numFmt w:val="decimal"/>
      <w:lvlText w:val="%1.%2.%3.%4.%5.%6.%7.%8."/>
      <w:lvlJc w:val="left"/>
      <w:pPr>
        <w:tabs>
          <w:tab w:val="num" w:pos="6735"/>
        </w:tabs>
        <w:ind w:left="6735" w:hanging="1440"/>
      </w:pPr>
      <w:rPr>
        <w:rFonts w:cs="Times New Roman" w:hint="default"/>
        <w:b/>
      </w:rPr>
    </w:lvl>
    <w:lvl w:ilvl="8">
      <w:start w:val="1"/>
      <w:numFmt w:val="decimal"/>
      <w:lvlText w:val="%1.%2.%3.%4.%5.%6.%7.%8.%9."/>
      <w:lvlJc w:val="left"/>
      <w:pPr>
        <w:tabs>
          <w:tab w:val="num" w:pos="7800"/>
        </w:tabs>
        <w:ind w:left="7800" w:hanging="1800"/>
      </w:pPr>
      <w:rPr>
        <w:rFonts w:cs="Times New Roman" w:hint="default"/>
        <w:b/>
      </w:rPr>
    </w:lvl>
  </w:abstractNum>
  <w:abstractNum w:abstractNumId="4">
    <w:nsid w:val="58B6144B"/>
    <w:multiLevelType w:val="hybridMultilevel"/>
    <w:tmpl w:val="F55C6C4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5E2C7D21"/>
    <w:multiLevelType w:val="hybridMultilevel"/>
    <w:tmpl w:val="5BC618B4"/>
    <w:lvl w:ilvl="0" w:tplc="9CC6E76A">
      <w:start w:val="1"/>
      <w:numFmt w:val="decimal"/>
      <w:pStyle w:val="Ttulo1"/>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5E8D03E7"/>
    <w:multiLevelType w:val="hybridMultilevel"/>
    <w:tmpl w:val="E21ABFE2"/>
    <w:lvl w:ilvl="0" w:tplc="94FC090E">
      <w:start w:val="1"/>
      <w:numFmt w:val="decimal"/>
      <w:lvlText w:val="%1."/>
      <w:lvlJc w:val="left"/>
      <w:pPr>
        <w:ind w:left="720" w:hanging="360"/>
      </w:pPr>
      <w:rPr>
        <w:rFonts w:ascii="Tahoma" w:hAnsi="Tahoma" w:cs="Tahoma" w:hint="default"/>
        <w:sz w:val="22"/>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F673417"/>
    <w:multiLevelType w:val="hybridMultilevel"/>
    <w:tmpl w:val="8C4A846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61611F94"/>
    <w:multiLevelType w:val="hybridMultilevel"/>
    <w:tmpl w:val="3F3AEF2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6C055468"/>
    <w:multiLevelType w:val="hybridMultilevel"/>
    <w:tmpl w:val="CC36D44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61E37ED"/>
    <w:multiLevelType w:val="hybridMultilevel"/>
    <w:tmpl w:val="5C720C9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3"/>
  </w:num>
  <w:num w:numId="4">
    <w:abstractNumId w:val="10"/>
  </w:num>
  <w:num w:numId="5">
    <w:abstractNumId w:val="2"/>
  </w:num>
  <w:num w:numId="6">
    <w:abstractNumId w:val="0"/>
  </w:num>
  <w:num w:numId="7">
    <w:abstractNumId w:val="7"/>
  </w:num>
  <w:num w:numId="8">
    <w:abstractNumId w:val="2"/>
  </w:num>
  <w:num w:numId="9">
    <w:abstractNumId w:val="9"/>
  </w:num>
  <w:num w:numId="10">
    <w:abstractNumId w:val="6"/>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CB"/>
    <w:rsid w:val="00002315"/>
    <w:rsid w:val="00027843"/>
    <w:rsid w:val="00037129"/>
    <w:rsid w:val="00046A2B"/>
    <w:rsid w:val="00093EF5"/>
    <w:rsid w:val="000A51C1"/>
    <w:rsid w:val="000E6D80"/>
    <w:rsid w:val="000F1FD3"/>
    <w:rsid w:val="00127002"/>
    <w:rsid w:val="00133296"/>
    <w:rsid w:val="00157931"/>
    <w:rsid w:val="0016502A"/>
    <w:rsid w:val="00174321"/>
    <w:rsid w:val="001C1A95"/>
    <w:rsid w:val="00205EFE"/>
    <w:rsid w:val="00216411"/>
    <w:rsid w:val="002171A8"/>
    <w:rsid w:val="002509CB"/>
    <w:rsid w:val="002561C8"/>
    <w:rsid w:val="00270EE2"/>
    <w:rsid w:val="002800EC"/>
    <w:rsid w:val="002922A2"/>
    <w:rsid w:val="00324EB2"/>
    <w:rsid w:val="0035554F"/>
    <w:rsid w:val="00382ED5"/>
    <w:rsid w:val="003942A0"/>
    <w:rsid w:val="003A3615"/>
    <w:rsid w:val="003E69F4"/>
    <w:rsid w:val="00457DD5"/>
    <w:rsid w:val="004639E3"/>
    <w:rsid w:val="00483697"/>
    <w:rsid w:val="004A0317"/>
    <w:rsid w:val="004A148F"/>
    <w:rsid w:val="004A4138"/>
    <w:rsid w:val="004F6207"/>
    <w:rsid w:val="00501B3D"/>
    <w:rsid w:val="00555933"/>
    <w:rsid w:val="005762D9"/>
    <w:rsid w:val="00581610"/>
    <w:rsid w:val="005A7A40"/>
    <w:rsid w:val="005B501E"/>
    <w:rsid w:val="005D36AA"/>
    <w:rsid w:val="005D68E6"/>
    <w:rsid w:val="0060029A"/>
    <w:rsid w:val="00612D68"/>
    <w:rsid w:val="0063250C"/>
    <w:rsid w:val="00661A8E"/>
    <w:rsid w:val="006841B2"/>
    <w:rsid w:val="006B02A5"/>
    <w:rsid w:val="006B3540"/>
    <w:rsid w:val="00705519"/>
    <w:rsid w:val="007933D0"/>
    <w:rsid w:val="007947CA"/>
    <w:rsid w:val="007A17B8"/>
    <w:rsid w:val="007A6CC4"/>
    <w:rsid w:val="007B6F34"/>
    <w:rsid w:val="007D7BBA"/>
    <w:rsid w:val="007F6AB1"/>
    <w:rsid w:val="00812F42"/>
    <w:rsid w:val="00855B25"/>
    <w:rsid w:val="00865634"/>
    <w:rsid w:val="00877CCC"/>
    <w:rsid w:val="00896DC7"/>
    <w:rsid w:val="00902725"/>
    <w:rsid w:val="00925A2C"/>
    <w:rsid w:val="00933E89"/>
    <w:rsid w:val="0094264C"/>
    <w:rsid w:val="00950179"/>
    <w:rsid w:val="00954331"/>
    <w:rsid w:val="00957CCD"/>
    <w:rsid w:val="00996438"/>
    <w:rsid w:val="009B23B8"/>
    <w:rsid w:val="009B4C38"/>
    <w:rsid w:val="00A15674"/>
    <w:rsid w:val="00A16D29"/>
    <w:rsid w:val="00A42064"/>
    <w:rsid w:val="00A42DC6"/>
    <w:rsid w:val="00A757AA"/>
    <w:rsid w:val="00A84CAE"/>
    <w:rsid w:val="00A94DB5"/>
    <w:rsid w:val="00A954EF"/>
    <w:rsid w:val="00AA59E3"/>
    <w:rsid w:val="00AB605D"/>
    <w:rsid w:val="00AC47CB"/>
    <w:rsid w:val="00AE2F0E"/>
    <w:rsid w:val="00AF085E"/>
    <w:rsid w:val="00AF4A60"/>
    <w:rsid w:val="00B14276"/>
    <w:rsid w:val="00B2281A"/>
    <w:rsid w:val="00B33C65"/>
    <w:rsid w:val="00B47508"/>
    <w:rsid w:val="00B47A34"/>
    <w:rsid w:val="00B50142"/>
    <w:rsid w:val="00B503EE"/>
    <w:rsid w:val="00B9076F"/>
    <w:rsid w:val="00B9248E"/>
    <w:rsid w:val="00B93692"/>
    <w:rsid w:val="00B96B28"/>
    <w:rsid w:val="00BB252B"/>
    <w:rsid w:val="00BB6451"/>
    <w:rsid w:val="00BC628A"/>
    <w:rsid w:val="00BF5358"/>
    <w:rsid w:val="00BF537D"/>
    <w:rsid w:val="00BF799F"/>
    <w:rsid w:val="00C65719"/>
    <w:rsid w:val="00C91FF8"/>
    <w:rsid w:val="00C973DC"/>
    <w:rsid w:val="00CA126E"/>
    <w:rsid w:val="00CA3507"/>
    <w:rsid w:val="00CB40C2"/>
    <w:rsid w:val="00CB45D8"/>
    <w:rsid w:val="00CB5AF8"/>
    <w:rsid w:val="00CE21AD"/>
    <w:rsid w:val="00CE3FFF"/>
    <w:rsid w:val="00CF0C39"/>
    <w:rsid w:val="00D02B95"/>
    <w:rsid w:val="00D17680"/>
    <w:rsid w:val="00D40CB3"/>
    <w:rsid w:val="00D5439F"/>
    <w:rsid w:val="00D6032E"/>
    <w:rsid w:val="00DE05B8"/>
    <w:rsid w:val="00DF6BB6"/>
    <w:rsid w:val="00E410D4"/>
    <w:rsid w:val="00E477CD"/>
    <w:rsid w:val="00E5753E"/>
    <w:rsid w:val="00E6578C"/>
    <w:rsid w:val="00E8048E"/>
    <w:rsid w:val="00EA0658"/>
    <w:rsid w:val="00EA0999"/>
    <w:rsid w:val="00EB3105"/>
    <w:rsid w:val="00ED434D"/>
    <w:rsid w:val="00F0316B"/>
    <w:rsid w:val="00F21BDE"/>
    <w:rsid w:val="00F5726B"/>
    <w:rsid w:val="00F62C86"/>
    <w:rsid w:val="00F6304C"/>
    <w:rsid w:val="00F82560"/>
    <w:rsid w:val="00FA0E5F"/>
    <w:rsid w:val="00FE0371"/>
    <w:rsid w:val="00FE3C10"/>
    <w:rsid w:val="00FF5C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5"/>
    <w:pPr>
      <w:spacing w:after="180"/>
      <w:jc w:val="both"/>
    </w:pPr>
    <w:rPr>
      <w:rFonts w:ascii="Calibri" w:hAnsi="Calibri"/>
      <w:lang w:eastAsia="en-US"/>
    </w:rPr>
  </w:style>
  <w:style w:type="paragraph" w:styleId="Ttulo1">
    <w:name w:val="heading 1"/>
    <w:aliases w:val="Capítulo"/>
    <w:basedOn w:val="Normal"/>
    <w:next w:val="Normal"/>
    <w:link w:val="Ttulo1Car"/>
    <w:autoRedefine/>
    <w:uiPriority w:val="99"/>
    <w:qFormat/>
    <w:rsid w:val="007F6AB1"/>
    <w:pPr>
      <w:numPr>
        <w:numId w:val="1"/>
      </w:numPr>
      <w:spacing w:line="288" w:lineRule="auto"/>
      <w:outlineLvl w:val="0"/>
    </w:pPr>
    <w:rPr>
      <w:rFonts w:ascii="Century Gothic" w:hAnsi="Century Gothic" w:cs="Segoe UI"/>
      <w:b/>
      <w:color w:val="993300"/>
      <w:sz w:val="28"/>
      <w:szCs w:val="20"/>
      <w:u w:color="993300"/>
    </w:rPr>
  </w:style>
  <w:style w:type="paragraph" w:styleId="Ttulo2">
    <w:name w:val="heading 2"/>
    <w:aliases w:val="Título 1.1"/>
    <w:basedOn w:val="Normal"/>
    <w:next w:val="Normal"/>
    <w:link w:val="Ttulo2Car"/>
    <w:uiPriority w:val="99"/>
    <w:qFormat/>
    <w:rsid w:val="00933E89"/>
    <w:pPr>
      <w:keepNext/>
      <w:numPr>
        <w:ilvl w:val="1"/>
        <w:numId w:val="3"/>
      </w:numPr>
      <w:spacing w:before="240" w:after="60" w:line="288" w:lineRule="auto"/>
      <w:outlineLvl w:val="1"/>
    </w:pPr>
    <w:rPr>
      <w:rFonts w:ascii="Century Gothic" w:hAnsi="Century Gothic" w:cs="Segoe UI"/>
      <w:bCs/>
      <w:iCs/>
      <w:color w:val="993300"/>
      <w:sz w:val="28"/>
      <w:szCs w:val="28"/>
    </w:rPr>
  </w:style>
  <w:style w:type="paragraph" w:styleId="Ttulo3">
    <w:name w:val="heading 3"/>
    <w:basedOn w:val="Normal"/>
    <w:next w:val="Normal"/>
    <w:link w:val="Ttulo3Car"/>
    <w:autoRedefine/>
    <w:uiPriority w:val="99"/>
    <w:qFormat/>
    <w:rsid w:val="007F6AB1"/>
    <w:pPr>
      <w:keepNext/>
      <w:spacing w:before="100" w:beforeAutospacing="1"/>
      <w:outlineLvl w:val="2"/>
    </w:pPr>
    <w:rPr>
      <w:b/>
      <w:color w:val="333333"/>
      <w:sz w:val="28"/>
      <w:szCs w:val="20"/>
      <w:lang w:eastAsia="es-ES"/>
    </w:rPr>
  </w:style>
  <w:style w:type="paragraph" w:styleId="Ttulo4">
    <w:name w:val="heading 4"/>
    <w:basedOn w:val="Normal"/>
    <w:next w:val="Normal"/>
    <w:link w:val="Ttulo4Car"/>
    <w:uiPriority w:val="99"/>
    <w:qFormat/>
    <w:rsid w:val="00896DC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uiPriority w:val="99"/>
    <w:locked/>
    <w:rsid w:val="00B93692"/>
    <w:rPr>
      <w:rFonts w:ascii="Century Gothic" w:hAnsi="Century Gothic" w:cs="Segoe UI"/>
      <w:b/>
      <w:color w:val="993300"/>
      <w:sz w:val="28"/>
      <w:u w:color="993300"/>
      <w:lang w:eastAsia="en-US"/>
    </w:rPr>
  </w:style>
  <w:style w:type="character" w:customStyle="1" w:styleId="Ttulo2Car">
    <w:name w:val="Título 2 Car"/>
    <w:aliases w:val="Título 1.1 Car"/>
    <w:basedOn w:val="Fuentedeprrafopredeter"/>
    <w:link w:val="Ttulo2"/>
    <w:uiPriority w:val="99"/>
    <w:semiHidden/>
    <w:locked/>
    <w:rsid w:val="00957CCD"/>
    <w:rPr>
      <w:rFonts w:ascii="Cambria" w:hAnsi="Cambria" w:cs="Times New Roman"/>
      <w:b/>
      <w:bCs/>
      <w:i/>
      <w:iCs/>
      <w:sz w:val="28"/>
      <w:szCs w:val="28"/>
      <w:lang w:eastAsia="en-US"/>
    </w:rPr>
  </w:style>
  <w:style w:type="character" w:customStyle="1" w:styleId="Ttulo3Car">
    <w:name w:val="Título 3 Car"/>
    <w:basedOn w:val="Fuentedeprrafopredeter"/>
    <w:link w:val="Ttulo3"/>
    <w:uiPriority w:val="99"/>
    <w:locked/>
    <w:rsid w:val="003E69F4"/>
    <w:rPr>
      <w:rFonts w:ascii="Calibri" w:hAnsi="Calibri" w:cs="Times New Roman"/>
      <w:b/>
      <w:color w:val="333333"/>
      <w:sz w:val="28"/>
    </w:rPr>
  </w:style>
  <w:style w:type="character" w:customStyle="1" w:styleId="Ttulo4Car">
    <w:name w:val="Título 4 Car"/>
    <w:basedOn w:val="Fuentedeprrafopredeter"/>
    <w:link w:val="Ttulo4"/>
    <w:uiPriority w:val="99"/>
    <w:semiHidden/>
    <w:locked/>
    <w:rsid w:val="00896DC7"/>
    <w:rPr>
      <w:rFonts w:ascii="Cambria" w:hAnsi="Cambria" w:cs="Times New Roman"/>
      <w:b/>
      <w:bCs/>
      <w:i/>
      <w:iCs/>
      <w:color w:val="4F81BD"/>
      <w:sz w:val="22"/>
      <w:szCs w:val="22"/>
      <w:lang w:eastAsia="en-US"/>
    </w:rPr>
  </w:style>
  <w:style w:type="paragraph" w:customStyle="1" w:styleId="CitaCualitativo">
    <w:name w:val="Cita Cualitativo"/>
    <w:basedOn w:val="Normal"/>
    <w:uiPriority w:val="99"/>
    <w:rsid w:val="005D36AA"/>
    <w:pPr>
      <w:spacing w:line="288" w:lineRule="auto"/>
    </w:pPr>
    <w:rPr>
      <w:rFonts w:ascii="Century Gothic" w:hAnsi="Century Gothic" w:cs="Segoe UI"/>
      <w:b/>
      <w:sz w:val="18"/>
      <w:szCs w:val="20"/>
    </w:rPr>
  </w:style>
  <w:style w:type="paragraph" w:customStyle="1" w:styleId="CitaTriangulares">
    <w:name w:val="Cita Triangulares"/>
    <w:basedOn w:val="Normal"/>
    <w:uiPriority w:val="99"/>
    <w:rsid w:val="00CB40C2"/>
    <w:pPr>
      <w:spacing w:line="288" w:lineRule="auto"/>
      <w:jc w:val="right"/>
    </w:pPr>
    <w:rPr>
      <w:rFonts w:ascii="Century Gothic" w:hAnsi="Century Gothic" w:cs="Segoe UI"/>
      <w:i/>
      <w:sz w:val="16"/>
      <w:szCs w:val="20"/>
    </w:rPr>
  </w:style>
  <w:style w:type="paragraph" w:styleId="Textodeglobo">
    <w:name w:val="Balloon Text"/>
    <w:basedOn w:val="Normal"/>
    <w:link w:val="TextodegloboCar"/>
    <w:uiPriority w:val="99"/>
    <w:rsid w:val="00AC47C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locked/>
    <w:rsid w:val="00AC47CB"/>
    <w:rPr>
      <w:rFonts w:ascii="Tahoma" w:hAnsi="Tahoma" w:cs="Tahoma"/>
      <w:sz w:val="16"/>
      <w:szCs w:val="16"/>
      <w:lang w:eastAsia="en-US"/>
    </w:rPr>
  </w:style>
  <w:style w:type="paragraph" w:styleId="Encabezado">
    <w:name w:val="header"/>
    <w:basedOn w:val="Normal"/>
    <w:link w:val="EncabezadoCar"/>
    <w:uiPriority w:val="99"/>
    <w:rsid w:val="00E410D4"/>
    <w:pPr>
      <w:tabs>
        <w:tab w:val="center" w:pos="4252"/>
        <w:tab w:val="right" w:pos="8504"/>
      </w:tabs>
      <w:spacing w:after="0"/>
    </w:pPr>
  </w:style>
  <w:style w:type="character" w:customStyle="1" w:styleId="EncabezadoCar">
    <w:name w:val="Encabezado Car"/>
    <w:basedOn w:val="Fuentedeprrafopredeter"/>
    <w:link w:val="Encabezado"/>
    <w:uiPriority w:val="99"/>
    <w:locked/>
    <w:rsid w:val="00E410D4"/>
    <w:rPr>
      <w:rFonts w:ascii="Calibri" w:hAnsi="Calibri" w:cs="Times New Roman"/>
      <w:sz w:val="22"/>
      <w:szCs w:val="22"/>
      <w:lang w:eastAsia="en-US"/>
    </w:rPr>
  </w:style>
  <w:style w:type="paragraph" w:styleId="Piedepgina">
    <w:name w:val="footer"/>
    <w:basedOn w:val="Normal"/>
    <w:link w:val="PiedepginaCar"/>
    <w:uiPriority w:val="99"/>
    <w:rsid w:val="00E410D4"/>
    <w:pPr>
      <w:tabs>
        <w:tab w:val="center" w:pos="4252"/>
        <w:tab w:val="right" w:pos="8504"/>
      </w:tabs>
      <w:spacing w:after="0"/>
    </w:pPr>
  </w:style>
  <w:style w:type="character" w:customStyle="1" w:styleId="PiedepginaCar">
    <w:name w:val="Pie de página Car"/>
    <w:basedOn w:val="Fuentedeprrafopredeter"/>
    <w:link w:val="Piedepgina"/>
    <w:uiPriority w:val="99"/>
    <w:locked/>
    <w:rsid w:val="00E410D4"/>
    <w:rPr>
      <w:rFonts w:ascii="Calibri" w:hAnsi="Calibri" w:cs="Times New Roman"/>
      <w:sz w:val="22"/>
      <w:szCs w:val="22"/>
      <w:lang w:eastAsia="en-US"/>
    </w:rPr>
  </w:style>
  <w:style w:type="paragraph" w:styleId="Prrafodelista">
    <w:name w:val="List Paragraph"/>
    <w:basedOn w:val="Normal"/>
    <w:uiPriority w:val="99"/>
    <w:qFormat/>
    <w:rsid w:val="005D68E6"/>
    <w:pPr>
      <w:spacing w:after="200" w:line="276" w:lineRule="auto"/>
      <w:ind w:left="720"/>
      <w:contextualSpacing/>
      <w:jc w:val="left"/>
    </w:pPr>
  </w:style>
  <w:style w:type="character" w:styleId="Hipervnculo">
    <w:name w:val="Hyperlink"/>
    <w:basedOn w:val="Fuentedeprrafopredeter"/>
    <w:uiPriority w:val="99"/>
    <w:rsid w:val="00B93692"/>
    <w:rPr>
      <w:rFonts w:cs="Times New Roman"/>
      <w:color w:val="0000FF"/>
      <w:u w:val="single"/>
    </w:rPr>
  </w:style>
  <w:style w:type="character" w:styleId="Hipervnculovisitado">
    <w:name w:val="FollowedHyperlink"/>
    <w:basedOn w:val="Fuentedeprrafopredeter"/>
    <w:uiPriority w:val="99"/>
    <w:rsid w:val="00CA126E"/>
    <w:rPr>
      <w:rFonts w:cs="Times New Roman"/>
      <w:color w:val="800080"/>
      <w:u w:val="single"/>
    </w:rPr>
  </w:style>
  <w:style w:type="character" w:styleId="Refdecomentario">
    <w:name w:val="annotation reference"/>
    <w:basedOn w:val="Fuentedeprrafopredeter"/>
    <w:uiPriority w:val="99"/>
    <w:rsid w:val="00CB45D8"/>
    <w:rPr>
      <w:rFonts w:cs="Times New Roman"/>
      <w:sz w:val="16"/>
      <w:szCs w:val="16"/>
    </w:rPr>
  </w:style>
  <w:style w:type="paragraph" w:styleId="Textocomentario">
    <w:name w:val="annotation text"/>
    <w:basedOn w:val="Normal"/>
    <w:link w:val="TextocomentarioCar"/>
    <w:uiPriority w:val="99"/>
    <w:rsid w:val="00CB45D8"/>
    <w:rPr>
      <w:sz w:val="20"/>
      <w:szCs w:val="20"/>
    </w:rPr>
  </w:style>
  <w:style w:type="character" w:customStyle="1" w:styleId="TextocomentarioCar">
    <w:name w:val="Texto comentario Car"/>
    <w:basedOn w:val="Fuentedeprrafopredeter"/>
    <w:link w:val="Textocomentario"/>
    <w:uiPriority w:val="99"/>
    <w:locked/>
    <w:rsid w:val="00CB45D8"/>
    <w:rPr>
      <w:rFonts w:ascii="Calibri" w:hAnsi="Calibri" w:cs="Times New Roman"/>
      <w:lang w:eastAsia="en-US"/>
    </w:rPr>
  </w:style>
  <w:style w:type="paragraph" w:styleId="Asuntodelcomentario">
    <w:name w:val="annotation subject"/>
    <w:basedOn w:val="Textocomentario"/>
    <w:next w:val="Textocomentario"/>
    <w:link w:val="AsuntodelcomentarioCar"/>
    <w:uiPriority w:val="99"/>
    <w:rsid w:val="00CB45D8"/>
    <w:rPr>
      <w:b/>
      <w:bCs/>
    </w:rPr>
  </w:style>
  <w:style w:type="character" w:customStyle="1" w:styleId="AsuntodelcomentarioCar">
    <w:name w:val="Asunto del comentario Car"/>
    <w:basedOn w:val="TextocomentarioCar"/>
    <w:link w:val="Asuntodelcomentario"/>
    <w:uiPriority w:val="99"/>
    <w:locked/>
    <w:rsid w:val="00CB45D8"/>
    <w:rPr>
      <w:rFonts w:ascii="Calibri" w:hAnsi="Calibri" w:cs="Times New Roman"/>
      <w:b/>
      <w:bCs/>
      <w:lang w:eastAsia="en-US"/>
    </w:rPr>
  </w:style>
  <w:style w:type="paragraph" w:styleId="Textonotapie">
    <w:name w:val="footnote text"/>
    <w:basedOn w:val="Normal"/>
    <w:link w:val="TextonotapieCar"/>
    <w:uiPriority w:val="99"/>
    <w:rsid w:val="00F6304C"/>
    <w:pPr>
      <w:spacing w:after="0"/>
    </w:pPr>
    <w:rPr>
      <w:sz w:val="20"/>
      <w:szCs w:val="20"/>
    </w:rPr>
  </w:style>
  <w:style w:type="character" w:customStyle="1" w:styleId="TextonotapieCar">
    <w:name w:val="Texto nota pie Car"/>
    <w:basedOn w:val="Fuentedeprrafopredeter"/>
    <w:link w:val="Textonotapie"/>
    <w:uiPriority w:val="99"/>
    <w:locked/>
    <w:rsid w:val="00F6304C"/>
    <w:rPr>
      <w:rFonts w:ascii="Calibri" w:hAnsi="Calibri" w:cs="Times New Roman"/>
      <w:lang w:eastAsia="en-US"/>
    </w:rPr>
  </w:style>
  <w:style w:type="character" w:styleId="Refdenotaalpie">
    <w:name w:val="footnote reference"/>
    <w:basedOn w:val="Fuentedeprrafopredeter"/>
    <w:uiPriority w:val="99"/>
    <w:rsid w:val="00F6304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5"/>
    <w:pPr>
      <w:spacing w:after="180"/>
      <w:jc w:val="both"/>
    </w:pPr>
    <w:rPr>
      <w:rFonts w:ascii="Calibri" w:hAnsi="Calibri"/>
      <w:lang w:eastAsia="en-US"/>
    </w:rPr>
  </w:style>
  <w:style w:type="paragraph" w:styleId="Ttulo1">
    <w:name w:val="heading 1"/>
    <w:aliases w:val="Capítulo"/>
    <w:basedOn w:val="Normal"/>
    <w:next w:val="Normal"/>
    <w:link w:val="Ttulo1Car"/>
    <w:autoRedefine/>
    <w:uiPriority w:val="99"/>
    <w:qFormat/>
    <w:rsid w:val="007F6AB1"/>
    <w:pPr>
      <w:numPr>
        <w:numId w:val="1"/>
      </w:numPr>
      <w:spacing w:line="288" w:lineRule="auto"/>
      <w:outlineLvl w:val="0"/>
    </w:pPr>
    <w:rPr>
      <w:rFonts w:ascii="Century Gothic" w:hAnsi="Century Gothic" w:cs="Segoe UI"/>
      <w:b/>
      <w:color w:val="993300"/>
      <w:sz w:val="28"/>
      <w:szCs w:val="20"/>
      <w:u w:color="993300"/>
    </w:rPr>
  </w:style>
  <w:style w:type="paragraph" w:styleId="Ttulo2">
    <w:name w:val="heading 2"/>
    <w:aliases w:val="Título 1.1"/>
    <w:basedOn w:val="Normal"/>
    <w:next w:val="Normal"/>
    <w:link w:val="Ttulo2Car"/>
    <w:uiPriority w:val="99"/>
    <w:qFormat/>
    <w:rsid w:val="00933E89"/>
    <w:pPr>
      <w:keepNext/>
      <w:numPr>
        <w:ilvl w:val="1"/>
        <w:numId w:val="3"/>
      </w:numPr>
      <w:spacing w:before="240" w:after="60" w:line="288" w:lineRule="auto"/>
      <w:outlineLvl w:val="1"/>
    </w:pPr>
    <w:rPr>
      <w:rFonts w:ascii="Century Gothic" w:hAnsi="Century Gothic" w:cs="Segoe UI"/>
      <w:bCs/>
      <w:iCs/>
      <w:color w:val="993300"/>
      <w:sz w:val="28"/>
      <w:szCs w:val="28"/>
    </w:rPr>
  </w:style>
  <w:style w:type="paragraph" w:styleId="Ttulo3">
    <w:name w:val="heading 3"/>
    <w:basedOn w:val="Normal"/>
    <w:next w:val="Normal"/>
    <w:link w:val="Ttulo3Car"/>
    <w:autoRedefine/>
    <w:uiPriority w:val="99"/>
    <w:qFormat/>
    <w:rsid w:val="007F6AB1"/>
    <w:pPr>
      <w:keepNext/>
      <w:spacing w:before="100" w:beforeAutospacing="1"/>
      <w:outlineLvl w:val="2"/>
    </w:pPr>
    <w:rPr>
      <w:b/>
      <w:color w:val="333333"/>
      <w:sz w:val="28"/>
      <w:szCs w:val="20"/>
      <w:lang w:eastAsia="es-ES"/>
    </w:rPr>
  </w:style>
  <w:style w:type="paragraph" w:styleId="Ttulo4">
    <w:name w:val="heading 4"/>
    <w:basedOn w:val="Normal"/>
    <w:next w:val="Normal"/>
    <w:link w:val="Ttulo4Car"/>
    <w:uiPriority w:val="99"/>
    <w:qFormat/>
    <w:rsid w:val="00896DC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uiPriority w:val="99"/>
    <w:locked/>
    <w:rsid w:val="00B93692"/>
    <w:rPr>
      <w:rFonts w:ascii="Century Gothic" w:hAnsi="Century Gothic" w:cs="Segoe UI"/>
      <w:b/>
      <w:color w:val="993300"/>
      <w:sz w:val="28"/>
      <w:u w:color="993300"/>
      <w:lang w:eastAsia="en-US"/>
    </w:rPr>
  </w:style>
  <w:style w:type="character" w:customStyle="1" w:styleId="Ttulo2Car">
    <w:name w:val="Título 2 Car"/>
    <w:aliases w:val="Título 1.1 Car"/>
    <w:basedOn w:val="Fuentedeprrafopredeter"/>
    <w:link w:val="Ttulo2"/>
    <w:uiPriority w:val="99"/>
    <w:semiHidden/>
    <w:locked/>
    <w:rsid w:val="00957CCD"/>
    <w:rPr>
      <w:rFonts w:ascii="Cambria" w:hAnsi="Cambria" w:cs="Times New Roman"/>
      <w:b/>
      <w:bCs/>
      <w:i/>
      <w:iCs/>
      <w:sz w:val="28"/>
      <w:szCs w:val="28"/>
      <w:lang w:eastAsia="en-US"/>
    </w:rPr>
  </w:style>
  <w:style w:type="character" w:customStyle="1" w:styleId="Ttulo3Car">
    <w:name w:val="Título 3 Car"/>
    <w:basedOn w:val="Fuentedeprrafopredeter"/>
    <w:link w:val="Ttulo3"/>
    <w:uiPriority w:val="99"/>
    <w:locked/>
    <w:rsid w:val="003E69F4"/>
    <w:rPr>
      <w:rFonts w:ascii="Calibri" w:hAnsi="Calibri" w:cs="Times New Roman"/>
      <w:b/>
      <w:color w:val="333333"/>
      <w:sz w:val="28"/>
    </w:rPr>
  </w:style>
  <w:style w:type="character" w:customStyle="1" w:styleId="Ttulo4Car">
    <w:name w:val="Título 4 Car"/>
    <w:basedOn w:val="Fuentedeprrafopredeter"/>
    <w:link w:val="Ttulo4"/>
    <w:uiPriority w:val="99"/>
    <w:semiHidden/>
    <w:locked/>
    <w:rsid w:val="00896DC7"/>
    <w:rPr>
      <w:rFonts w:ascii="Cambria" w:hAnsi="Cambria" w:cs="Times New Roman"/>
      <w:b/>
      <w:bCs/>
      <w:i/>
      <w:iCs/>
      <w:color w:val="4F81BD"/>
      <w:sz w:val="22"/>
      <w:szCs w:val="22"/>
      <w:lang w:eastAsia="en-US"/>
    </w:rPr>
  </w:style>
  <w:style w:type="paragraph" w:customStyle="1" w:styleId="CitaCualitativo">
    <w:name w:val="Cita Cualitativo"/>
    <w:basedOn w:val="Normal"/>
    <w:uiPriority w:val="99"/>
    <w:rsid w:val="005D36AA"/>
    <w:pPr>
      <w:spacing w:line="288" w:lineRule="auto"/>
    </w:pPr>
    <w:rPr>
      <w:rFonts w:ascii="Century Gothic" w:hAnsi="Century Gothic" w:cs="Segoe UI"/>
      <w:b/>
      <w:sz w:val="18"/>
      <w:szCs w:val="20"/>
    </w:rPr>
  </w:style>
  <w:style w:type="paragraph" w:customStyle="1" w:styleId="CitaTriangulares">
    <w:name w:val="Cita Triangulares"/>
    <w:basedOn w:val="Normal"/>
    <w:uiPriority w:val="99"/>
    <w:rsid w:val="00CB40C2"/>
    <w:pPr>
      <w:spacing w:line="288" w:lineRule="auto"/>
      <w:jc w:val="right"/>
    </w:pPr>
    <w:rPr>
      <w:rFonts w:ascii="Century Gothic" w:hAnsi="Century Gothic" w:cs="Segoe UI"/>
      <w:i/>
      <w:sz w:val="16"/>
      <w:szCs w:val="20"/>
    </w:rPr>
  </w:style>
  <w:style w:type="paragraph" w:styleId="Textodeglobo">
    <w:name w:val="Balloon Text"/>
    <w:basedOn w:val="Normal"/>
    <w:link w:val="TextodegloboCar"/>
    <w:uiPriority w:val="99"/>
    <w:rsid w:val="00AC47C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locked/>
    <w:rsid w:val="00AC47CB"/>
    <w:rPr>
      <w:rFonts w:ascii="Tahoma" w:hAnsi="Tahoma" w:cs="Tahoma"/>
      <w:sz w:val="16"/>
      <w:szCs w:val="16"/>
      <w:lang w:eastAsia="en-US"/>
    </w:rPr>
  </w:style>
  <w:style w:type="paragraph" w:styleId="Encabezado">
    <w:name w:val="header"/>
    <w:basedOn w:val="Normal"/>
    <w:link w:val="EncabezadoCar"/>
    <w:uiPriority w:val="99"/>
    <w:rsid w:val="00E410D4"/>
    <w:pPr>
      <w:tabs>
        <w:tab w:val="center" w:pos="4252"/>
        <w:tab w:val="right" w:pos="8504"/>
      </w:tabs>
      <w:spacing w:after="0"/>
    </w:pPr>
  </w:style>
  <w:style w:type="character" w:customStyle="1" w:styleId="EncabezadoCar">
    <w:name w:val="Encabezado Car"/>
    <w:basedOn w:val="Fuentedeprrafopredeter"/>
    <w:link w:val="Encabezado"/>
    <w:uiPriority w:val="99"/>
    <w:locked/>
    <w:rsid w:val="00E410D4"/>
    <w:rPr>
      <w:rFonts w:ascii="Calibri" w:hAnsi="Calibri" w:cs="Times New Roman"/>
      <w:sz w:val="22"/>
      <w:szCs w:val="22"/>
      <w:lang w:eastAsia="en-US"/>
    </w:rPr>
  </w:style>
  <w:style w:type="paragraph" w:styleId="Piedepgina">
    <w:name w:val="footer"/>
    <w:basedOn w:val="Normal"/>
    <w:link w:val="PiedepginaCar"/>
    <w:uiPriority w:val="99"/>
    <w:rsid w:val="00E410D4"/>
    <w:pPr>
      <w:tabs>
        <w:tab w:val="center" w:pos="4252"/>
        <w:tab w:val="right" w:pos="8504"/>
      </w:tabs>
      <w:spacing w:after="0"/>
    </w:pPr>
  </w:style>
  <w:style w:type="character" w:customStyle="1" w:styleId="PiedepginaCar">
    <w:name w:val="Pie de página Car"/>
    <w:basedOn w:val="Fuentedeprrafopredeter"/>
    <w:link w:val="Piedepgina"/>
    <w:uiPriority w:val="99"/>
    <w:locked/>
    <w:rsid w:val="00E410D4"/>
    <w:rPr>
      <w:rFonts w:ascii="Calibri" w:hAnsi="Calibri" w:cs="Times New Roman"/>
      <w:sz w:val="22"/>
      <w:szCs w:val="22"/>
      <w:lang w:eastAsia="en-US"/>
    </w:rPr>
  </w:style>
  <w:style w:type="paragraph" w:styleId="Prrafodelista">
    <w:name w:val="List Paragraph"/>
    <w:basedOn w:val="Normal"/>
    <w:uiPriority w:val="99"/>
    <w:qFormat/>
    <w:rsid w:val="005D68E6"/>
    <w:pPr>
      <w:spacing w:after="200" w:line="276" w:lineRule="auto"/>
      <w:ind w:left="720"/>
      <w:contextualSpacing/>
      <w:jc w:val="left"/>
    </w:pPr>
  </w:style>
  <w:style w:type="character" w:styleId="Hipervnculo">
    <w:name w:val="Hyperlink"/>
    <w:basedOn w:val="Fuentedeprrafopredeter"/>
    <w:uiPriority w:val="99"/>
    <w:rsid w:val="00B93692"/>
    <w:rPr>
      <w:rFonts w:cs="Times New Roman"/>
      <w:color w:val="0000FF"/>
      <w:u w:val="single"/>
    </w:rPr>
  </w:style>
  <w:style w:type="character" w:styleId="Hipervnculovisitado">
    <w:name w:val="FollowedHyperlink"/>
    <w:basedOn w:val="Fuentedeprrafopredeter"/>
    <w:uiPriority w:val="99"/>
    <w:rsid w:val="00CA126E"/>
    <w:rPr>
      <w:rFonts w:cs="Times New Roman"/>
      <w:color w:val="800080"/>
      <w:u w:val="single"/>
    </w:rPr>
  </w:style>
  <w:style w:type="character" w:styleId="Refdecomentario">
    <w:name w:val="annotation reference"/>
    <w:basedOn w:val="Fuentedeprrafopredeter"/>
    <w:uiPriority w:val="99"/>
    <w:rsid w:val="00CB45D8"/>
    <w:rPr>
      <w:rFonts w:cs="Times New Roman"/>
      <w:sz w:val="16"/>
      <w:szCs w:val="16"/>
    </w:rPr>
  </w:style>
  <w:style w:type="paragraph" w:styleId="Textocomentario">
    <w:name w:val="annotation text"/>
    <w:basedOn w:val="Normal"/>
    <w:link w:val="TextocomentarioCar"/>
    <w:uiPriority w:val="99"/>
    <w:rsid w:val="00CB45D8"/>
    <w:rPr>
      <w:sz w:val="20"/>
      <w:szCs w:val="20"/>
    </w:rPr>
  </w:style>
  <w:style w:type="character" w:customStyle="1" w:styleId="TextocomentarioCar">
    <w:name w:val="Texto comentario Car"/>
    <w:basedOn w:val="Fuentedeprrafopredeter"/>
    <w:link w:val="Textocomentario"/>
    <w:uiPriority w:val="99"/>
    <w:locked/>
    <w:rsid w:val="00CB45D8"/>
    <w:rPr>
      <w:rFonts w:ascii="Calibri" w:hAnsi="Calibri" w:cs="Times New Roman"/>
      <w:lang w:eastAsia="en-US"/>
    </w:rPr>
  </w:style>
  <w:style w:type="paragraph" w:styleId="Asuntodelcomentario">
    <w:name w:val="annotation subject"/>
    <w:basedOn w:val="Textocomentario"/>
    <w:next w:val="Textocomentario"/>
    <w:link w:val="AsuntodelcomentarioCar"/>
    <w:uiPriority w:val="99"/>
    <w:rsid w:val="00CB45D8"/>
    <w:rPr>
      <w:b/>
      <w:bCs/>
    </w:rPr>
  </w:style>
  <w:style w:type="character" w:customStyle="1" w:styleId="AsuntodelcomentarioCar">
    <w:name w:val="Asunto del comentario Car"/>
    <w:basedOn w:val="TextocomentarioCar"/>
    <w:link w:val="Asuntodelcomentario"/>
    <w:uiPriority w:val="99"/>
    <w:locked/>
    <w:rsid w:val="00CB45D8"/>
    <w:rPr>
      <w:rFonts w:ascii="Calibri" w:hAnsi="Calibri" w:cs="Times New Roman"/>
      <w:b/>
      <w:bCs/>
      <w:lang w:eastAsia="en-US"/>
    </w:rPr>
  </w:style>
  <w:style w:type="paragraph" w:styleId="Textonotapie">
    <w:name w:val="footnote text"/>
    <w:basedOn w:val="Normal"/>
    <w:link w:val="TextonotapieCar"/>
    <w:uiPriority w:val="99"/>
    <w:rsid w:val="00F6304C"/>
    <w:pPr>
      <w:spacing w:after="0"/>
    </w:pPr>
    <w:rPr>
      <w:sz w:val="20"/>
      <w:szCs w:val="20"/>
    </w:rPr>
  </w:style>
  <w:style w:type="character" w:customStyle="1" w:styleId="TextonotapieCar">
    <w:name w:val="Texto nota pie Car"/>
    <w:basedOn w:val="Fuentedeprrafopredeter"/>
    <w:link w:val="Textonotapie"/>
    <w:uiPriority w:val="99"/>
    <w:locked/>
    <w:rsid w:val="00F6304C"/>
    <w:rPr>
      <w:rFonts w:ascii="Calibri" w:hAnsi="Calibri" w:cs="Times New Roman"/>
      <w:lang w:eastAsia="en-US"/>
    </w:rPr>
  </w:style>
  <w:style w:type="character" w:styleId="Refdenotaalpie">
    <w:name w:val="footnote reference"/>
    <w:basedOn w:val="Fuentedeprrafopredeter"/>
    <w:uiPriority w:val="99"/>
    <w:rsid w:val="00F630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80263">
      <w:marLeft w:val="0"/>
      <w:marRight w:val="0"/>
      <w:marTop w:val="0"/>
      <w:marBottom w:val="0"/>
      <w:divBdr>
        <w:top w:val="none" w:sz="0" w:space="0" w:color="auto"/>
        <w:left w:val="none" w:sz="0" w:space="0" w:color="auto"/>
        <w:bottom w:val="none" w:sz="0" w:space="0" w:color="auto"/>
        <w:right w:val="none" w:sz="0" w:space="0" w:color="auto"/>
      </w:divBdr>
    </w:div>
    <w:div w:id="903880264">
      <w:marLeft w:val="0"/>
      <w:marRight w:val="0"/>
      <w:marTop w:val="0"/>
      <w:marBottom w:val="0"/>
      <w:divBdr>
        <w:top w:val="none" w:sz="0" w:space="0" w:color="auto"/>
        <w:left w:val="none" w:sz="0" w:space="0" w:color="auto"/>
        <w:bottom w:val="none" w:sz="0" w:space="0" w:color="auto"/>
        <w:right w:val="none" w:sz="0" w:space="0" w:color="auto"/>
      </w:divBdr>
    </w:div>
    <w:div w:id="903880265">
      <w:marLeft w:val="0"/>
      <w:marRight w:val="0"/>
      <w:marTop w:val="0"/>
      <w:marBottom w:val="0"/>
      <w:divBdr>
        <w:top w:val="none" w:sz="0" w:space="0" w:color="auto"/>
        <w:left w:val="none" w:sz="0" w:space="0" w:color="auto"/>
        <w:bottom w:val="none" w:sz="0" w:space="0" w:color="auto"/>
        <w:right w:val="none" w:sz="0" w:space="0" w:color="auto"/>
      </w:divBdr>
    </w:div>
    <w:div w:id="903880266">
      <w:marLeft w:val="0"/>
      <w:marRight w:val="0"/>
      <w:marTop w:val="0"/>
      <w:marBottom w:val="0"/>
      <w:divBdr>
        <w:top w:val="none" w:sz="0" w:space="0" w:color="auto"/>
        <w:left w:val="none" w:sz="0" w:space="0" w:color="auto"/>
        <w:bottom w:val="none" w:sz="0" w:space="0" w:color="auto"/>
        <w:right w:val="none" w:sz="0" w:space="0" w:color="auto"/>
      </w:divBdr>
    </w:div>
    <w:div w:id="903880268">
      <w:marLeft w:val="0"/>
      <w:marRight w:val="0"/>
      <w:marTop w:val="0"/>
      <w:marBottom w:val="0"/>
      <w:divBdr>
        <w:top w:val="none" w:sz="0" w:space="0" w:color="auto"/>
        <w:left w:val="none" w:sz="0" w:space="0" w:color="auto"/>
        <w:bottom w:val="none" w:sz="0" w:space="0" w:color="auto"/>
        <w:right w:val="none" w:sz="0" w:space="0" w:color="auto"/>
      </w:divBdr>
      <w:divsChild>
        <w:div w:id="903880269">
          <w:marLeft w:val="0"/>
          <w:marRight w:val="0"/>
          <w:marTop w:val="0"/>
          <w:marBottom w:val="0"/>
          <w:divBdr>
            <w:top w:val="none" w:sz="0" w:space="0" w:color="auto"/>
            <w:left w:val="none" w:sz="0" w:space="0" w:color="auto"/>
            <w:bottom w:val="none" w:sz="0" w:space="0" w:color="auto"/>
            <w:right w:val="none" w:sz="0" w:space="0" w:color="auto"/>
          </w:divBdr>
        </w:div>
        <w:div w:id="903880271">
          <w:marLeft w:val="0"/>
          <w:marRight w:val="0"/>
          <w:marTop w:val="0"/>
          <w:marBottom w:val="0"/>
          <w:divBdr>
            <w:top w:val="none" w:sz="0" w:space="0" w:color="auto"/>
            <w:left w:val="none" w:sz="0" w:space="0" w:color="auto"/>
            <w:bottom w:val="none" w:sz="0" w:space="0" w:color="auto"/>
            <w:right w:val="none" w:sz="0" w:space="0" w:color="auto"/>
          </w:divBdr>
        </w:div>
        <w:div w:id="903880277">
          <w:marLeft w:val="0"/>
          <w:marRight w:val="0"/>
          <w:marTop w:val="0"/>
          <w:marBottom w:val="0"/>
          <w:divBdr>
            <w:top w:val="none" w:sz="0" w:space="0" w:color="auto"/>
            <w:left w:val="none" w:sz="0" w:space="0" w:color="auto"/>
            <w:bottom w:val="none" w:sz="0" w:space="0" w:color="auto"/>
            <w:right w:val="none" w:sz="0" w:space="0" w:color="auto"/>
          </w:divBdr>
        </w:div>
        <w:div w:id="903880278">
          <w:marLeft w:val="0"/>
          <w:marRight w:val="0"/>
          <w:marTop w:val="0"/>
          <w:marBottom w:val="0"/>
          <w:divBdr>
            <w:top w:val="none" w:sz="0" w:space="0" w:color="auto"/>
            <w:left w:val="none" w:sz="0" w:space="0" w:color="auto"/>
            <w:bottom w:val="none" w:sz="0" w:space="0" w:color="auto"/>
            <w:right w:val="none" w:sz="0" w:space="0" w:color="auto"/>
          </w:divBdr>
        </w:div>
      </w:divsChild>
    </w:div>
    <w:div w:id="903880270">
      <w:marLeft w:val="0"/>
      <w:marRight w:val="0"/>
      <w:marTop w:val="0"/>
      <w:marBottom w:val="0"/>
      <w:divBdr>
        <w:top w:val="none" w:sz="0" w:space="0" w:color="auto"/>
        <w:left w:val="none" w:sz="0" w:space="0" w:color="auto"/>
        <w:bottom w:val="none" w:sz="0" w:space="0" w:color="auto"/>
        <w:right w:val="none" w:sz="0" w:space="0" w:color="auto"/>
      </w:divBdr>
    </w:div>
    <w:div w:id="903880272">
      <w:marLeft w:val="0"/>
      <w:marRight w:val="0"/>
      <w:marTop w:val="0"/>
      <w:marBottom w:val="0"/>
      <w:divBdr>
        <w:top w:val="none" w:sz="0" w:space="0" w:color="auto"/>
        <w:left w:val="none" w:sz="0" w:space="0" w:color="auto"/>
        <w:bottom w:val="none" w:sz="0" w:space="0" w:color="auto"/>
        <w:right w:val="none" w:sz="0" w:space="0" w:color="auto"/>
      </w:divBdr>
    </w:div>
    <w:div w:id="903880273">
      <w:marLeft w:val="0"/>
      <w:marRight w:val="0"/>
      <w:marTop w:val="0"/>
      <w:marBottom w:val="0"/>
      <w:divBdr>
        <w:top w:val="none" w:sz="0" w:space="0" w:color="auto"/>
        <w:left w:val="none" w:sz="0" w:space="0" w:color="auto"/>
        <w:bottom w:val="none" w:sz="0" w:space="0" w:color="auto"/>
        <w:right w:val="none" w:sz="0" w:space="0" w:color="auto"/>
      </w:divBdr>
    </w:div>
    <w:div w:id="903880281">
      <w:marLeft w:val="0"/>
      <w:marRight w:val="0"/>
      <w:marTop w:val="0"/>
      <w:marBottom w:val="0"/>
      <w:divBdr>
        <w:top w:val="none" w:sz="0" w:space="0" w:color="auto"/>
        <w:left w:val="none" w:sz="0" w:space="0" w:color="auto"/>
        <w:bottom w:val="none" w:sz="0" w:space="0" w:color="auto"/>
        <w:right w:val="none" w:sz="0" w:space="0" w:color="auto"/>
      </w:divBdr>
    </w:div>
    <w:div w:id="903880282">
      <w:marLeft w:val="0"/>
      <w:marRight w:val="0"/>
      <w:marTop w:val="0"/>
      <w:marBottom w:val="0"/>
      <w:divBdr>
        <w:top w:val="none" w:sz="0" w:space="0" w:color="auto"/>
        <w:left w:val="none" w:sz="0" w:space="0" w:color="auto"/>
        <w:bottom w:val="none" w:sz="0" w:space="0" w:color="auto"/>
        <w:right w:val="none" w:sz="0" w:space="0" w:color="auto"/>
      </w:divBdr>
    </w:div>
    <w:div w:id="903880283">
      <w:marLeft w:val="0"/>
      <w:marRight w:val="0"/>
      <w:marTop w:val="0"/>
      <w:marBottom w:val="0"/>
      <w:divBdr>
        <w:top w:val="none" w:sz="0" w:space="0" w:color="auto"/>
        <w:left w:val="none" w:sz="0" w:space="0" w:color="auto"/>
        <w:bottom w:val="none" w:sz="0" w:space="0" w:color="auto"/>
        <w:right w:val="none" w:sz="0" w:space="0" w:color="auto"/>
      </w:divBdr>
      <w:divsChild>
        <w:div w:id="903880274">
          <w:marLeft w:val="0"/>
          <w:marRight w:val="0"/>
          <w:marTop w:val="0"/>
          <w:marBottom w:val="0"/>
          <w:divBdr>
            <w:top w:val="none" w:sz="0" w:space="0" w:color="auto"/>
            <w:left w:val="none" w:sz="0" w:space="0" w:color="auto"/>
            <w:bottom w:val="none" w:sz="0" w:space="0" w:color="auto"/>
            <w:right w:val="none" w:sz="0" w:space="0" w:color="auto"/>
          </w:divBdr>
        </w:div>
        <w:div w:id="903880275">
          <w:marLeft w:val="0"/>
          <w:marRight w:val="0"/>
          <w:marTop w:val="0"/>
          <w:marBottom w:val="0"/>
          <w:divBdr>
            <w:top w:val="none" w:sz="0" w:space="0" w:color="auto"/>
            <w:left w:val="none" w:sz="0" w:space="0" w:color="auto"/>
            <w:bottom w:val="none" w:sz="0" w:space="0" w:color="auto"/>
            <w:right w:val="none" w:sz="0" w:space="0" w:color="auto"/>
          </w:divBdr>
        </w:div>
        <w:div w:id="903880279">
          <w:marLeft w:val="0"/>
          <w:marRight w:val="0"/>
          <w:marTop w:val="0"/>
          <w:marBottom w:val="0"/>
          <w:divBdr>
            <w:top w:val="none" w:sz="0" w:space="0" w:color="auto"/>
            <w:left w:val="none" w:sz="0" w:space="0" w:color="auto"/>
            <w:bottom w:val="none" w:sz="0" w:space="0" w:color="auto"/>
            <w:right w:val="none" w:sz="0" w:space="0" w:color="auto"/>
          </w:divBdr>
        </w:div>
        <w:div w:id="903880280">
          <w:marLeft w:val="0"/>
          <w:marRight w:val="0"/>
          <w:marTop w:val="0"/>
          <w:marBottom w:val="0"/>
          <w:divBdr>
            <w:top w:val="none" w:sz="0" w:space="0" w:color="auto"/>
            <w:left w:val="none" w:sz="0" w:space="0" w:color="auto"/>
            <w:bottom w:val="none" w:sz="0" w:space="0" w:color="auto"/>
            <w:right w:val="none" w:sz="0" w:space="0" w:color="auto"/>
          </w:divBdr>
        </w:div>
        <w:div w:id="903880284">
          <w:marLeft w:val="0"/>
          <w:marRight w:val="0"/>
          <w:marTop w:val="0"/>
          <w:marBottom w:val="0"/>
          <w:divBdr>
            <w:top w:val="none" w:sz="0" w:space="0" w:color="auto"/>
            <w:left w:val="none" w:sz="0" w:space="0" w:color="auto"/>
            <w:bottom w:val="none" w:sz="0" w:space="0" w:color="auto"/>
            <w:right w:val="none" w:sz="0" w:space="0" w:color="auto"/>
          </w:divBdr>
        </w:div>
        <w:div w:id="903880288">
          <w:marLeft w:val="0"/>
          <w:marRight w:val="0"/>
          <w:marTop w:val="0"/>
          <w:marBottom w:val="0"/>
          <w:divBdr>
            <w:top w:val="none" w:sz="0" w:space="0" w:color="auto"/>
            <w:left w:val="none" w:sz="0" w:space="0" w:color="auto"/>
            <w:bottom w:val="none" w:sz="0" w:space="0" w:color="auto"/>
            <w:right w:val="none" w:sz="0" w:space="0" w:color="auto"/>
          </w:divBdr>
        </w:div>
        <w:div w:id="903880290">
          <w:marLeft w:val="0"/>
          <w:marRight w:val="0"/>
          <w:marTop w:val="0"/>
          <w:marBottom w:val="0"/>
          <w:divBdr>
            <w:top w:val="none" w:sz="0" w:space="0" w:color="auto"/>
            <w:left w:val="none" w:sz="0" w:space="0" w:color="auto"/>
            <w:bottom w:val="none" w:sz="0" w:space="0" w:color="auto"/>
            <w:right w:val="none" w:sz="0" w:space="0" w:color="auto"/>
          </w:divBdr>
        </w:div>
        <w:div w:id="903880291">
          <w:marLeft w:val="0"/>
          <w:marRight w:val="0"/>
          <w:marTop w:val="0"/>
          <w:marBottom w:val="0"/>
          <w:divBdr>
            <w:top w:val="none" w:sz="0" w:space="0" w:color="auto"/>
            <w:left w:val="none" w:sz="0" w:space="0" w:color="auto"/>
            <w:bottom w:val="none" w:sz="0" w:space="0" w:color="auto"/>
            <w:right w:val="none" w:sz="0" w:space="0" w:color="auto"/>
          </w:divBdr>
        </w:div>
        <w:div w:id="903880293">
          <w:marLeft w:val="0"/>
          <w:marRight w:val="0"/>
          <w:marTop w:val="0"/>
          <w:marBottom w:val="0"/>
          <w:divBdr>
            <w:top w:val="none" w:sz="0" w:space="0" w:color="auto"/>
            <w:left w:val="none" w:sz="0" w:space="0" w:color="auto"/>
            <w:bottom w:val="none" w:sz="0" w:space="0" w:color="auto"/>
            <w:right w:val="none" w:sz="0" w:space="0" w:color="auto"/>
          </w:divBdr>
        </w:div>
        <w:div w:id="903880296">
          <w:marLeft w:val="0"/>
          <w:marRight w:val="0"/>
          <w:marTop w:val="0"/>
          <w:marBottom w:val="0"/>
          <w:divBdr>
            <w:top w:val="none" w:sz="0" w:space="0" w:color="auto"/>
            <w:left w:val="none" w:sz="0" w:space="0" w:color="auto"/>
            <w:bottom w:val="none" w:sz="0" w:space="0" w:color="auto"/>
            <w:right w:val="none" w:sz="0" w:space="0" w:color="auto"/>
          </w:divBdr>
        </w:div>
        <w:div w:id="903880297">
          <w:marLeft w:val="0"/>
          <w:marRight w:val="0"/>
          <w:marTop w:val="0"/>
          <w:marBottom w:val="0"/>
          <w:divBdr>
            <w:top w:val="none" w:sz="0" w:space="0" w:color="auto"/>
            <w:left w:val="none" w:sz="0" w:space="0" w:color="auto"/>
            <w:bottom w:val="none" w:sz="0" w:space="0" w:color="auto"/>
            <w:right w:val="none" w:sz="0" w:space="0" w:color="auto"/>
          </w:divBdr>
        </w:div>
        <w:div w:id="903880298">
          <w:marLeft w:val="0"/>
          <w:marRight w:val="0"/>
          <w:marTop w:val="0"/>
          <w:marBottom w:val="0"/>
          <w:divBdr>
            <w:top w:val="none" w:sz="0" w:space="0" w:color="auto"/>
            <w:left w:val="none" w:sz="0" w:space="0" w:color="auto"/>
            <w:bottom w:val="none" w:sz="0" w:space="0" w:color="auto"/>
            <w:right w:val="none" w:sz="0" w:space="0" w:color="auto"/>
          </w:divBdr>
        </w:div>
        <w:div w:id="903880301">
          <w:marLeft w:val="0"/>
          <w:marRight w:val="0"/>
          <w:marTop w:val="0"/>
          <w:marBottom w:val="0"/>
          <w:divBdr>
            <w:top w:val="none" w:sz="0" w:space="0" w:color="auto"/>
            <w:left w:val="none" w:sz="0" w:space="0" w:color="auto"/>
            <w:bottom w:val="none" w:sz="0" w:space="0" w:color="auto"/>
            <w:right w:val="none" w:sz="0" w:space="0" w:color="auto"/>
          </w:divBdr>
        </w:div>
        <w:div w:id="903880306">
          <w:marLeft w:val="0"/>
          <w:marRight w:val="0"/>
          <w:marTop w:val="0"/>
          <w:marBottom w:val="0"/>
          <w:divBdr>
            <w:top w:val="none" w:sz="0" w:space="0" w:color="auto"/>
            <w:left w:val="none" w:sz="0" w:space="0" w:color="auto"/>
            <w:bottom w:val="none" w:sz="0" w:space="0" w:color="auto"/>
            <w:right w:val="none" w:sz="0" w:space="0" w:color="auto"/>
          </w:divBdr>
        </w:div>
        <w:div w:id="903880307">
          <w:marLeft w:val="0"/>
          <w:marRight w:val="0"/>
          <w:marTop w:val="0"/>
          <w:marBottom w:val="0"/>
          <w:divBdr>
            <w:top w:val="none" w:sz="0" w:space="0" w:color="auto"/>
            <w:left w:val="none" w:sz="0" w:space="0" w:color="auto"/>
            <w:bottom w:val="none" w:sz="0" w:space="0" w:color="auto"/>
            <w:right w:val="none" w:sz="0" w:space="0" w:color="auto"/>
          </w:divBdr>
        </w:div>
      </w:divsChild>
    </w:div>
    <w:div w:id="903880285">
      <w:marLeft w:val="0"/>
      <w:marRight w:val="0"/>
      <w:marTop w:val="0"/>
      <w:marBottom w:val="0"/>
      <w:divBdr>
        <w:top w:val="none" w:sz="0" w:space="0" w:color="auto"/>
        <w:left w:val="none" w:sz="0" w:space="0" w:color="auto"/>
        <w:bottom w:val="none" w:sz="0" w:space="0" w:color="auto"/>
        <w:right w:val="none" w:sz="0" w:space="0" w:color="auto"/>
      </w:divBdr>
    </w:div>
    <w:div w:id="903880286">
      <w:marLeft w:val="0"/>
      <w:marRight w:val="0"/>
      <w:marTop w:val="0"/>
      <w:marBottom w:val="0"/>
      <w:divBdr>
        <w:top w:val="none" w:sz="0" w:space="0" w:color="auto"/>
        <w:left w:val="none" w:sz="0" w:space="0" w:color="auto"/>
        <w:bottom w:val="none" w:sz="0" w:space="0" w:color="auto"/>
        <w:right w:val="none" w:sz="0" w:space="0" w:color="auto"/>
      </w:divBdr>
    </w:div>
    <w:div w:id="903880289">
      <w:marLeft w:val="0"/>
      <w:marRight w:val="0"/>
      <w:marTop w:val="0"/>
      <w:marBottom w:val="0"/>
      <w:divBdr>
        <w:top w:val="none" w:sz="0" w:space="0" w:color="auto"/>
        <w:left w:val="none" w:sz="0" w:space="0" w:color="auto"/>
        <w:bottom w:val="none" w:sz="0" w:space="0" w:color="auto"/>
        <w:right w:val="none" w:sz="0" w:space="0" w:color="auto"/>
      </w:divBdr>
    </w:div>
    <w:div w:id="903880292">
      <w:marLeft w:val="0"/>
      <w:marRight w:val="0"/>
      <w:marTop w:val="0"/>
      <w:marBottom w:val="0"/>
      <w:divBdr>
        <w:top w:val="none" w:sz="0" w:space="0" w:color="auto"/>
        <w:left w:val="none" w:sz="0" w:space="0" w:color="auto"/>
        <w:bottom w:val="none" w:sz="0" w:space="0" w:color="auto"/>
        <w:right w:val="none" w:sz="0" w:space="0" w:color="auto"/>
      </w:divBdr>
      <w:divsChild>
        <w:div w:id="903880276">
          <w:marLeft w:val="0"/>
          <w:marRight w:val="0"/>
          <w:marTop w:val="0"/>
          <w:marBottom w:val="0"/>
          <w:divBdr>
            <w:top w:val="none" w:sz="0" w:space="0" w:color="auto"/>
            <w:left w:val="none" w:sz="0" w:space="0" w:color="auto"/>
            <w:bottom w:val="none" w:sz="0" w:space="0" w:color="auto"/>
            <w:right w:val="none" w:sz="0" w:space="0" w:color="auto"/>
          </w:divBdr>
        </w:div>
        <w:div w:id="903880287">
          <w:marLeft w:val="0"/>
          <w:marRight w:val="0"/>
          <w:marTop w:val="0"/>
          <w:marBottom w:val="0"/>
          <w:divBdr>
            <w:top w:val="none" w:sz="0" w:space="0" w:color="auto"/>
            <w:left w:val="none" w:sz="0" w:space="0" w:color="auto"/>
            <w:bottom w:val="none" w:sz="0" w:space="0" w:color="auto"/>
            <w:right w:val="none" w:sz="0" w:space="0" w:color="auto"/>
          </w:divBdr>
          <w:divsChild>
            <w:div w:id="9038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294">
      <w:marLeft w:val="0"/>
      <w:marRight w:val="0"/>
      <w:marTop w:val="0"/>
      <w:marBottom w:val="0"/>
      <w:divBdr>
        <w:top w:val="none" w:sz="0" w:space="0" w:color="auto"/>
        <w:left w:val="none" w:sz="0" w:space="0" w:color="auto"/>
        <w:bottom w:val="none" w:sz="0" w:space="0" w:color="auto"/>
        <w:right w:val="none" w:sz="0" w:space="0" w:color="auto"/>
      </w:divBdr>
    </w:div>
    <w:div w:id="903880295">
      <w:marLeft w:val="0"/>
      <w:marRight w:val="0"/>
      <w:marTop w:val="0"/>
      <w:marBottom w:val="0"/>
      <w:divBdr>
        <w:top w:val="none" w:sz="0" w:space="0" w:color="auto"/>
        <w:left w:val="none" w:sz="0" w:space="0" w:color="auto"/>
        <w:bottom w:val="none" w:sz="0" w:space="0" w:color="auto"/>
        <w:right w:val="none" w:sz="0" w:space="0" w:color="auto"/>
      </w:divBdr>
    </w:div>
    <w:div w:id="903880299">
      <w:marLeft w:val="0"/>
      <w:marRight w:val="0"/>
      <w:marTop w:val="0"/>
      <w:marBottom w:val="0"/>
      <w:divBdr>
        <w:top w:val="none" w:sz="0" w:space="0" w:color="auto"/>
        <w:left w:val="none" w:sz="0" w:space="0" w:color="auto"/>
        <w:bottom w:val="none" w:sz="0" w:space="0" w:color="auto"/>
        <w:right w:val="none" w:sz="0" w:space="0" w:color="auto"/>
      </w:divBdr>
    </w:div>
    <w:div w:id="903880300">
      <w:marLeft w:val="0"/>
      <w:marRight w:val="0"/>
      <w:marTop w:val="0"/>
      <w:marBottom w:val="0"/>
      <w:divBdr>
        <w:top w:val="none" w:sz="0" w:space="0" w:color="auto"/>
        <w:left w:val="none" w:sz="0" w:space="0" w:color="auto"/>
        <w:bottom w:val="none" w:sz="0" w:space="0" w:color="auto"/>
        <w:right w:val="none" w:sz="0" w:space="0" w:color="auto"/>
      </w:divBdr>
    </w:div>
    <w:div w:id="903880302">
      <w:marLeft w:val="0"/>
      <w:marRight w:val="0"/>
      <w:marTop w:val="0"/>
      <w:marBottom w:val="0"/>
      <w:divBdr>
        <w:top w:val="none" w:sz="0" w:space="0" w:color="auto"/>
        <w:left w:val="none" w:sz="0" w:space="0" w:color="auto"/>
        <w:bottom w:val="none" w:sz="0" w:space="0" w:color="auto"/>
        <w:right w:val="none" w:sz="0" w:space="0" w:color="auto"/>
      </w:divBdr>
    </w:div>
    <w:div w:id="903880303">
      <w:marLeft w:val="0"/>
      <w:marRight w:val="0"/>
      <w:marTop w:val="0"/>
      <w:marBottom w:val="0"/>
      <w:divBdr>
        <w:top w:val="none" w:sz="0" w:space="0" w:color="auto"/>
        <w:left w:val="none" w:sz="0" w:space="0" w:color="auto"/>
        <w:bottom w:val="none" w:sz="0" w:space="0" w:color="auto"/>
        <w:right w:val="none" w:sz="0" w:space="0" w:color="auto"/>
      </w:divBdr>
    </w:div>
    <w:div w:id="903880304">
      <w:marLeft w:val="0"/>
      <w:marRight w:val="0"/>
      <w:marTop w:val="0"/>
      <w:marBottom w:val="0"/>
      <w:divBdr>
        <w:top w:val="none" w:sz="0" w:space="0" w:color="auto"/>
        <w:left w:val="none" w:sz="0" w:space="0" w:color="auto"/>
        <w:bottom w:val="none" w:sz="0" w:space="0" w:color="auto"/>
        <w:right w:val="none" w:sz="0" w:space="0" w:color="auto"/>
      </w:divBdr>
    </w:div>
    <w:div w:id="903880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udjovennavarra.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2198</Words>
  <Characters>11615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Eransus, Raquel (ISPLN)</dc:creator>
  <cp:lastModifiedBy>Aranaz, Carlota</cp:lastModifiedBy>
  <cp:revision>5</cp:revision>
  <cp:lastPrinted>2020-07-01T16:13:00Z</cp:lastPrinted>
  <dcterms:created xsi:type="dcterms:W3CDTF">2020-07-01T16:15:00Z</dcterms:created>
  <dcterms:modified xsi:type="dcterms:W3CDTF">2020-07-16T06:38:00Z</dcterms:modified>
</cp:coreProperties>
</file>