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reactivación del sector musical,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Raquel Garbayo Berdonces, miembro de las Cortes de Navarra, adscrita al Grupo Parlamentario Navarra Suma, al amparo de lo dispuesto en el Reglamento de la Cámara, realiza la siguiente pregunta escrita dirigida a la Consejera de Cultura y Deporte del Gobierno de Navarra.</w:t>
      </w:r>
    </w:p>
    <w:p>
      <w:pPr>
        <w:pStyle w:val="0"/>
        <w:suppressAutoHyphens w:val="false"/>
        <w:rPr>
          <w:rStyle w:val="1"/>
        </w:rPr>
      </w:pPr>
      <w:r>
        <w:rPr>
          <w:rStyle w:val="1"/>
        </w:rPr>
        <w:t xml:space="preserve">¿Qué medidas y cómo se van a aplicar para reactivar el sector musical, especialmente castigado por la crisis?</w:t>
      </w:r>
    </w:p>
    <w:p>
      <w:pPr>
        <w:pStyle w:val="0"/>
        <w:suppressAutoHyphens w:val="false"/>
        <w:rPr>
          <w:rStyle w:val="1"/>
        </w:rPr>
      </w:pPr>
      <w:r>
        <w:rPr>
          <w:rStyle w:val="1"/>
        </w:rPr>
        <w:t xml:space="preserve">Pamplona, 10 de septiembre de 2020</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