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prevención de la violencia de género adolescente y juvenil,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Comisión.</w:t>
      </w:r>
    </w:p>
    <w:p>
      <w:pPr>
        <w:pStyle w:val="0"/>
        <w:suppressAutoHyphens w:val="false"/>
        <w:rPr>
          <w:rStyle w:val="1"/>
        </w:rPr>
      </w:pPr>
      <w:r>
        <w:rPr>
          <w:rStyle w:val="1"/>
        </w:rPr>
        <w:t xml:space="preserve">¿Qué medidas está llevando a cabo y qué nuevas medidas tiene previsto desarrollar desde el Gobierno en materia de prevención de violencia de género adolescente y juvenil?</w:t>
      </w:r>
    </w:p>
    <w:p>
      <w:pPr>
        <w:pStyle w:val="0"/>
        <w:suppressAutoHyphens w:val="false"/>
        <w:rPr>
          <w:rStyle w:val="1"/>
        </w:rPr>
      </w:pPr>
      <w:r>
        <w:rPr>
          <w:rStyle w:val="1"/>
        </w:rPr>
        <w:t xml:space="preserve">Pamplona, 18 de septiembre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