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reducción de los horarios de trenes de larga distancia y cercanías en Navarra,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para su contestación en Comisión: </w:t>
      </w:r>
    </w:p>
    <w:p>
      <w:pPr>
        <w:pStyle w:val="0"/>
        <w:suppressAutoHyphens w:val="false"/>
        <w:rPr>
          <w:rStyle w:val="1"/>
        </w:rPr>
      </w:pPr>
      <w:r>
        <w:rPr>
          <w:rStyle w:val="1"/>
        </w:rPr>
        <w:t xml:space="preserve">¿Cuáles han sido las actuaciones realizadas por el Departamento de Cohesión Territorial para evitar la reducción de los horarios de trenes de cercanías y larga distancia en nuestra Comunidad? </w:t>
      </w:r>
    </w:p>
    <w:p>
      <w:pPr>
        <w:pStyle w:val="0"/>
        <w:suppressAutoHyphens w:val="false"/>
        <w:rPr>
          <w:rStyle w:val="1"/>
        </w:rPr>
      </w:pPr>
      <w:r>
        <w:rPr>
          <w:rStyle w:val="1"/>
        </w:rPr>
        <w:t xml:space="preserve">Pamplona, 29 de septiembre de 2020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