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presupuesto de gastos del Servicio Navarro de Empleo,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D.ª M.ª Isabel García Malo, Parlamentaria Foral adscrita al Grupo Parlamentario Navarra Suma, realiza la siguiente pregunta escrita dirigida al Departamento de Economía y Hacienda: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Este ejercicio en la 77ª Conferencia Sectorial de Empleo y Asuntos Laborales se acordó distribuir a las Comunidades 1.048 millones para el desarrollo de políticas activas de empleo. En la 78ª Conferencia Sectorial de Empleo y Asuntos Laborales han acordado distribuir a las comunidades autónomas 895.916.723 euros para planes de formación, empleo y modernización.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Si al final estos ingresos son menores de los previstos inicialmente en el presupuesto, ¿va a tener algún impacto económico esta decisión en el presupuesto de gastos del Servicio Navarro de Empleo?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29 de octubre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