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5A760B" w:rsidRDefault="00FA495F" w:rsidP="00E56050">
      <w:pPr>
        <w:pStyle w:val="EstiloPortada"/>
        <w:spacing w:after="240"/>
        <w:ind w:left="4111" w:right="-57" w:hanging="283"/>
        <w:rPr>
          <w:sz w:val="50"/>
          <w:szCs w:val="50"/>
        </w:rPr>
      </w:pPr>
      <w:r w:rsidRPr="005A760B">
        <w:rPr>
          <w:rFonts w:ascii="Arial" w:hAnsi="Arial" w:cs="Arial"/>
          <w:noProof/>
          <w:sz w:val="38"/>
          <w:szCs w:val="38"/>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B6928" w:rsidRPr="003A7956" w:rsidRDefault="001B6928" w:rsidP="004C3423">
                            <w:pPr>
                              <w:spacing w:after="0"/>
                              <w:ind w:firstLine="0"/>
                              <w:jc w:val="center"/>
                              <w:rPr>
                                <w:sz w:val="18"/>
                                <w:szCs w:val="18"/>
                                <w:lang w:val="es-ES"/>
                              </w:rPr>
                            </w:pPr>
                            <w:r w:rsidRPr="003A7956">
                              <w:rPr>
                                <w:sz w:val="18"/>
                                <w:szCs w:val="18"/>
                                <w:lang w:val="es-ES"/>
                              </w:rPr>
                              <w:t>CAMARA DE</w:t>
                            </w:r>
                          </w:p>
                          <w:p w:rsidR="001B6928" w:rsidRPr="003A7956" w:rsidRDefault="001B6928" w:rsidP="004C3423">
                            <w:pPr>
                              <w:spacing w:after="0"/>
                              <w:ind w:firstLine="0"/>
                              <w:jc w:val="center"/>
                              <w:rPr>
                                <w:sz w:val="18"/>
                                <w:szCs w:val="18"/>
                                <w:lang w:val="es-ES"/>
                              </w:rPr>
                            </w:pPr>
                            <w:r w:rsidRPr="003A7956">
                              <w:rPr>
                                <w:sz w:val="18"/>
                                <w:szCs w:val="18"/>
                                <w:lang w:val="es-ES"/>
                              </w:rPr>
                              <w:t>COMPTOS</w:t>
                            </w:r>
                          </w:p>
                          <w:p w:rsidR="001B6928" w:rsidRPr="003A7956" w:rsidRDefault="001B6928" w:rsidP="004C3423">
                            <w:pPr>
                              <w:spacing w:after="0"/>
                              <w:ind w:firstLine="0"/>
                              <w:jc w:val="center"/>
                              <w:rPr>
                                <w:sz w:val="18"/>
                                <w:szCs w:val="18"/>
                                <w:lang w:val="es-ES"/>
                              </w:rPr>
                            </w:pPr>
                            <w:r w:rsidRPr="003A7956">
                              <w:rPr>
                                <w:sz w:val="18"/>
                                <w:szCs w:val="18"/>
                                <w:lang w:val="es-ES"/>
                              </w:rPr>
                              <w:t>DE NAVARRA</w:t>
                            </w:r>
                          </w:p>
                          <w:p w:rsidR="001B6928" w:rsidRPr="003A7956" w:rsidRDefault="001B6928" w:rsidP="004C3423">
                            <w:pPr>
                              <w:spacing w:after="0"/>
                              <w:ind w:firstLine="0"/>
                              <w:jc w:val="center"/>
                              <w:rPr>
                                <w:color w:val="808080"/>
                                <w:sz w:val="18"/>
                                <w:szCs w:val="18"/>
                                <w:lang w:val="es-ES"/>
                              </w:rPr>
                            </w:pPr>
                            <w:r w:rsidRPr="003A7956">
                              <w:rPr>
                                <w:color w:val="808080"/>
                                <w:sz w:val="18"/>
                                <w:szCs w:val="18"/>
                                <w:lang w:val="es-ES"/>
                              </w:rPr>
                              <w:t>NAFARROAKO</w:t>
                            </w:r>
                          </w:p>
                          <w:p w:rsidR="001B6928" w:rsidRPr="003A7956" w:rsidRDefault="001B6928" w:rsidP="004C3423">
                            <w:pPr>
                              <w:spacing w:after="0"/>
                              <w:ind w:firstLine="0"/>
                              <w:jc w:val="center"/>
                              <w:rPr>
                                <w:color w:val="808080"/>
                                <w:sz w:val="18"/>
                                <w:szCs w:val="18"/>
                                <w:lang w:val="es-ES"/>
                              </w:rPr>
                            </w:pPr>
                            <w:r w:rsidRPr="003A7956">
                              <w:rPr>
                                <w:color w:val="808080"/>
                                <w:sz w:val="18"/>
                                <w:szCs w:val="18"/>
                                <w:lang w:val="es-ES"/>
                              </w:rPr>
                              <w:t>KONTUEN</w:t>
                            </w:r>
                          </w:p>
                          <w:p w:rsidR="001B6928" w:rsidRPr="003A7956" w:rsidRDefault="001B6928" w:rsidP="004C3423">
                            <w:pPr>
                              <w:spacing w:after="0"/>
                              <w:ind w:firstLine="0"/>
                              <w:jc w:val="center"/>
                              <w:rPr>
                                <w:color w:val="808080"/>
                                <w:sz w:val="18"/>
                                <w:szCs w:val="18"/>
                                <w:lang w:val="es-ES"/>
                              </w:rPr>
                            </w:pPr>
                            <w:r w:rsidRPr="003A7956">
                              <w:rPr>
                                <w:color w:val="808080"/>
                                <w:sz w:val="18"/>
                                <w:szCs w:val="18"/>
                                <w:lang w:val="es-ES"/>
                              </w:rPr>
                              <w:t>GANBERA</w:t>
                            </w:r>
                          </w:p>
                          <w:p w:rsidR="001B6928" w:rsidRPr="002C7026" w:rsidRDefault="001B6928"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1B6928" w:rsidRPr="003A7956" w:rsidRDefault="001B6928" w:rsidP="004C3423">
                      <w:pPr>
                        <w:spacing w:after="0"/>
                        <w:ind w:firstLine="0"/>
                        <w:jc w:val="center"/>
                        <w:rPr>
                          <w:sz w:val="18"/>
                          <w:szCs w:val="18"/>
                          <w:lang w:val="es-ES"/>
                        </w:rPr>
                      </w:pPr>
                      <w:r w:rsidRPr="003A7956">
                        <w:rPr>
                          <w:sz w:val="18"/>
                          <w:szCs w:val="18"/>
                          <w:lang w:val="es-ES"/>
                        </w:rPr>
                        <w:t>CAMARA DE</w:t>
                      </w:r>
                    </w:p>
                    <w:p w:rsidR="001B6928" w:rsidRPr="003A7956" w:rsidRDefault="001B6928" w:rsidP="004C3423">
                      <w:pPr>
                        <w:spacing w:after="0"/>
                        <w:ind w:firstLine="0"/>
                        <w:jc w:val="center"/>
                        <w:rPr>
                          <w:sz w:val="18"/>
                          <w:szCs w:val="18"/>
                          <w:lang w:val="es-ES"/>
                        </w:rPr>
                      </w:pPr>
                      <w:r w:rsidRPr="003A7956">
                        <w:rPr>
                          <w:sz w:val="18"/>
                          <w:szCs w:val="18"/>
                          <w:lang w:val="es-ES"/>
                        </w:rPr>
                        <w:t>COMPTOS</w:t>
                      </w:r>
                    </w:p>
                    <w:p w:rsidR="001B6928" w:rsidRPr="003A7956" w:rsidRDefault="001B6928" w:rsidP="004C3423">
                      <w:pPr>
                        <w:spacing w:after="0"/>
                        <w:ind w:firstLine="0"/>
                        <w:jc w:val="center"/>
                        <w:rPr>
                          <w:sz w:val="18"/>
                          <w:szCs w:val="18"/>
                          <w:lang w:val="es-ES"/>
                        </w:rPr>
                      </w:pPr>
                      <w:r w:rsidRPr="003A7956">
                        <w:rPr>
                          <w:sz w:val="18"/>
                          <w:szCs w:val="18"/>
                          <w:lang w:val="es-ES"/>
                        </w:rPr>
                        <w:t>DE NAVARRA</w:t>
                      </w:r>
                    </w:p>
                    <w:p w:rsidR="001B6928" w:rsidRPr="003A7956" w:rsidRDefault="001B6928" w:rsidP="004C3423">
                      <w:pPr>
                        <w:spacing w:after="0"/>
                        <w:ind w:firstLine="0"/>
                        <w:jc w:val="center"/>
                        <w:rPr>
                          <w:color w:val="808080"/>
                          <w:sz w:val="18"/>
                          <w:szCs w:val="18"/>
                          <w:lang w:val="es-ES"/>
                        </w:rPr>
                      </w:pPr>
                      <w:r w:rsidRPr="003A7956">
                        <w:rPr>
                          <w:color w:val="808080"/>
                          <w:sz w:val="18"/>
                          <w:szCs w:val="18"/>
                          <w:lang w:val="es-ES"/>
                        </w:rPr>
                        <w:t>NAFARROAKO</w:t>
                      </w:r>
                    </w:p>
                    <w:p w:rsidR="001B6928" w:rsidRPr="003A7956" w:rsidRDefault="001B6928" w:rsidP="004C3423">
                      <w:pPr>
                        <w:spacing w:after="0"/>
                        <w:ind w:firstLine="0"/>
                        <w:jc w:val="center"/>
                        <w:rPr>
                          <w:color w:val="808080"/>
                          <w:sz w:val="18"/>
                          <w:szCs w:val="18"/>
                          <w:lang w:val="es-ES"/>
                        </w:rPr>
                      </w:pPr>
                      <w:r w:rsidRPr="003A7956">
                        <w:rPr>
                          <w:color w:val="808080"/>
                          <w:sz w:val="18"/>
                          <w:szCs w:val="18"/>
                          <w:lang w:val="es-ES"/>
                        </w:rPr>
                        <w:t>KONTUEN</w:t>
                      </w:r>
                    </w:p>
                    <w:p w:rsidR="001B6928" w:rsidRPr="003A7956" w:rsidRDefault="001B6928" w:rsidP="004C3423">
                      <w:pPr>
                        <w:spacing w:after="0"/>
                        <w:ind w:firstLine="0"/>
                        <w:jc w:val="center"/>
                        <w:rPr>
                          <w:color w:val="808080"/>
                          <w:sz w:val="18"/>
                          <w:szCs w:val="18"/>
                          <w:lang w:val="es-ES"/>
                        </w:rPr>
                      </w:pPr>
                      <w:r w:rsidRPr="003A7956">
                        <w:rPr>
                          <w:color w:val="808080"/>
                          <w:sz w:val="18"/>
                          <w:szCs w:val="18"/>
                          <w:lang w:val="es-ES"/>
                        </w:rPr>
                        <w:t>GANBERA</w:t>
                      </w:r>
                    </w:p>
                    <w:p w:rsidR="001B6928" w:rsidRPr="002C7026" w:rsidRDefault="001B6928" w:rsidP="002C7026">
                      <w:pPr>
                        <w:spacing w:after="0"/>
                        <w:ind w:firstLine="0"/>
                        <w:jc w:val="center"/>
                        <w:rPr>
                          <w:rFonts w:ascii="Trajan" w:hAnsi="Trajan"/>
                          <w:color w:val="808080"/>
                          <w:sz w:val="18"/>
                          <w:szCs w:val="18"/>
                          <w:lang w:val="es-ES"/>
                        </w:rPr>
                      </w:pPr>
                    </w:p>
                  </w:txbxContent>
                </v:textbox>
              </v:shape>
            </w:pict>
          </mc:Fallback>
        </mc:AlternateContent>
      </w:r>
    </w:p>
    <w:p w:rsidR="001049D6" w:rsidRPr="005A760B" w:rsidRDefault="001049D6" w:rsidP="001049D6">
      <w:pPr>
        <w:pStyle w:val="EstiloPortada"/>
        <w:ind w:left="3780"/>
      </w:pPr>
      <w:r w:rsidRPr="005A760B">
        <w:t xml:space="preserve">Sector público local </w:t>
      </w:r>
    </w:p>
    <w:p w:rsidR="001C3A32" w:rsidRPr="005A760B" w:rsidRDefault="001049D6" w:rsidP="001049D6">
      <w:pPr>
        <w:pStyle w:val="EstiloPortada"/>
        <w:ind w:left="3780"/>
      </w:pPr>
      <w:r w:rsidRPr="005A760B">
        <w:t>de Navarra, 2018</w:t>
      </w:r>
    </w:p>
    <w:p w:rsidR="001C3A32" w:rsidRPr="005A760B" w:rsidRDefault="001C3A32" w:rsidP="00891D73">
      <w:pPr>
        <w:pStyle w:val="texto"/>
      </w:pPr>
    </w:p>
    <w:p w:rsidR="002F2530" w:rsidRPr="005A760B" w:rsidRDefault="002F2530" w:rsidP="00891D73">
      <w:pPr>
        <w:pStyle w:val="texto"/>
      </w:pPr>
    </w:p>
    <w:p w:rsidR="002F2530" w:rsidRPr="005A760B" w:rsidRDefault="002F2530" w:rsidP="00891D73">
      <w:pPr>
        <w:pStyle w:val="texto"/>
      </w:pPr>
    </w:p>
    <w:p w:rsidR="001C3A32" w:rsidRPr="005A760B" w:rsidRDefault="001C3A32" w:rsidP="00891D73">
      <w:pPr>
        <w:pStyle w:val="texto"/>
      </w:pPr>
    </w:p>
    <w:p w:rsidR="001C3A32" w:rsidRPr="005A760B" w:rsidRDefault="001C3A32" w:rsidP="00891D73">
      <w:pPr>
        <w:pStyle w:val="texto"/>
      </w:pPr>
    </w:p>
    <w:p w:rsidR="001C3A32" w:rsidRPr="005A760B" w:rsidRDefault="001C3A32" w:rsidP="00891D73">
      <w:pPr>
        <w:pStyle w:val="texto"/>
      </w:pPr>
    </w:p>
    <w:p w:rsidR="001C3A32" w:rsidRPr="005A760B" w:rsidRDefault="001C3A32" w:rsidP="00891D73">
      <w:pPr>
        <w:pStyle w:val="texto"/>
      </w:pPr>
    </w:p>
    <w:p w:rsidR="001C3A32" w:rsidRPr="005A760B" w:rsidRDefault="001C3A32" w:rsidP="00891D73">
      <w:pPr>
        <w:pStyle w:val="texto"/>
      </w:pPr>
    </w:p>
    <w:p w:rsidR="001C3A32" w:rsidRPr="005A760B" w:rsidRDefault="001C3A32" w:rsidP="00891D73">
      <w:pPr>
        <w:pStyle w:val="texto"/>
      </w:pPr>
    </w:p>
    <w:p w:rsidR="001C3A32" w:rsidRPr="005A760B" w:rsidRDefault="001C3A32" w:rsidP="00891D73">
      <w:pPr>
        <w:pStyle w:val="texto"/>
      </w:pPr>
    </w:p>
    <w:p w:rsidR="001C3A32" w:rsidRPr="005A760B" w:rsidRDefault="001C3A32" w:rsidP="00891D73">
      <w:pPr>
        <w:pStyle w:val="texto"/>
      </w:pPr>
    </w:p>
    <w:p w:rsidR="001C3A32" w:rsidRPr="005A760B" w:rsidRDefault="001C3A32" w:rsidP="00891D73">
      <w:pPr>
        <w:pStyle w:val="texto"/>
      </w:pPr>
    </w:p>
    <w:p w:rsidR="001C3A32" w:rsidRPr="005A760B" w:rsidRDefault="001C3A32" w:rsidP="00891D73">
      <w:pPr>
        <w:pStyle w:val="texto"/>
      </w:pPr>
    </w:p>
    <w:p w:rsidR="001C3A32" w:rsidRPr="005A760B" w:rsidRDefault="001C3A32" w:rsidP="00891D73">
      <w:pPr>
        <w:pStyle w:val="texto"/>
      </w:pPr>
    </w:p>
    <w:p w:rsidR="001C3A32" w:rsidRPr="005A760B" w:rsidRDefault="001C3A32" w:rsidP="00891D73">
      <w:pPr>
        <w:pStyle w:val="texto"/>
      </w:pPr>
    </w:p>
    <w:p w:rsidR="001C3A32" w:rsidRPr="005A760B" w:rsidRDefault="001C3A32" w:rsidP="00891D73">
      <w:pPr>
        <w:pStyle w:val="texto"/>
      </w:pPr>
    </w:p>
    <w:p w:rsidR="00844F74" w:rsidRPr="005A760B" w:rsidRDefault="00844F74" w:rsidP="00891D73">
      <w:pPr>
        <w:pStyle w:val="texto"/>
      </w:pPr>
    </w:p>
    <w:p w:rsidR="00844F74" w:rsidRPr="005A760B" w:rsidRDefault="00844F74" w:rsidP="00891D73">
      <w:pPr>
        <w:pStyle w:val="texto"/>
      </w:pPr>
    </w:p>
    <w:p w:rsidR="00983822" w:rsidRPr="005A760B" w:rsidRDefault="00983822" w:rsidP="009936FC">
      <w:pPr>
        <w:pStyle w:val="Fechaportada"/>
      </w:pPr>
    </w:p>
    <w:p w:rsidR="00983822" w:rsidRPr="005A760B" w:rsidRDefault="00983822" w:rsidP="009936FC">
      <w:pPr>
        <w:pStyle w:val="Fechaportada"/>
      </w:pPr>
    </w:p>
    <w:p w:rsidR="00983822" w:rsidRPr="005A760B" w:rsidRDefault="00983822" w:rsidP="009936FC">
      <w:pPr>
        <w:pStyle w:val="Fechaportada"/>
      </w:pPr>
    </w:p>
    <w:p w:rsidR="00716463" w:rsidRPr="005A760B" w:rsidRDefault="004335F4" w:rsidP="009936FC">
      <w:pPr>
        <w:pStyle w:val="Fechaportada"/>
      </w:pPr>
      <w:r w:rsidRPr="005A760B">
        <w:t>Octubre de 2020</w:t>
      </w:r>
    </w:p>
    <w:p w:rsidR="008E3FFE" w:rsidRPr="005A760B" w:rsidRDefault="008E3FFE" w:rsidP="00891D73">
      <w:pPr>
        <w:pStyle w:val="ndice"/>
        <w:rPr>
          <w:rFonts w:ascii="Times New Roman" w:hAnsi="Times New Roman"/>
          <w:color w:val="auto"/>
        </w:rPr>
        <w:sectPr w:rsidR="008E3FFE" w:rsidRPr="005A760B"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Pr="005A760B" w:rsidRDefault="00891D73" w:rsidP="00891D73">
      <w:pPr>
        <w:pStyle w:val="ndice"/>
        <w:rPr>
          <w:color w:val="auto"/>
        </w:rPr>
      </w:pPr>
      <w:r w:rsidRPr="005A760B">
        <w:rPr>
          <w:color w:val="auto"/>
        </w:rPr>
        <w:lastRenderedPageBreak/>
        <w:t>Índice</w:t>
      </w:r>
    </w:p>
    <w:p w:rsidR="008D60C5" w:rsidRDefault="0014728F">
      <w:pPr>
        <w:pStyle w:val="TDC1"/>
        <w:rPr>
          <w:rFonts w:asciiTheme="minorHAnsi" w:eastAsiaTheme="minorEastAsia" w:hAnsiTheme="minorHAnsi" w:cstheme="minorBidi"/>
          <w:smallCaps w:val="0"/>
          <w:noProof/>
          <w:szCs w:val="22"/>
          <w:lang w:val="es-ES" w:eastAsia="es-ES"/>
        </w:rPr>
      </w:pPr>
      <w:r w:rsidRPr="005A760B">
        <w:fldChar w:fldCharType="begin"/>
      </w:r>
      <w:r w:rsidRPr="005A760B">
        <w:instrText xml:space="preserve"> TOC \o "1-3" \h \z \t "atitulo1;1;atitulo2;2" </w:instrText>
      </w:r>
      <w:r w:rsidRPr="005A760B">
        <w:fldChar w:fldCharType="separate"/>
      </w:r>
      <w:hyperlink w:anchor="_Toc54691916" w:history="1">
        <w:r w:rsidR="008D60C5" w:rsidRPr="001F70BC">
          <w:rPr>
            <w:rStyle w:val="Hipervnculo"/>
            <w:noProof/>
          </w:rPr>
          <w:t>I. Introducción</w:t>
        </w:r>
        <w:r w:rsidR="008D60C5">
          <w:rPr>
            <w:noProof/>
            <w:webHidden/>
          </w:rPr>
          <w:tab/>
        </w:r>
        <w:r w:rsidR="008D60C5">
          <w:rPr>
            <w:noProof/>
            <w:webHidden/>
          </w:rPr>
          <w:fldChar w:fldCharType="begin"/>
        </w:r>
        <w:r w:rsidR="008D60C5">
          <w:rPr>
            <w:noProof/>
            <w:webHidden/>
          </w:rPr>
          <w:instrText xml:space="preserve"> PAGEREF _Toc54691916 \h </w:instrText>
        </w:r>
        <w:r w:rsidR="008D60C5">
          <w:rPr>
            <w:noProof/>
            <w:webHidden/>
          </w:rPr>
        </w:r>
        <w:r w:rsidR="008D60C5">
          <w:rPr>
            <w:noProof/>
            <w:webHidden/>
          </w:rPr>
          <w:fldChar w:fldCharType="separate"/>
        </w:r>
        <w:r w:rsidR="008D60C5">
          <w:rPr>
            <w:noProof/>
            <w:webHidden/>
          </w:rPr>
          <w:t>3</w:t>
        </w:r>
        <w:r w:rsidR="008D60C5">
          <w:rPr>
            <w:noProof/>
            <w:webHidden/>
          </w:rPr>
          <w:fldChar w:fldCharType="end"/>
        </w:r>
      </w:hyperlink>
    </w:p>
    <w:p w:rsidR="008D60C5" w:rsidRDefault="00A03754">
      <w:pPr>
        <w:pStyle w:val="TDC1"/>
        <w:rPr>
          <w:rFonts w:asciiTheme="minorHAnsi" w:eastAsiaTheme="minorEastAsia" w:hAnsiTheme="minorHAnsi" w:cstheme="minorBidi"/>
          <w:smallCaps w:val="0"/>
          <w:noProof/>
          <w:szCs w:val="22"/>
          <w:lang w:val="es-ES" w:eastAsia="es-ES"/>
        </w:rPr>
      </w:pPr>
      <w:hyperlink w:anchor="_Toc54691917" w:history="1">
        <w:r w:rsidR="008D60C5" w:rsidRPr="001F70BC">
          <w:rPr>
            <w:rStyle w:val="Hipervnculo"/>
            <w:noProof/>
          </w:rPr>
          <w:t>II. Estructura organizativa y normativa del sector público local</w:t>
        </w:r>
        <w:r w:rsidR="008D60C5">
          <w:rPr>
            <w:noProof/>
            <w:webHidden/>
          </w:rPr>
          <w:tab/>
        </w:r>
        <w:r w:rsidR="008D60C5">
          <w:rPr>
            <w:noProof/>
            <w:webHidden/>
          </w:rPr>
          <w:fldChar w:fldCharType="begin"/>
        </w:r>
        <w:r w:rsidR="008D60C5">
          <w:rPr>
            <w:noProof/>
            <w:webHidden/>
          </w:rPr>
          <w:instrText xml:space="preserve"> PAGEREF _Toc54691917 \h </w:instrText>
        </w:r>
        <w:r w:rsidR="008D60C5">
          <w:rPr>
            <w:noProof/>
            <w:webHidden/>
          </w:rPr>
        </w:r>
        <w:r w:rsidR="008D60C5">
          <w:rPr>
            <w:noProof/>
            <w:webHidden/>
          </w:rPr>
          <w:fldChar w:fldCharType="separate"/>
        </w:r>
        <w:r w:rsidR="008D60C5">
          <w:rPr>
            <w:noProof/>
            <w:webHidden/>
          </w:rPr>
          <w:t>4</w:t>
        </w:r>
        <w:r w:rsidR="008D60C5">
          <w:rPr>
            <w:noProof/>
            <w:webHidden/>
          </w:rPr>
          <w:fldChar w:fldCharType="end"/>
        </w:r>
      </w:hyperlink>
    </w:p>
    <w:p w:rsidR="008D60C5" w:rsidRDefault="00A03754">
      <w:pPr>
        <w:pStyle w:val="TDC2"/>
        <w:rPr>
          <w:rFonts w:asciiTheme="minorHAnsi" w:eastAsiaTheme="minorEastAsia" w:hAnsiTheme="minorHAnsi" w:cstheme="minorBidi"/>
          <w:noProof/>
          <w:szCs w:val="22"/>
          <w:lang w:val="es-ES" w:eastAsia="es-ES"/>
        </w:rPr>
      </w:pPr>
      <w:hyperlink w:anchor="_Toc54691918" w:history="1">
        <w:r w:rsidR="008D60C5" w:rsidRPr="001F70BC">
          <w:rPr>
            <w:rStyle w:val="Hipervnculo"/>
            <w:noProof/>
          </w:rPr>
          <w:t>II.1. Estructura organizativa</w:t>
        </w:r>
        <w:r w:rsidR="008D60C5">
          <w:rPr>
            <w:noProof/>
            <w:webHidden/>
          </w:rPr>
          <w:tab/>
        </w:r>
        <w:r w:rsidR="008D60C5">
          <w:rPr>
            <w:noProof/>
            <w:webHidden/>
          </w:rPr>
          <w:fldChar w:fldCharType="begin"/>
        </w:r>
        <w:r w:rsidR="008D60C5">
          <w:rPr>
            <w:noProof/>
            <w:webHidden/>
          </w:rPr>
          <w:instrText xml:space="preserve"> PAGEREF _Toc54691918 \h </w:instrText>
        </w:r>
        <w:r w:rsidR="008D60C5">
          <w:rPr>
            <w:noProof/>
            <w:webHidden/>
          </w:rPr>
        </w:r>
        <w:r w:rsidR="008D60C5">
          <w:rPr>
            <w:noProof/>
            <w:webHidden/>
          </w:rPr>
          <w:fldChar w:fldCharType="separate"/>
        </w:r>
        <w:r w:rsidR="008D60C5">
          <w:rPr>
            <w:noProof/>
            <w:webHidden/>
          </w:rPr>
          <w:t>4</w:t>
        </w:r>
        <w:r w:rsidR="008D60C5">
          <w:rPr>
            <w:noProof/>
            <w:webHidden/>
          </w:rPr>
          <w:fldChar w:fldCharType="end"/>
        </w:r>
      </w:hyperlink>
    </w:p>
    <w:p w:rsidR="008D60C5" w:rsidRDefault="00A03754">
      <w:pPr>
        <w:pStyle w:val="TDC2"/>
        <w:rPr>
          <w:rFonts w:asciiTheme="minorHAnsi" w:eastAsiaTheme="minorEastAsia" w:hAnsiTheme="minorHAnsi" w:cstheme="minorBidi"/>
          <w:noProof/>
          <w:szCs w:val="22"/>
          <w:lang w:val="es-ES" w:eastAsia="es-ES"/>
        </w:rPr>
      </w:pPr>
      <w:hyperlink w:anchor="_Toc54691919" w:history="1">
        <w:r w:rsidR="008D60C5" w:rsidRPr="001F70BC">
          <w:rPr>
            <w:rStyle w:val="Hipervnculo"/>
            <w:noProof/>
          </w:rPr>
          <w:t>II.2. Medidas legislativas planteadas para la racionalización del sector público local</w:t>
        </w:r>
        <w:r w:rsidR="008D60C5">
          <w:rPr>
            <w:noProof/>
            <w:webHidden/>
          </w:rPr>
          <w:tab/>
        </w:r>
        <w:r w:rsidR="008D60C5">
          <w:rPr>
            <w:noProof/>
            <w:webHidden/>
          </w:rPr>
          <w:fldChar w:fldCharType="begin"/>
        </w:r>
        <w:r w:rsidR="008D60C5">
          <w:rPr>
            <w:noProof/>
            <w:webHidden/>
          </w:rPr>
          <w:instrText xml:space="preserve"> PAGEREF _Toc54691919 \h </w:instrText>
        </w:r>
        <w:r w:rsidR="008D60C5">
          <w:rPr>
            <w:noProof/>
            <w:webHidden/>
          </w:rPr>
        </w:r>
        <w:r w:rsidR="008D60C5">
          <w:rPr>
            <w:noProof/>
            <w:webHidden/>
          </w:rPr>
          <w:fldChar w:fldCharType="separate"/>
        </w:r>
        <w:r w:rsidR="008D60C5">
          <w:rPr>
            <w:noProof/>
            <w:webHidden/>
          </w:rPr>
          <w:t>7</w:t>
        </w:r>
        <w:r w:rsidR="008D60C5">
          <w:rPr>
            <w:noProof/>
            <w:webHidden/>
          </w:rPr>
          <w:fldChar w:fldCharType="end"/>
        </w:r>
      </w:hyperlink>
    </w:p>
    <w:p w:rsidR="008D60C5" w:rsidRDefault="00A03754">
      <w:pPr>
        <w:pStyle w:val="TDC2"/>
        <w:rPr>
          <w:rFonts w:asciiTheme="minorHAnsi" w:eastAsiaTheme="minorEastAsia" w:hAnsiTheme="minorHAnsi" w:cstheme="minorBidi"/>
          <w:noProof/>
          <w:szCs w:val="22"/>
          <w:lang w:val="es-ES" w:eastAsia="es-ES"/>
        </w:rPr>
      </w:pPr>
      <w:hyperlink w:anchor="_Toc54691920" w:history="1">
        <w:r w:rsidR="008D60C5" w:rsidRPr="001F70BC">
          <w:rPr>
            <w:rStyle w:val="Hipervnculo"/>
            <w:noProof/>
          </w:rPr>
          <w:t>II.3. Normativa aprobada en 2018</w:t>
        </w:r>
        <w:r w:rsidR="008D60C5">
          <w:rPr>
            <w:noProof/>
            <w:webHidden/>
          </w:rPr>
          <w:tab/>
        </w:r>
        <w:r w:rsidR="008D60C5">
          <w:rPr>
            <w:noProof/>
            <w:webHidden/>
          </w:rPr>
          <w:fldChar w:fldCharType="begin"/>
        </w:r>
        <w:r w:rsidR="008D60C5">
          <w:rPr>
            <w:noProof/>
            <w:webHidden/>
          </w:rPr>
          <w:instrText xml:space="preserve"> PAGEREF _Toc54691920 \h </w:instrText>
        </w:r>
        <w:r w:rsidR="008D60C5">
          <w:rPr>
            <w:noProof/>
            <w:webHidden/>
          </w:rPr>
        </w:r>
        <w:r w:rsidR="008D60C5">
          <w:rPr>
            <w:noProof/>
            <w:webHidden/>
          </w:rPr>
          <w:fldChar w:fldCharType="separate"/>
        </w:r>
        <w:r w:rsidR="008D60C5">
          <w:rPr>
            <w:noProof/>
            <w:webHidden/>
          </w:rPr>
          <w:t>7</w:t>
        </w:r>
        <w:r w:rsidR="008D60C5">
          <w:rPr>
            <w:noProof/>
            <w:webHidden/>
          </w:rPr>
          <w:fldChar w:fldCharType="end"/>
        </w:r>
      </w:hyperlink>
    </w:p>
    <w:p w:rsidR="008D60C5" w:rsidRDefault="00A03754">
      <w:pPr>
        <w:pStyle w:val="TDC1"/>
        <w:rPr>
          <w:rFonts w:asciiTheme="minorHAnsi" w:eastAsiaTheme="minorEastAsia" w:hAnsiTheme="minorHAnsi" w:cstheme="minorBidi"/>
          <w:smallCaps w:val="0"/>
          <w:noProof/>
          <w:szCs w:val="22"/>
          <w:lang w:val="es-ES" w:eastAsia="es-ES"/>
        </w:rPr>
      </w:pPr>
      <w:hyperlink w:anchor="_Toc54691921" w:history="1">
        <w:r w:rsidR="008D60C5" w:rsidRPr="001F70BC">
          <w:rPr>
            <w:rStyle w:val="Hipervnculo"/>
            <w:noProof/>
          </w:rPr>
          <w:t>III. Objetivo, alcance y limitaciones</w:t>
        </w:r>
        <w:r w:rsidR="008D60C5">
          <w:rPr>
            <w:noProof/>
            <w:webHidden/>
          </w:rPr>
          <w:tab/>
        </w:r>
        <w:r w:rsidR="008D60C5">
          <w:rPr>
            <w:noProof/>
            <w:webHidden/>
          </w:rPr>
          <w:fldChar w:fldCharType="begin"/>
        </w:r>
        <w:r w:rsidR="008D60C5">
          <w:rPr>
            <w:noProof/>
            <w:webHidden/>
          </w:rPr>
          <w:instrText xml:space="preserve"> PAGEREF _Toc54691921 \h </w:instrText>
        </w:r>
        <w:r w:rsidR="008D60C5">
          <w:rPr>
            <w:noProof/>
            <w:webHidden/>
          </w:rPr>
        </w:r>
        <w:r w:rsidR="008D60C5">
          <w:rPr>
            <w:noProof/>
            <w:webHidden/>
          </w:rPr>
          <w:fldChar w:fldCharType="separate"/>
        </w:r>
        <w:r w:rsidR="008D60C5">
          <w:rPr>
            <w:noProof/>
            <w:webHidden/>
          </w:rPr>
          <w:t>9</w:t>
        </w:r>
        <w:r w:rsidR="008D60C5">
          <w:rPr>
            <w:noProof/>
            <w:webHidden/>
          </w:rPr>
          <w:fldChar w:fldCharType="end"/>
        </w:r>
      </w:hyperlink>
    </w:p>
    <w:p w:rsidR="008D60C5" w:rsidRDefault="00A03754">
      <w:pPr>
        <w:pStyle w:val="TDC1"/>
        <w:rPr>
          <w:rFonts w:asciiTheme="minorHAnsi" w:eastAsiaTheme="minorEastAsia" w:hAnsiTheme="minorHAnsi" w:cstheme="minorBidi"/>
          <w:smallCaps w:val="0"/>
          <w:noProof/>
          <w:szCs w:val="22"/>
          <w:lang w:val="es-ES" w:eastAsia="es-ES"/>
        </w:rPr>
      </w:pPr>
      <w:hyperlink w:anchor="_Toc54691922" w:history="1">
        <w:r w:rsidR="008D60C5" w:rsidRPr="001F70BC">
          <w:rPr>
            <w:rStyle w:val="Hipervnculo"/>
            <w:noProof/>
          </w:rPr>
          <w:t>IV. Memoria-resumen de las actuaciones de fiscalización de entes locales</w:t>
        </w:r>
        <w:r w:rsidR="008D60C5">
          <w:rPr>
            <w:noProof/>
            <w:webHidden/>
          </w:rPr>
          <w:tab/>
        </w:r>
        <w:r w:rsidR="008D60C5">
          <w:rPr>
            <w:noProof/>
            <w:webHidden/>
          </w:rPr>
          <w:fldChar w:fldCharType="begin"/>
        </w:r>
        <w:r w:rsidR="008D60C5">
          <w:rPr>
            <w:noProof/>
            <w:webHidden/>
          </w:rPr>
          <w:instrText xml:space="preserve"> PAGEREF _Toc54691922 \h </w:instrText>
        </w:r>
        <w:r w:rsidR="008D60C5">
          <w:rPr>
            <w:noProof/>
            <w:webHidden/>
          </w:rPr>
        </w:r>
        <w:r w:rsidR="008D60C5">
          <w:rPr>
            <w:noProof/>
            <w:webHidden/>
          </w:rPr>
          <w:fldChar w:fldCharType="separate"/>
        </w:r>
        <w:r w:rsidR="008D60C5">
          <w:rPr>
            <w:noProof/>
            <w:webHidden/>
          </w:rPr>
          <w:t>11</w:t>
        </w:r>
        <w:r w:rsidR="008D60C5">
          <w:rPr>
            <w:noProof/>
            <w:webHidden/>
          </w:rPr>
          <w:fldChar w:fldCharType="end"/>
        </w:r>
      </w:hyperlink>
    </w:p>
    <w:p w:rsidR="008D60C5" w:rsidRDefault="00A03754">
      <w:pPr>
        <w:pStyle w:val="TDC1"/>
        <w:rPr>
          <w:rFonts w:asciiTheme="minorHAnsi" w:eastAsiaTheme="minorEastAsia" w:hAnsiTheme="minorHAnsi" w:cstheme="minorBidi"/>
          <w:smallCaps w:val="0"/>
          <w:noProof/>
          <w:szCs w:val="22"/>
          <w:lang w:val="es-ES" w:eastAsia="es-ES"/>
        </w:rPr>
      </w:pPr>
      <w:hyperlink w:anchor="_Toc54691923" w:history="1">
        <w:r w:rsidR="008D60C5" w:rsidRPr="001F70BC">
          <w:rPr>
            <w:rStyle w:val="Hipervnculo"/>
            <w:noProof/>
          </w:rPr>
          <w:t>V. Situación financiera del sector público local</w:t>
        </w:r>
        <w:r w:rsidR="008D60C5">
          <w:rPr>
            <w:noProof/>
            <w:webHidden/>
          </w:rPr>
          <w:tab/>
        </w:r>
        <w:r w:rsidR="008D60C5">
          <w:rPr>
            <w:noProof/>
            <w:webHidden/>
          </w:rPr>
          <w:fldChar w:fldCharType="begin"/>
        </w:r>
        <w:r w:rsidR="008D60C5">
          <w:rPr>
            <w:noProof/>
            <w:webHidden/>
          </w:rPr>
          <w:instrText xml:space="preserve"> PAGEREF _Toc54691923 \h </w:instrText>
        </w:r>
        <w:r w:rsidR="008D60C5">
          <w:rPr>
            <w:noProof/>
            <w:webHidden/>
          </w:rPr>
        </w:r>
        <w:r w:rsidR="008D60C5">
          <w:rPr>
            <w:noProof/>
            <w:webHidden/>
          </w:rPr>
          <w:fldChar w:fldCharType="separate"/>
        </w:r>
        <w:r w:rsidR="008D60C5">
          <w:rPr>
            <w:noProof/>
            <w:webHidden/>
          </w:rPr>
          <w:t>15</w:t>
        </w:r>
        <w:r w:rsidR="008D60C5">
          <w:rPr>
            <w:noProof/>
            <w:webHidden/>
          </w:rPr>
          <w:fldChar w:fldCharType="end"/>
        </w:r>
      </w:hyperlink>
    </w:p>
    <w:p w:rsidR="008D60C5" w:rsidRDefault="00A03754">
      <w:pPr>
        <w:pStyle w:val="TDC2"/>
        <w:rPr>
          <w:rFonts w:asciiTheme="minorHAnsi" w:eastAsiaTheme="minorEastAsia" w:hAnsiTheme="minorHAnsi" w:cstheme="minorBidi"/>
          <w:noProof/>
          <w:szCs w:val="22"/>
          <w:lang w:val="es-ES" w:eastAsia="es-ES"/>
        </w:rPr>
      </w:pPr>
      <w:hyperlink w:anchor="_Toc54691924" w:history="1">
        <w:r w:rsidR="008D60C5" w:rsidRPr="001F70BC">
          <w:rPr>
            <w:rStyle w:val="Hipervnculo"/>
            <w:noProof/>
          </w:rPr>
          <w:t>V.1. Ingresos</w:t>
        </w:r>
        <w:r w:rsidR="008D60C5">
          <w:rPr>
            <w:noProof/>
            <w:webHidden/>
          </w:rPr>
          <w:tab/>
        </w:r>
        <w:r w:rsidR="008D60C5">
          <w:rPr>
            <w:noProof/>
            <w:webHidden/>
          </w:rPr>
          <w:fldChar w:fldCharType="begin"/>
        </w:r>
        <w:r w:rsidR="008D60C5">
          <w:rPr>
            <w:noProof/>
            <w:webHidden/>
          </w:rPr>
          <w:instrText xml:space="preserve"> PAGEREF _Toc54691924 \h </w:instrText>
        </w:r>
        <w:r w:rsidR="008D60C5">
          <w:rPr>
            <w:noProof/>
            <w:webHidden/>
          </w:rPr>
        </w:r>
        <w:r w:rsidR="008D60C5">
          <w:rPr>
            <w:noProof/>
            <w:webHidden/>
          </w:rPr>
          <w:fldChar w:fldCharType="separate"/>
        </w:r>
        <w:r w:rsidR="008D60C5">
          <w:rPr>
            <w:noProof/>
            <w:webHidden/>
          </w:rPr>
          <w:t>15</w:t>
        </w:r>
        <w:r w:rsidR="008D60C5">
          <w:rPr>
            <w:noProof/>
            <w:webHidden/>
          </w:rPr>
          <w:fldChar w:fldCharType="end"/>
        </w:r>
      </w:hyperlink>
    </w:p>
    <w:p w:rsidR="008D60C5" w:rsidRDefault="00A03754">
      <w:pPr>
        <w:pStyle w:val="TDC2"/>
        <w:rPr>
          <w:rFonts w:asciiTheme="minorHAnsi" w:eastAsiaTheme="minorEastAsia" w:hAnsiTheme="minorHAnsi" w:cstheme="minorBidi"/>
          <w:noProof/>
          <w:szCs w:val="22"/>
          <w:lang w:val="es-ES" w:eastAsia="es-ES"/>
        </w:rPr>
      </w:pPr>
      <w:hyperlink w:anchor="_Toc54691925" w:history="1">
        <w:r w:rsidR="008D60C5" w:rsidRPr="001F70BC">
          <w:rPr>
            <w:rStyle w:val="Hipervnculo"/>
            <w:noProof/>
          </w:rPr>
          <w:t>V.2. Gastos</w:t>
        </w:r>
        <w:r w:rsidR="008D60C5">
          <w:rPr>
            <w:noProof/>
            <w:webHidden/>
          </w:rPr>
          <w:tab/>
        </w:r>
        <w:r w:rsidR="008D60C5">
          <w:rPr>
            <w:noProof/>
            <w:webHidden/>
          </w:rPr>
          <w:fldChar w:fldCharType="begin"/>
        </w:r>
        <w:r w:rsidR="008D60C5">
          <w:rPr>
            <w:noProof/>
            <w:webHidden/>
          </w:rPr>
          <w:instrText xml:space="preserve"> PAGEREF _Toc54691925 \h </w:instrText>
        </w:r>
        <w:r w:rsidR="008D60C5">
          <w:rPr>
            <w:noProof/>
            <w:webHidden/>
          </w:rPr>
        </w:r>
        <w:r w:rsidR="008D60C5">
          <w:rPr>
            <w:noProof/>
            <w:webHidden/>
          </w:rPr>
          <w:fldChar w:fldCharType="separate"/>
        </w:r>
        <w:r w:rsidR="008D60C5">
          <w:rPr>
            <w:noProof/>
            <w:webHidden/>
          </w:rPr>
          <w:t>16</w:t>
        </w:r>
        <w:r w:rsidR="008D60C5">
          <w:rPr>
            <w:noProof/>
            <w:webHidden/>
          </w:rPr>
          <w:fldChar w:fldCharType="end"/>
        </w:r>
      </w:hyperlink>
    </w:p>
    <w:p w:rsidR="008D60C5" w:rsidRDefault="00A03754">
      <w:pPr>
        <w:pStyle w:val="TDC2"/>
        <w:rPr>
          <w:rFonts w:asciiTheme="minorHAnsi" w:eastAsiaTheme="minorEastAsia" w:hAnsiTheme="minorHAnsi" w:cstheme="minorBidi"/>
          <w:noProof/>
          <w:szCs w:val="22"/>
          <w:lang w:val="es-ES" w:eastAsia="es-ES"/>
        </w:rPr>
      </w:pPr>
      <w:hyperlink w:anchor="_Toc54691926" w:history="1">
        <w:r w:rsidR="008D60C5" w:rsidRPr="001F70BC">
          <w:rPr>
            <w:rStyle w:val="Hipervnculo"/>
            <w:noProof/>
          </w:rPr>
          <w:t>V.3. Indicadores</w:t>
        </w:r>
        <w:r w:rsidR="008D60C5">
          <w:rPr>
            <w:noProof/>
            <w:webHidden/>
          </w:rPr>
          <w:tab/>
        </w:r>
        <w:r w:rsidR="008D60C5">
          <w:rPr>
            <w:noProof/>
            <w:webHidden/>
          </w:rPr>
          <w:fldChar w:fldCharType="begin"/>
        </w:r>
        <w:r w:rsidR="008D60C5">
          <w:rPr>
            <w:noProof/>
            <w:webHidden/>
          </w:rPr>
          <w:instrText xml:space="preserve"> PAGEREF _Toc54691926 \h </w:instrText>
        </w:r>
        <w:r w:rsidR="008D60C5">
          <w:rPr>
            <w:noProof/>
            <w:webHidden/>
          </w:rPr>
        </w:r>
        <w:r w:rsidR="008D60C5">
          <w:rPr>
            <w:noProof/>
            <w:webHidden/>
          </w:rPr>
          <w:fldChar w:fldCharType="separate"/>
        </w:r>
        <w:r w:rsidR="008D60C5">
          <w:rPr>
            <w:noProof/>
            <w:webHidden/>
          </w:rPr>
          <w:t>17</w:t>
        </w:r>
        <w:r w:rsidR="008D60C5">
          <w:rPr>
            <w:noProof/>
            <w:webHidden/>
          </w:rPr>
          <w:fldChar w:fldCharType="end"/>
        </w:r>
      </w:hyperlink>
    </w:p>
    <w:p w:rsidR="008D60C5" w:rsidRDefault="00A03754">
      <w:pPr>
        <w:pStyle w:val="TDC2"/>
        <w:rPr>
          <w:rFonts w:asciiTheme="minorHAnsi" w:eastAsiaTheme="minorEastAsia" w:hAnsiTheme="minorHAnsi" w:cstheme="minorBidi"/>
          <w:noProof/>
          <w:szCs w:val="22"/>
          <w:lang w:val="es-ES" w:eastAsia="es-ES"/>
        </w:rPr>
      </w:pPr>
      <w:hyperlink w:anchor="_Toc54691927" w:history="1">
        <w:r w:rsidR="008D60C5" w:rsidRPr="001F70BC">
          <w:rPr>
            <w:rStyle w:val="Hipervnculo"/>
            <w:noProof/>
          </w:rPr>
          <w:t>V.4. Objetivos de estabilidad presupuestaria y sostenibilidad financiera</w:t>
        </w:r>
        <w:r w:rsidR="008D60C5">
          <w:rPr>
            <w:noProof/>
            <w:webHidden/>
          </w:rPr>
          <w:tab/>
        </w:r>
        <w:r w:rsidR="008D60C5">
          <w:rPr>
            <w:noProof/>
            <w:webHidden/>
          </w:rPr>
          <w:fldChar w:fldCharType="begin"/>
        </w:r>
        <w:r w:rsidR="008D60C5">
          <w:rPr>
            <w:noProof/>
            <w:webHidden/>
          </w:rPr>
          <w:instrText xml:space="preserve"> PAGEREF _Toc54691927 \h </w:instrText>
        </w:r>
        <w:r w:rsidR="008D60C5">
          <w:rPr>
            <w:noProof/>
            <w:webHidden/>
          </w:rPr>
        </w:r>
        <w:r w:rsidR="008D60C5">
          <w:rPr>
            <w:noProof/>
            <w:webHidden/>
          </w:rPr>
          <w:fldChar w:fldCharType="separate"/>
        </w:r>
        <w:r w:rsidR="008D60C5">
          <w:rPr>
            <w:noProof/>
            <w:webHidden/>
          </w:rPr>
          <w:t>19</w:t>
        </w:r>
        <w:r w:rsidR="008D60C5">
          <w:rPr>
            <w:noProof/>
            <w:webHidden/>
          </w:rPr>
          <w:fldChar w:fldCharType="end"/>
        </w:r>
      </w:hyperlink>
    </w:p>
    <w:p w:rsidR="008D60C5" w:rsidRDefault="00A03754">
      <w:pPr>
        <w:pStyle w:val="TDC1"/>
        <w:rPr>
          <w:rFonts w:asciiTheme="minorHAnsi" w:eastAsiaTheme="minorEastAsia" w:hAnsiTheme="minorHAnsi" w:cstheme="minorBidi"/>
          <w:smallCaps w:val="0"/>
          <w:noProof/>
          <w:szCs w:val="22"/>
          <w:lang w:val="es-ES" w:eastAsia="es-ES"/>
        </w:rPr>
      </w:pPr>
      <w:hyperlink w:anchor="_Toc54691928" w:history="1">
        <w:r w:rsidR="008D60C5" w:rsidRPr="001F70BC">
          <w:rPr>
            <w:rStyle w:val="Hipervnculo"/>
            <w:noProof/>
          </w:rPr>
          <w:t>VI. Contratación administrativa</w:t>
        </w:r>
        <w:r w:rsidR="008D60C5">
          <w:rPr>
            <w:noProof/>
            <w:webHidden/>
          </w:rPr>
          <w:tab/>
        </w:r>
        <w:r w:rsidR="008D60C5">
          <w:rPr>
            <w:noProof/>
            <w:webHidden/>
          </w:rPr>
          <w:fldChar w:fldCharType="begin"/>
        </w:r>
        <w:r w:rsidR="008D60C5">
          <w:rPr>
            <w:noProof/>
            <w:webHidden/>
          </w:rPr>
          <w:instrText xml:space="preserve"> PAGEREF _Toc54691928 \h </w:instrText>
        </w:r>
        <w:r w:rsidR="008D60C5">
          <w:rPr>
            <w:noProof/>
            <w:webHidden/>
          </w:rPr>
        </w:r>
        <w:r w:rsidR="008D60C5">
          <w:rPr>
            <w:noProof/>
            <w:webHidden/>
          </w:rPr>
          <w:fldChar w:fldCharType="separate"/>
        </w:r>
        <w:r w:rsidR="008D60C5">
          <w:rPr>
            <w:noProof/>
            <w:webHidden/>
          </w:rPr>
          <w:t>21</w:t>
        </w:r>
        <w:r w:rsidR="008D60C5">
          <w:rPr>
            <w:noProof/>
            <w:webHidden/>
          </w:rPr>
          <w:fldChar w:fldCharType="end"/>
        </w:r>
      </w:hyperlink>
    </w:p>
    <w:p w:rsidR="008D60C5" w:rsidRDefault="00A03754">
      <w:pPr>
        <w:pStyle w:val="TDC1"/>
        <w:rPr>
          <w:rFonts w:asciiTheme="minorHAnsi" w:eastAsiaTheme="minorEastAsia" w:hAnsiTheme="minorHAnsi" w:cstheme="minorBidi"/>
          <w:smallCaps w:val="0"/>
          <w:noProof/>
          <w:szCs w:val="22"/>
          <w:lang w:val="es-ES" w:eastAsia="es-ES"/>
        </w:rPr>
      </w:pPr>
      <w:hyperlink w:anchor="_Toc54691929" w:history="1">
        <w:r w:rsidR="008D60C5" w:rsidRPr="001F70BC">
          <w:rPr>
            <w:rStyle w:val="Hipervnculo"/>
            <w:noProof/>
          </w:rPr>
          <w:t>VII. Comparativa por estratos de población de un conjunto de indicadores entre los ayuntamientos de Navarra y del Estado</w:t>
        </w:r>
        <w:r w:rsidR="008D60C5">
          <w:rPr>
            <w:noProof/>
            <w:webHidden/>
          </w:rPr>
          <w:tab/>
        </w:r>
        <w:r w:rsidR="008D60C5">
          <w:rPr>
            <w:noProof/>
            <w:webHidden/>
          </w:rPr>
          <w:fldChar w:fldCharType="begin"/>
        </w:r>
        <w:r w:rsidR="008D60C5">
          <w:rPr>
            <w:noProof/>
            <w:webHidden/>
          </w:rPr>
          <w:instrText xml:space="preserve"> PAGEREF _Toc54691929 \h </w:instrText>
        </w:r>
        <w:r w:rsidR="008D60C5">
          <w:rPr>
            <w:noProof/>
            <w:webHidden/>
          </w:rPr>
        </w:r>
        <w:r w:rsidR="008D60C5">
          <w:rPr>
            <w:noProof/>
            <w:webHidden/>
          </w:rPr>
          <w:fldChar w:fldCharType="separate"/>
        </w:r>
        <w:r w:rsidR="008D60C5">
          <w:rPr>
            <w:noProof/>
            <w:webHidden/>
          </w:rPr>
          <w:t>24</w:t>
        </w:r>
        <w:r w:rsidR="008D60C5">
          <w:rPr>
            <w:noProof/>
            <w:webHidden/>
          </w:rPr>
          <w:fldChar w:fldCharType="end"/>
        </w:r>
      </w:hyperlink>
    </w:p>
    <w:p w:rsidR="008D60C5" w:rsidRDefault="00A03754">
      <w:pPr>
        <w:pStyle w:val="TDC1"/>
        <w:rPr>
          <w:rFonts w:asciiTheme="minorHAnsi" w:eastAsiaTheme="minorEastAsia" w:hAnsiTheme="minorHAnsi" w:cstheme="minorBidi"/>
          <w:smallCaps w:val="0"/>
          <w:noProof/>
          <w:szCs w:val="22"/>
          <w:lang w:val="es-ES" w:eastAsia="es-ES"/>
        </w:rPr>
      </w:pPr>
      <w:hyperlink w:anchor="_Toc54691930" w:history="1">
        <w:r w:rsidR="008D60C5" w:rsidRPr="001F70BC">
          <w:rPr>
            <w:rStyle w:val="Hipervnculo"/>
            <w:noProof/>
          </w:rPr>
          <w:t>VIII. Conclusiones y recomendaciones</w:t>
        </w:r>
        <w:r w:rsidR="008D60C5">
          <w:rPr>
            <w:noProof/>
            <w:webHidden/>
          </w:rPr>
          <w:tab/>
        </w:r>
        <w:r w:rsidR="008D60C5">
          <w:rPr>
            <w:noProof/>
            <w:webHidden/>
          </w:rPr>
          <w:fldChar w:fldCharType="begin"/>
        </w:r>
        <w:r w:rsidR="008D60C5">
          <w:rPr>
            <w:noProof/>
            <w:webHidden/>
          </w:rPr>
          <w:instrText xml:space="preserve"> PAGEREF _Toc54691930 \h </w:instrText>
        </w:r>
        <w:r w:rsidR="008D60C5">
          <w:rPr>
            <w:noProof/>
            <w:webHidden/>
          </w:rPr>
        </w:r>
        <w:r w:rsidR="008D60C5">
          <w:rPr>
            <w:noProof/>
            <w:webHidden/>
          </w:rPr>
          <w:fldChar w:fldCharType="separate"/>
        </w:r>
        <w:r w:rsidR="008D60C5">
          <w:rPr>
            <w:noProof/>
            <w:webHidden/>
          </w:rPr>
          <w:t>29</w:t>
        </w:r>
        <w:r w:rsidR="008D60C5">
          <w:rPr>
            <w:noProof/>
            <w:webHidden/>
          </w:rPr>
          <w:fldChar w:fldCharType="end"/>
        </w:r>
      </w:hyperlink>
    </w:p>
    <w:p w:rsidR="008D60C5" w:rsidRDefault="008D60C5">
      <w:pPr>
        <w:pStyle w:val="TDC1"/>
        <w:rPr>
          <w:rStyle w:val="Hipervnculo"/>
          <w:noProof/>
        </w:rPr>
      </w:pPr>
    </w:p>
    <w:p w:rsidR="008D60C5" w:rsidRDefault="00A03754">
      <w:pPr>
        <w:pStyle w:val="TDC1"/>
        <w:rPr>
          <w:rFonts w:asciiTheme="minorHAnsi" w:eastAsiaTheme="minorEastAsia" w:hAnsiTheme="minorHAnsi" w:cstheme="minorBidi"/>
          <w:smallCaps w:val="0"/>
          <w:noProof/>
          <w:szCs w:val="22"/>
          <w:lang w:val="es-ES" w:eastAsia="es-ES"/>
        </w:rPr>
      </w:pPr>
      <w:hyperlink w:anchor="_Toc54691931" w:history="1">
        <w:r w:rsidR="008D60C5" w:rsidRPr="001F70BC">
          <w:rPr>
            <w:rStyle w:val="Hipervnculo"/>
            <w:noProof/>
          </w:rPr>
          <w:t>Anexo 1. Normativa aplicable a las entidades locales durante el ejercicio 2018</w:t>
        </w:r>
        <w:r w:rsidR="008D60C5">
          <w:rPr>
            <w:noProof/>
            <w:webHidden/>
          </w:rPr>
          <w:tab/>
        </w:r>
        <w:r w:rsidR="008D60C5">
          <w:rPr>
            <w:noProof/>
            <w:webHidden/>
          </w:rPr>
          <w:fldChar w:fldCharType="begin"/>
        </w:r>
        <w:r w:rsidR="008D60C5">
          <w:rPr>
            <w:noProof/>
            <w:webHidden/>
          </w:rPr>
          <w:instrText xml:space="preserve"> PAGEREF _Toc54691931 \h </w:instrText>
        </w:r>
        <w:r w:rsidR="008D60C5">
          <w:rPr>
            <w:noProof/>
            <w:webHidden/>
          </w:rPr>
        </w:r>
        <w:r w:rsidR="008D60C5">
          <w:rPr>
            <w:noProof/>
            <w:webHidden/>
          </w:rPr>
          <w:fldChar w:fldCharType="separate"/>
        </w:r>
        <w:r w:rsidR="008D60C5">
          <w:rPr>
            <w:noProof/>
            <w:webHidden/>
          </w:rPr>
          <w:t>34</w:t>
        </w:r>
        <w:r w:rsidR="008D60C5">
          <w:rPr>
            <w:noProof/>
            <w:webHidden/>
          </w:rPr>
          <w:fldChar w:fldCharType="end"/>
        </w:r>
      </w:hyperlink>
    </w:p>
    <w:p w:rsidR="008D60C5" w:rsidRDefault="00A03754">
      <w:pPr>
        <w:pStyle w:val="TDC1"/>
        <w:rPr>
          <w:rFonts w:asciiTheme="minorHAnsi" w:eastAsiaTheme="minorEastAsia" w:hAnsiTheme="minorHAnsi" w:cstheme="minorBidi"/>
          <w:smallCaps w:val="0"/>
          <w:noProof/>
          <w:szCs w:val="22"/>
          <w:lang w:val="es-ES" w:eastAsia="es-ES"/>
        </w:rPr>
      </w:pPr>
      <w:hyperlink w:anchor="_Toc54691932" w:history="1">
        <w:r w:rsidR="008D60C5" w:rsidRPr="001F70BC">
          <w:rPr>
            <w:rStyle w:val="Hipervnculo"/>
            <w:noProof/>
          </w:rPr>
          <w:t>Anexo 2. Situación financiera del sector público local de Navarra, año 2018</w:t>
        </w:r>
        <w:r w:rsidR="008D60C5">
          <w:rPr>
            <w:noProof/>
            <w:webHidden/>
          </w:rPr>
          <w:tab/>
        </w:r>
        <w:r w:rsidR="008D60C5">
          <w:rPr>
            <w:noProof/>
            <w:webHidden/>
          </w:rPr>
          <w:fldChar w:fldCharType="begin"/>
        </w:r>
        <w:r w:rsidR="008D60C5">
          <w:rPr>
            <w:noProof/>
            <w:webHidden/>
          </w:rPr>
          <w:instrText xml:space="preserve"> PAGEREF _Toc54691932 \h </w:instrText>
        </w:r>
        <w:r w:rsidR="008D60C5">
          <w:rPr>
            <w:noProof/>
            <w:webHidden/>
          </w:rPr>
        </w:r>
        <w:r w:rsidR="008D60C5">
          <w:rPr>
            <w:noProof/>
            <w:webHidden/>
          </w:rPr>
          <w:fldChar w:fldCharType="separate"/>
        </w:r>
        <w:r w:rsidR="008D60C5">
          <w:rPr>
            <w:noProof/>
            <w:webHidden/>
          </w:rPr>
          <w:t>38</w:t>
        </w:r>
        <w:r w:rsidR="008D60C5">
          <w:rPr>
            <w:noProof/>
            <w:webHidden/>
          </w:rPr>
          <w:fldChar w:fldCharType="end"/>
        </w:r>
      </w:hyperlink>
    </w:p>
    <w:p w:rsidR="00891D73" w:rsidRPr="005A760B" w:rsidRDefault="0014728F" w:rsidP="003C6E1D">
      <w:pPr>
        <w:pStyle w:val="texto"/>
      </w:pPr>
      <w:r w:rsidRPr="005A760B">
        <w:fldChar w:fldCharType="end"/>
      </w:r>
    </w:p>
    <w:p w:rsidR="00891D73" w:rsidRPr="005A760B" w:rsidRDefault="00891D73" w:rsidP="00891D73">
      <w:pPr>
        <w:pStyle w:val="texto"/>
      </w:pPr>
    </w:p>
    <w:p w:rsidR="00891D73" w:rsidRPr="005A760B" w:rsidRDefault="00891D73" w:rsidP="00E703B6"/>
    <w:p w:rsidR="008E3FFE" w:rsidRPr="005A760B" w:rsidRDefault="008E3FFE" w:rsidP="00891D73">
      <w:pPr>
        <w:pStyle w:val="texto"/>
        <w:sectPr w:rsidR="008E3FFE" w:rsidRPr="005A760B" w:rsidSect="00160F66">
          <w:type w:val="oddPage"/>
          <w:pgSz w:w="11907" w:h="16840" w:code="9"/>
          <w:pgMar w:top="2109" w:right="1559" w:bottom="1644" w:left="1559" w:header="369" w:footer="402" w:gutter="0"/>
          <w:pgNumType w:start="3"/>
          <w:cols w:space="720"/>
          <w:docGrid w:linePitch="360"/>
        </w:sectPr>
      </w:pPr>
    </w:p>
    <w:p w:rsidR="001049D6" w:rsidRPr="005A760B" w:rsidRDefault="001728D0" w:rsidP="001049D6">
      <w:pPr>
        <w:pStyle w:val="atitulo1"/>
        <w:rPr>
          <w:color w:val="auto"/>
        </w:rPr>
      </w:pPr>
      <w:r w:rsidRPr="005A760B">
        <w:rPr>
          <w:color w:val="auto"/>
        </w:rPr>
        <w:lastRenderedPageBreak/>
        <w:t xml:space="preserve"> </w:t>
      </w:r>
      <w:bookmarkStart w:id="1" w:name="_Toc291067874"/>
      <w:bookmarkStart w:id="2" w:name="_Toc121293081"/>
      <w:bookmarkStart w:id="3" w:name="_Toc121292758"/>
      <w:bookmarkStart w:id="4" w:name="_Toc399916257"/>
      <w:bookmarkStart w:id="5" w:name="_Toc465686680"/>
      <w:bookmarkStart w:id="6" w:name="_Toc529773874"/>
      <w:bookmarkStart w:id="7" w:name="_Toc24100135"/>
      <w:bookmarkStart w:id="8" w:name="_Toc52348283"/>
      <w:bookmarkStart w:id="9" w:name="_Toc54691916"/>
      <w:r w:rsidR="001049D6" w:rsidRPr="005A760B">
        <w:rPr>
          <w:color w:val="auto"/>
        </w:rPr>
        <w:t>I. Introducción</w:t>
      </w:r>
      <w:bookmarkEnd w:id="1"/>
      <w:bookmarkEnd w:id="2"/>
      <w:bookmarkEnd w:id="3"/>
      <w:bookmarkEnd w:id="4"/>
      <w:bookmarkEnd w:id="5"/>
      <w:bookmarkEnd w:id="6"/>
      <w:bookmarkEnd w:id="7"/>
      <w:bookmarkEnd w:id="8"/>
      <w:bookmarkEnd w:id="9"/>
    </w:p>
    <w:p w:rsidR="001049D6" w:rsidRPr="005A760B" w:rsidRDefault="001049D6" w:rsidP="00F73CCF">
      <w:pPr>
        <w:pStyle w:val="texto"/>
      </w:pPr>
      <w:r w:rsidRPr="005A760B">
        <w:t>El informe sobre el sector público local de Navarra se realiza, de acuerdo con la Ley Foral 19/1984, de 20 de diciembre, reguladora de la Cámara de Comptos, en cumplimiento de la Ley Foral 6/1990, de 2 de julio, de la Adm</w:t>
      </w:r>
      <w:r w:rsidRPr="005A760B">
        <w:t>i</w:t>
      </w:r>
      <w:r w:rsidRPr="005A760B">
        <w:t xml:space="preserve">nistración Local de Navarra. Así, el artículo 350.2 de dicha ley </w:t>
      </w:r>
      <w:r w:rsidR="00CD3E30" w:rsidRPr="005A760B">
        <w:t xml:space="preserve">foral </w:t>
      </w:r>
      <w:r w:rsidRPr="005A760B">
        <w:t>establece la obligación de remitir anualmente al Parlamento y al Gobierno de Navarra una memoria-resumen de las actuaciones de fiscalización y control de la Cám</w:t>
      </w:r>
      <w:r w:rsidRPr="005A760B">
        <w:t>a</w:t>
      </w:r>
      <w:r w:rsidRPr="005A760B">
        <w:t>ra de Comptos en el ámbito de las entidades locales de Navarra.</w:t>
      </w:r>
    </w:p>
    <w:p w:rsidR="001049D6" w:rsidRPr="005A760B" w:rsidRDefault="001049D6" w:rsidP="00F73CCF">
      <w:pPr>
        <w:pStyle w:val="texto"/>
      </w:pPr>
      <w:r w:rsidRPr="005A760B">
        <w:t xml:space="preserve">Los plazos establecidos en la Ley Foral </w:t>
      </w:r>
      <w:r w:rsidR="00816E87" w:rsidRPr="005A760B">
        <w:t xml:space="preserve">2/1995, de 10 de marzo, </w:t>
      </w:r>
      <w:r w:rsidRPr="005A760B">
        <w:t>de Hacie</w:t>
      </w:r>
      <w:r w:rsidRPr="005A760B">
        <w:t>n</w:t>
      </w:r>
      <w:r w:rsidRPr="005A760B">
        <w:t>das Locales para la aprobació</w:t>
      </w:r>
      <w:r w:rsidR="00816E87" w:rsidRPr="005A760B">
        <w:t>n y remisión al Gobierno de la C</w:t>
      </w:r>
      <w:r w:rsidRPr="005A760B">
        <w:t xml:space="preserve">uenta </w:t>
      </w:r>
      <w:r w:rsidR="00816E87" w:rsidRPr="005A760B">
        <w:t>Ge</w:t>
      </w:r>
      <w:r w:rsidRPr="005A760B">
        <w:t>neral de cada ejercicio por las entidades locales, y la complejidad del tratamiento de d</w:t>
      </w:r>
      <w:r w:rsidRPr="005A760B">
        <w:t>i</w:t>
      </w:r>
      <w:r w:rsidRPr="005A760B">
        <w:t>cha información, explican que el informe relativo al ejercicio de 2018 no pueda realizarse con anterioridad.</w:t>
      </w:r>
    </w:p>
    <w:p w:rsidR="00ED1F03" w:rsidRPr="005A760B" w:rsidRDefault="001049D6" w:rsidP="00F73CCF">
      <w:pPr>
        <w:pStyle w:val="texto"/>
      </w:pPr>
      <w:r w:rsidRPr="005A760B">
        <w:t>El informe se estructura en ocho epígrafes, incluyendo esta introducción. En el segundo, mostramos la estructura organizativa del sector público local y la principal normativa aprobada en 2018.  En el tercero mostramos los objetivos, alcance y limitaciones del trabajo realizado. En los epígrafes cuarto a séptimo se incluyen los siguientes aspectos relativos a 201</w:t>
      </w:r>
      <w:r w:rsidR="00895C77" w:rsidRPr="005A760B">
        <w:t>8</w:t>
      </w:r>
      <w:r w:rsidRPr="005A760B">
        <w:t>: memoria de las actuaci</w:t>
      </w:r>
      <w:r w:rsidRPr="005A760B">
        <w:t>o</w:t>
      </w:r>
      <w:r w:rsidRPr="005A760B">
        <w:t>nes de fiscalización de la Cámara de Comptos sobre el sector público local, s</w:t>
      </w:r>
      <w:r w:rsidRPr="005A760B">
        <w:t>i</w:t>
      </w:r>
      <w:r w:rsidRPr="005A760B">
        <w:t>tuación financiera del mismo, contratación administrativa de las entidades loc</w:t>
      </w:r>
      <w:r w:rsidRPr="005A760B">
        <w:t>a</w:t>
      </w:r>
      <w:r w:rsidRPr="005A760B">
        <w:t>les y comparativa por estratos de población de un conjunto de indicadores entre los ayuntamientos de Navarra y del conjunto del Estado. El último epígrafe i</w:t>
      </w:r>
      <w:r w:rsidRPr="005A760B">
        <w:t>n</w:t>
      </w:r>
      <w:r w:rsidRPr="005A760B">
        <w:t xml:space="preserve">cluye las conclusiones y recomendaciones del trabajo realizado. </w:t>
      </w:r>
    </w:p>
    <w:p w:rsidR="001049D6" w:rsidRPr="005A760B" w:rsidRDefault="001049D6" w:rsidP="00ED1F03">
      <w:pPr>
        <w:pStyle w:val="texto"/>
      </w:pPr>
      <w:r w:rsidRPr="005A760B">
        <w:t>El informe se acompaña, además, de dos anexos que contienen la normativa aplicable a las entidades locales de Navarra en 2018 y el informe elaborado por la Dirección General de Administración Local y Despoblación del Gobierno de Navarra sobre la situación financiera del sector público local en 2018.</w:t>
      </w:r>
    </w:p>
    <w:p w:rsidR="001049D6" w:rsidRPr="005A760B" w:rsidRDefault="001049D6" w:rsidP="00F73CCF">
      <w:pPr>
        <w:pStyle w:val="texto"/>
      </w:pPr>
      <w:r w:rsidRPr="005A760B">
        <w:t xml:space="preserve">El trabajo lo realizó en el mes de </w:t>
      </w:r>
      <w:r w:rsidR="00895C77" w:rsidRPr="005A760B">
        <w:t>septiembre de 2020</w:t>
      </w:r>
      <w:r w:rsidRPr="005A760B">
        <w:t xml:space="preserve"> un equipo integrado por una técnica de auditoría y una auditora, con la colaboración de los servicios jurídicos, informáticos y administrativos de la Cámara de Comptos.</w:t>
      </w:r>
    </w:p>
    <w:p w:rsidR="001049D6" w:rsidRPr="005A760B" w:rsidRDefault="001049D6" w:rsidP="00F73CCF">
      <w:pPr>
        <w:pStyle w:val="texto"/>
      </w:pPr>
      <w:r w:rsidRPr="005A760B">
        <w:t>Agradecemos al personal de las entidades locales de Navarra, de la Dire</w:t>
      </w:r>
      <w:r w:rsidRPr="005A760B">
        <w:t>c</w:t>
      </w:r>
      <w:r w:rsidRPr="005A760B">
        <w:t>ción General de Administración Local y Despoblación y de la Federación N</w:t>
      </w:r>
      <w:r w:rsidRPr="005A760B">
        <w:t>a</w:t>
      </w:r>
      <w:r w:rsidRPr="005A760B">
        <w:t>varra de Municipios y Concejos, la colaboración prestada en la realización del presente trabajo.</w:t>
      </w:r>
    </w:p>
    <w:p w:rsidR="001049D6" w:rsidRPr="005A760B" w:rsidRDefault="001049D6" w:rsidP="001049D6">
      <w:pPr>
        <w:pStyle w:val="texto"/>
      </w:pPr>
      <w:r w:rsidRPr="005A760B">
        <w:rPr>
          <w:spacing w:val="0"/>
          <w:sz w:val="20"/>
          <w:szCs w:val="20"/>
          <w:highlight w:val="yellow"/>
        </w:rPr>
        <w:br w:type="page"/>
      </w:r>
    </w:p>
    <w:p w:rsidR="001049D6" w:rsidRPr="005A760B" w:rsidRDefault="001049D6" w:rsidP="001049D6">
      <w:pPr>
        <w:pStyle w:val="atitulo1"/>
        <w:rPr>
          <w:color w:val="auto"/>
        </w:rPr>
      </w:pPr>
      <w:bookmarkStart w:id="10" w:name="_Toc311633164"/>
      <w:bookmarkStart w:id="11" w:name="_Toc311633173"/>
      <w:bookmarkStart w:id="12" w:name="_Toc399916259"/>
      <w:bookmarkStart w:id="13" w:name="_Toc465686682"/>
      <w:bookmarkStart w:id="14" w:name="_Toc529773876"/>
      <w:bookmarkStart w:id="15" w:name="_Toc24100136"/>
      <w:bookmarkStart w:id="16" w:name="_Toc52348284"/>
      <w:bookmarkStart w:id="17" w:name="_Toc54691917"/>
      <w:r w:rsidRPr="005A760B">
        <w:rPr>
          <w:color w:val="auto"/>
        </w:rPr>
        <w:t>II. Estructura organizativa y normativa del sector público local</w:t>
      </w:r>
      <w:bookmarkEnd w:id="10"/>
      <w:bookmarkEnd w:id="11"/>
      <w:bookmarkEnd w:id="12"/>
      <w:bookmarkEnd w:id="13"/>
      <w:bookmarkEnd w:id="14"/>
      <w:bookmarkEnd w:id="15"/>
      <w:bookmarkEnd w:id="16"/>
      <w:bookmarkEnd w:id="17"/>
    </w:p>
    <w:p w:rsidR="001049D6" w:rsidRPr="005A760B" w:rsidRDefault="001049D6" w:rsidP="001049D6">
      <w:pPr>
        <w:pStyle w:val="atitulo2"/>
        <w:rPr>
          <w:color w:val="auto"/>
        </w:rPr>
      </w:pPr>
      <w:bookmarkStart w:id="18" w:name="_Toc291067877"/>
      <w:bookmarkStart w:id="19" w:name="_Toc399916260"/>
      <w:bookmarkStart w:id="20" w:name="_Toc465686683"/>
      <w:bookmarkStart w:id="21" w:name="_Toc529773877"/>
      <w:bookmarkStart w:id="22" w:name="_Toc531088343"/>
      <w:bookmarkStart w:id="23" w:name="_Toc24100137"/>
      <w:bookmarkStart w:id="24" w:name="_Toc52348285"/>
      <w:bookmarkStart w:id="25" w:name="_Toc54691918"/>
      <w:r w:rsidRPr="005A760B">
        <w:rPr>
          <w:color w:val="auto"/>
        </w:rPr>
        <w:t>II.1. Estructura organizativa</w:t>
      </w:r>
      <w:bookmarkEnd w:id="18"/>
      <w:bookmarkEnd w:id="19"/>
      <w:bookmarkEnd w:id="20"/>
      <w:bookmarkEnd w:id="21"/>
      <w:bookmarkEnd w:id="22"/>
      <w:bookmarkEnd w:id="23"/>
      <w:bookmarkEnd w:id="24"/>
      <w:bookmarkEnd w:id="25"/>
    </w:p>
    <w:p w:rsidR="001049D6" w:rsidRPr="005A760B" w:rsidRDefault="001049D6" w:rsidP="00F73CCF">
      <w:pPr>
        <w:pStyle w:val="texto"/>
      </w:pPr>
      <w:r w:rsidRPr="005A760B">
        <w:t>El sector público local se organiza conforme a lo establecido en la Ley Foral 6/1990, de 2 de julio, de la Administración Local de Navarra.</w:t>
      </w:r>
    </w:p>
    <w:p w:rsidR="001049D6" w:rsidRPr="005A760B" w:rsidRDefault="001049D6" w:rsidP="00F73CCF">
      <w:pPr>
        <w:pStyle w:val="texto"/>
      </w:pPr>
      <w:r w:rsidRPr="005A760B">
        <w:t>Los municipios son las entidades locales básicas de organización territorial. Además de estos, también tienen la condición de entes locales</w:t>
      </w:r>
      <w:r w:rsidR="00ED1F03" w:rsidRPr="005A760B">
        <w:t xml:space="preserve"> en el año 2018</w:t>
      </w:r>
      <w:r w:rsidRPr="005A760B">
        <w:t>:</w:t>
      </w:r>
    </w:p>
    <w:p w:rsidR="001049D6" w:rsidRPr="005A760B" w:rsidRDefault="001049D6" w:rsidP="00F73CCF">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Los concejos: entidades locales enclavadas en el término de un municipio, con población y ámbito territorial inferiores al de éste.</w:t>
      </w:r>
    </w:p>
    <w:p w:rsidR="001049D6" w:rsidRPr="005A760B" w:rsidRDefault="001049D6" w:rsidP="00F73CCF">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 xml:space="preserve">Las corporaciones de carácter tradicional titulares o administradoras de bienes comunales: Comunidad de </w:t>
      </w:r>
      <w:proofErr w:type="spellStart"/>
      <w:r w:rsidRPr="005A760B">
        <w:rPr>
          <w:rFonts w:cs="Arial"/>
        </w:rPr>
        <w:t>Bardenas</w:t>
      </w:r>
      <w:proofErr w:type="spellEnd"/>
      <w:r w:rsidRPr="005A760B">
        <w:rPr>
          <w:rFonts w:cs="Arial"/>
        </w:rPr>
        <w:t xml:space="preserve"> Reales, Comunidad del Valle de </w:t>
      </w:r>
      <w:proofErr w:type="spellStart"/>
      <w:r w:rsidRPr="005A760B">
        <w:rPr>
          <w:rFonts w:cs="Arial"/>
        </w:rPr>
        <w:t>Aezkoa</w:t>
      </w:r>
      <w:proofErr w:type="spellEnd"/>
      <w:r w:rsidRPr="005A760B">
        <w:rPr>
          <w:rFonts w:cs="Arial"/>
        </w:rPr>
        <w:t>, Mancomunidad del Valle de Roncal, Universidad del Valle de Salazar y el resto de corporaciones existentes.</w:t>
      </w:r>
    </w:p>
    <w:p w:rsidR="001049D6" w:rsidRPr="005A760B" w:rsidRDefault="001049D6" w:rsidP="00F73CCF">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Las mancomunidades o asociaciones de varios municipios para la ejec</w:t>
      </w:r>
      <w:r w:rsidRPr="005A760B">
        <w:rPr>
          <w:rFonts w:cs="Arial"/>
        </w:rPr>
        <w:t>u</w:t>
      </w:r>
      <w:r w:rsidRPr="005A760B">
        <w:rPr>
          <w:rFonts w:cs="Arial"/>
        </w:rPr>
        <w:t>ción en común de obras y para la prestación de determinados servicios.</w:t>
      </w:r>
    </w:p>
    <w:p w:rsidR="001049D6" w:rsidRPr="005A760B" w:rsidRDefault="001049D6" w:rsidP="00F73CCF">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Las agrupaciones de municipios cuyas características determinan la prest</w:t>
      </w:r>
      <w:r w:rsidRPr="005A760B">
        <w:rPr>
          <w:rFonts w:cs="Arial"/>
        </w:rPr>
        <w:t>a</w:t>
      </w:r>
      <w:r w:rsidRPr="005A760B">
        <w:rPr>
          <w:rFonts w:cs="Arial"/>
        </w:rPr>
        <w:t>ción de servicios comunes a todos ellos.</w:t>
      </w:r>
    </w:p>
    <w:p w:rsidR="001049D6" w:rsidRPr="005A760B" w:rsidRDefault="001049D6" w:rsidP="00F73CCF">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Los distritos administrativos constituidos con carácter voluntario por m</w:t>
      </w:r>
      <w:r w:rsidRPr="005A760B">
        <w:rPr>
          <w:rFonts w:cs="Arial"/>
        </w:rPr>
        <w:t>u</w:t>
      </w:r>
      <w:r w:rsidRPr="005A760B">
        <w:rPr>
          <w:rFonts w:cs="Arial"/>
        </w:rPr>
        <w:t>nicipios de carácter rural que no alcanzan la población de 5.000 habitantes.</w:t>
      </w:r>
    </w:p>
    <w:p w:rsidR="001049D6" w:rsidRPr="005A760B" w:rsidRDefault="001049D6" w:rsidP="00F73CCF">
      <w:pPr>
        <w:numPr>
          <w:ilvl w:val="0"/>
          <w:numId w:val="2"/>
        </w:numPr>
        <w:tabs>
          <w:tab w:val="left" w:pos="480"/>
          <w:tab w:val="num" w:pos="600"/>
          <w:tab w:val="num" w:pos="644"/>
          <w:tab w:val="num" w:pos="720"/>
          <w:tab w:val="num" w:pos="5040"/>
        </w:tabs>
        <w:ind w:left="0" w:firstLine="290"/>
        <w:rPr>
          <w:rFonts w:cs="Arial"/>
          <w:spacing w:val="6"/>
          <w:sz w:val="26"/>
          <w:szCs w:val="24"/>
        </w:rPr>
      </w:pPr>
      <w:r w:rsidRPr="005A760B">
        <w:rPr>
          <w:rFonts w:cs="Arial"/>
          <w:spacing w:val="6"/>
          <w:sz w:val="26"/>
          <w:szCs w:val="24"/>
        </w:rPr>
        <w:t>Consorcio local:</w:t>
      </w:r>
      <w:r w:rsidRPr="005A760B">
        <w:rPr>
          <w:rFonts w:cs="Arial"/>
        </w:rPr>
        <w:t xml:space="preserve"> </w:t>
      </w:r>
      <w:r w:rsidR="00ED1F03" w:rsidRPr="005A760B">
        <w:rPr>
          <w:rFonts w:cs="Arial"/>
          <w:spacing w:val="6"/>
          <w:sz w:val="26"/>
          <w:szCs w:val="24"/>
        </w:rPr>
        <w:t>la</w:t>
      </w:r>
      <w:r w:rsidRPr="005A760B">
        <w:rPr>
          <w:rFonts w:cs="Arial"/>
          <w:spacing w:val="6"/>
          <w:sz w:val="26"/>
          <w:szCs w:val="24"/>
        </w:rPr>
        <w:t xml:space="preserve"> Ley Foral 23/2014</w:t>
      </w:r>
      <w:r w:rsidR="00CD3E30" w:rsidRPr="005A760B">
        <w:rPr>
          <w:rFonts w:cs="Arial"/>
          <w:spacing w:val="6"/>
          <w:sz w:val="26"/>
          <w:szCs w:val="24"/>
        </w:rPr>
        <w:t>, de 2 de diciembre,</w:t>
      </w:r>
      <w:r w:rsidRPr="005A760B">
        <w:rPr>
          <w:rFonts w:cs="Arial"/>
          <w:spacing w:val="6"/>
          <w:sz w:val="26"/>
          <w:szCs w:val="24"/>
        </w:rPr>
        <w:t xml:space="preserve"> de modificación de la Ley Foral de Administración Local, incluyó a los consorcios como un tipo de entidad local. </w:t>
      </w:r>
      <w:r w:rsidR="00FD3D00" w:rsidRPr="005A760B">
        <w:rPr>
          <w:rFonts w:cs="Arial"/>
          <w:spacing w:val="6"/>
          <w:sz w:val="26"/>
          <w:szCs w:val="24"/>
        </w:rPr>
        <w:t>E</w:t>
      </w:r>
      <w:r w:rsidRPr="005A760B">
        <w:rPr>
          <w:rFonts w:cs="Arial"/>
          <w:spacing w:val="6"/>
          <w:sz w:val="26"/>
          <w:szCs w:val="24"/>
        </w:rPr>
        <w:t>sta consideración como entidad local suscitó un conflicto con el Estado; posteriormente, la Junta de Cooperación Administración General del Estado-Comunidad Foral de Navarra adoptó el siguiente acuerdo el 9 de septiembre de 2015:</w:t>
      </w:r>
    </w:p>
    <w:p w:rsidR="001049D6" w:rsidRPr="005A760B" w:rsidRDefault="001049D6" w:rsidP="00F73CCF">
      <w:pPr>
        <w:pStyle w:val="texto"/>
        <w:rPr>
          <w:i/>
          <w:sz w:val="22"/>
          <w:szCs w:val="22"/>
        </w:rPr>
      </w:pPr>
      <w:r w:rsidRPr="005A760B">
        <w:rPr>
          <w:i/>
          <w:sz w:val="22"/>
          <w:szCs w:val="22"/>
        </w:rPr>
        <w:t>“a) Los art. 3.1.f; 212.4 y 5 de la Ley Foral 23/2014 atribuyen a los consorcios locales de Navarra la condición de entidad local. La Comunidad Foral de Navarra se compromete a modificar esta legislación de modo que dicha norma se adecúe a lo dispuesto por Dispos</w:t>
      </w:r>
      <w:r w:rsidRPr="005A760B">
        <w:rPr>
          <w:i/>
          <w:sz w:val="22"/>
          <w:szCs w:val="22"/>
        </w:rPr>
        <w:t>i</w:t>
      </w:r>
      <w:r w:rsidRPr="005A760B">
        <w:rPr>
          <w:i/>
          <w:sz w:val="22"/>
          <w:szCs w:val="22"/>
        </w:rPr>
        <w:t>ción Final segunda de la Ley 27/2013, de 27 de diciembre, de Racionalización y Sostenibil</w:t>
      </w:r>
      <w:r w:rsidRPr="005A760B">
        <w:rPr>
          <w:i/>
          <w:sz w:val="22"/>
          <w:szCs w:val="22"/>
        </w:rPr>
        <w:t>i</w:t>
      </w:r>
      <w:r w:rsidRPr="005A760B">
        <w:rPr>
          <w:i/>
          <w:sz w:val="22"/>
          <w:szCs w:val="22"/>
        </w:rPr>
        <w:t>dad de la Administración Local que determina que cada consorcio se encuentra adscrito a una administración pública, y demás legislación básica estatal, de manera que no se atrib</w:t>
      </w:r>
      <w:r w:rsidRPr="005A760B">
        <w:rPr>
          <w:i/>
          <w:sz w:val="22"/>
          <w:szCs w:val="22"/>
        </w:rPr>
        <w:t>u</w:t>
      </w:r>
      <w:r w:rsidRPr="005A760B">
        <w:rPr>
          <w:i/>
          <w:sz w:val="22"/>
          <w:szCs w:val="22"/>
        </w:rPr>
        <w:t>ya la condición de entidades locales de Navarra a los consorcios locales.”</w:t>
      </w:r>
    </w:p>
    <w:p w:rsidR="001049D6" w:rsidRPr="005A760B" w:rsidRDefault="001049D6" w:rsidP="00F73CCF">
      <w:pPr>
        <w:pStyle w:val="texto"/>
        <w:tabs>
          <w:tab w:val="clear" w:pos="2835"/>
          <w:tab w:val="center" w:pos="0"/>
        </w:tabs>
        <w:ind w:firstLine="425"/>
      </w:pPr>
      <w:r w:rsidRPr="005A760B">
        <w:rPr>
          <w:rFonts w:cs="Arial"/>
        </w:rPr>
        <w:t xml:space="preserve">La aprobación de la Ley Foral 4/2019, de 4 de febrero, de Reforma de la Administración Local de Navarra ha supuesto la supresión de los consorcios como entidades locales, </w:t>
      </w:r>
      <w:r w:rsidR="00ED1F03" w:rsidRPr="005A760B">
        <w:rPr>
          <w:rFonts w:cs="Arial"/>
        </w:rPr>
        <w:t>con lo que se ha dado cumplimiento al compromiso a</w:t>
      </w:r>
      <w:r w:rsidR="00ED1F03" w:rsidRPr="005A760B">
        <w:rPr>
          <w:rFonts w:cs="Arial"/>
        </w:rPr>
        <w:t>n</w:t>
      </w:r>
      <w:r w:rsidR="00ED1F03" w:rsidRPr="005A760B">
        <w:rPr>
          <w:rFonts w:cs="Arial"/>
        </w:rPr>
        <w:t xml:space="preserve">tes citado adquirido por la Comunidad Foral de Navarra. Esta ley foral suprime también </w:t>
      </w:r>
      <w:r w:rsidR="00CD3E30" w:rsidRPr="005A760B">
        <w:rPr>
          <w:rFonts w:cs="Arial"/>
        </w:rPr>
        <w:t xml:space="preserve">las agrupaciones de municipios y </w:t>
      </w:r>
      <w:r w:rsidR="00ED1F03" w:rsidRPr="005A760B">
        <w:rPr>
          <w:rFonts w:cs="Arial"/>
        </w:rPr>
        <w:t xml:space="preserve">los </w:t>
      </w:r>
      <w:r w:rsidR="00CD3E30" w:rsidRPr="005A760B">
        <w:rPr>
          <w:rFonts w:cs="Arial"/>
        </w:rPr>
        <w:t>distritos administrativos</w:t>
      </w:r>
      <w:r w:rsidR="00F428CC" w:rsidRPr="005A760B">
        <w:rPr>
          <w:rFonts w:cs="Arial"/>
        </w:rPr>
        <w:t xml:space="preserve"> en la medida en que se lleve a cabo el desarrollo normativo previsto por la </w:t>
      </w:r>
      <w:r w:rsidR="00656810" w:rsidRPr="005A760B">
        <w:rPr>
          <w:rFonts w:cs="Arial"/>
        </w:rPr>
        <w:t>misma</w:t>
      </w:r>
      <w:r w:rsidR="00F428CC" w:rsidRPr="005A760B">
        <w:rPr>
          <w:rFonts w:cs="Arial"/>
        </w:rPr>
        <w:t>.</w:t>
      </w:r>
    </w:p>
    <w:p w:rsidR="00F73CCF" w:rsidRPr="005A760B" w:rsidRDefault="00F73CCF">
      <w:pPr>
        <w:spacing w:after="0"/>
        <w:ind w:firstLine="0"/>
        <w:jc w:val="left"/>
        <w:rPr>
          <w:spacing w:val="6"/>
          <w:sz w:val="26"/>
          <w:szCs w:val="24"/>
        </w:rPr>
      </w:pPr>
      <w:r w:rsidRPr="005A760B">
        <w:br w:type="page"/>
      </w:r>
    </w:p>
    <w:p w:rsidR="001049D6" w:rsidRPr="005A760B" w:rsidRDefault="001049D6" w:rsidP="00F73CCF">
      <w:pPr>
        <w:pStyle w:val="texto"/>
        <w:spacing w:after="240"/>
      </w:pPr>
      <w:r w:rsidRPr="005A760B">
        <w:t>El número de entidades locales a 31 de diciembre de 2018 y su comparación con las existentes en años anteriores es</w:t>
      </w:r>
      <w:r w:rsidR="00816E87" w:rsidRPr="005A760B">
        <w:t xml:space="preserve"> el siguiente</w:t>
      </w:r>
      <w:r w:rsidRPr="005A760B">
        <w:t>:</w:t>
      </w:r>
    </w:p>
    <w:tbl>
      <w:tblPr>
        <w:tblW w:w="5000" w:type="pct"/>
        <w:tblCellMar>
          <w:left w:w="70" w:type="dxa"/>
          <w:right w:w="70" w:type="dxa"/>
        </w:tblCellMar>
        <w:tblLook w:val="04A0" w:firstRow="1" w:lastRow="0" w:firstColumn="1" w:lastColumn="0" w:noHBand="0" w:noVBand="1"/>
      </w:tblPr>
      <w:tblGrid>
        <w:gridCol w:w="2487"/>
        <w:gridCol w:w="2784"/>
        <w:gridCol w:w="1025"/>
        <w:gridCol w:w="879"/>
        <w:gridCol w:w="877"/>
        <w:gridCol w:w="877"/>
      </w:tblGrid>
      <w:tr w:rsidR="001049D6" w:rsidRPr="005A760B" w:rsidTr="00572035">
        <w:trPr>
          <w:trHeight w:val="312"/>
        </w:trPr>
        <w:tc>
          <w:tcPr>
            <w:tcW w:w="1393"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F73CCF">
            <w:pPr>
              <w:pStyle w:val="cuatexto"/>
              <w:rPr>
                <w:rFonts w:ascii="Arial" w:hAnsi="Arial" w:cs="Arial"/>
                <w:sz w:val="18"/>
                <w:szCs w:val="18"/>
                <w:lang w:val="es-ES" w:eastAsia="es-ES"/>
              </w:rPr>
            </w:pPr>
            <w:r w:rsidRPr="005A760B">
              <w:rPr>
                <w:rFonts w:ascii="Arial" w:hAnsi="Arial" w:cs="Arial"/>
                <w:sz w:val="18"/>
                <w:szCs w:val="18"/>
                <w:lang w:eastAsia="es-ES"/>
              </w:rPr>
              <w:t>Entidad Local</w:t>
            </w:r>
          </w:p>
        </w:tc>
        <w:tc>
          <w:tcPr>
            <w:tcW w:w="1559"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F73CCF">
            <w:pPr>
              <w:pStyle w:val="cuatexto"/>
              <w:jc w:val="right"/>
              <w:rPr>
                <w:rFonts w:ascii="Arial" w:hAnsi="Arial" w:cs="Arial"/>
                <w:sz w:val="18"/>
                <w:szCs w:val="18"/>
                <w:lang w:val="es-ES" w:eastAsia="es-ES"/>
              </w:rPr>
            </w:pPr>
            <w:r w:rsidRPr="005A760B">
              <w:rPr>
                <w:rFonts w:ascii="Arial" w:hAnsi="Arial" w:cs="Arial"/>
                <w:sz w:val="18"/>
                <w:szCs w:val="18"/>
                <w:lang w:eastAsia="es-ES"/>
              </w:rPr>
              <w:t>2014</w:t>
            </w:r>
          </w:p>
        </w:tc>
        <w:tc>
          <w:tcPr>
            <w:tcW w:w="574"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F73CCF">
            <w:pPr>
              <w:pStyle w:val="cuatexto"/>
              <w:jc w:val="right"/>
              <w:rPr>
                <w:rFonts w:ascii="Arial" w:hAnsi="Arial" w:cs="Arial"/>
                <w:sz w:val="18"/>
                <w:szCs w:val="18"/>
                <w:lang w:val="es-ES" w:eastAsia="es-ES"/>
              </w:rPr>
            </w:pPr>
            <w:r w:rsidRPr="005A760B">
              <w:rPr>
                <w:rFonts w:ascii="Arial" w:hAnsi="Arial" w:cs="Arial"/>
                <w:sz w:val="18"/>
                <w:szCs w:val="18"/>
                <w:lang w:eastAsia="es-ES"/>
              </w:rPr>
              <w:t>2015</w:t>
            </w:r>
          </w:p>
        </w:tc>
        <w:tc>
          <w:tcPr>
            <w:tcW w:w="492"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F73CCF">
            <w:pPr>
              <w:pStyle w:val="cuatexto"/>
              <w:jc w:val="right"/>
              <w:rPr>
                <w:rFonts w:ascii="Arial" w:hAnsi="Arial" w:cs="Arial"/>
                <w:sz w:val="18"/>
                <w:szCs w:val="18"/>
                <w:lang w:val="es-ES" w:eastAsia="es-ES"/>
              </w:rPr>
            </w:pPr>
            <w:r w:rsidRPr="005A760B">
              <w:rPr>
                <w:rFonts w:ascii="Arial" w:hAnsi="Arial" w:cs="Arial"/>
                <w:sz w:val="18"/>
                <w:szCs w:val="18"/>
                <w:lang w:eastAsia="es-ES"/>
              </w:rPr>
              <w:t>2016</w:t>
            </w:r>
          </w:p>
        </w:tc>
        <w:tc>
          <w:tcPr>
            <w:tcW w:w="491"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F73CCF">
            <w:pPr>
              <w:pStyle w:val="cuatexto"/>
              <w:jc w:val="right"/>
              <w:rPr>
                <w:rFonts w:ascii="Arial" w:hAnsi="Arial" w:cs="Arial"/>
                <w:sz w:val="18"/>
                <w:szCs w:val="18"/>
                <w:lang w:val="es-ES" w:eastAsia="es-ES"/>
              </w:rPr>
            </w:pPr>
            <w:r w:rsidRPr="005A760B">
              <w:rPr>
                <w:rFonts w:ascii="Arial" w:hAnsi="Arial" w:cs="Arial"/>
                <w:sz w:val="18"/>
                <w:szCs w:val="18"/>
                <w:lang w:eastAsia="es-ES"/>
              </w:rPr>
              <w:t>2017</w:t>
            </w:r>
          </w:p>
        </w:tc>
        <w:tc>
          <w:tcPr>
            <w:tcW w:w="491"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F73CCF">
            <w:pPr>
              <w:pStyle w:val="cuatexto"/>
              <w:jc w:val="right"/>
              <w:rPr>
                <w:rFonts w:ascii="Arial" w:hAnsi="Arial" w:cs="Arial"/>
                <w:sz w:val="18"/>
                <w:szCs w:val="18"/>
                <w:lang w:val="es-ES" w:eastAsia="es-ES"/>
              </w:rPr>
            </w:pPr>
            <w:r w:rsidRPr="005A760B">
              <w:rPr>
                <w:rFonts w:ascii="Arial" w:hAnsi="Arial" w:cs="Arial"/>
                <w:sz w:val="18"/>
                <w:szCs w:val="18"/>
                <w:lang w:eastAsia="es-ES"/>
              </w:rPr>
              <w:t>2018</w:t>
            </w:r>
          </w:p>
        </w:tc>
      </w:tr>
      <w:tr w:rsidR="001049D6" w:rsidRPr="005A760B" w:rsidTr="00FD3D00">
        <w:trPr>
          <w:trHeight w:val="284"/>
        </w:trPr>
        <w:tc>
          <w:tcPr>
            <w:tcW w:w="1393"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rPr>
                <w:rFonts w:cs="Calibri"/>
                <w:lang w:val="es-ES" w:eastAsia="es-ES"/>
              </w:rPr>
            </w:pPr>
            <w:r w:rsidRPr="005A760B">
              <w:rPr>
                <w:lang w:eastAsia="es-ES"/>
              </w:rPr>
              <w:t>Municipios</w:t>
            </w:r>
            <w:r w:rsidRPr="005A760B">
              <w:rPr>
                <w:sz w:val="22"/>
                <w:vertAlign w:val="subscript"/>
                <w:lang w:eastAsia="es-ES"/>
              </w:rPr>
              <w:t xml:space="preserve"> (1)</w:t>
            </w:r>
          </w:p>
        </w:tc>
        <w:tc>
          <w:tcPr>
            <w:tcW w:w="1559"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lang w:val="es-ES" w:eastAsia="es-ES"/>
              </w:rPr>
            </w:pPr>
            <w:r w:rsidRPr="005A760B">
              <w:rPr>
                <w:lang w:eastAsia="es-ES"/>
              </w:rPr>
              <w:t>272</w:t>
            </w:r>
          </w:p>
        </w:tc>
        <w:tc>
          <w:tcPr>
            <w:tcW w:w="574"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lang w:val="es-ES" w:eastAsia="es-ES"/>
              </w:rPr>
            </w:pPr>
            <w:r w:rsidRPr="005A760B">
              <w:rPr>
                <w:lang w:eastAsia="es-ES"/>
              </w:rPr>
              <w:t>272</w:t>
            </w:r>
          </w:p>
        </w:tc>
        <w:tc>
          <w:tcPr>
            <w:tcW w:w="492"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lang w:val="es-ES" w:eastAsia="es-ES"/>
              </w:rPr>
            </w:pPr>
            <w:r w:rsidRPr="005A760B">
              <w:rPr>
                <w:lang w:eastAsia="es-ES"/>
              </w:rPr>
              <w:t>272</w:t>
            </w:r>
          </w:p>
        </w:tc>
        <w:tc>
          <w:tcPr>
            <w:tcW w:w="491"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lang w:val="es-ES" w:eastAsia="es-ES"/>
              </w:rPr>
            </w:pPr>
            <w:r w:rsidRPr="005A760B">
              <w:rPr>
                <w:lang w:eastAsia="es-ES"/>
              </w:rPr>
              <w:t>272</w:t>
            </w:r>
          </w:p>
        </w:tc>
        <w:tc>
          <w:tcPr>
            <w:tcW w:w="491"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lang w:val="es-ES" w:eastAsia="es-ES"/>
              </w:rPr>
            </w:pPr>
            <w:r w:rsidRPr="005A760B">
              <w:rPr>
                <w:lang w:eastAsia="es-ES"/>
              </w:rPr>
              <w:t>272</w:t>
            </w:r>
          </w:p>
        </w:tc>
      </w:tr>
      <w:tr w:rsidR="001049D6" w:rsidRPr="005A760B" w:rsidTr="00FD3D00">
        <w:trPr>
          <w:trHeight w:val="284"/>
        </w:trPr>
        <w:tc>
          <w:tcPr>
            <w:tcW w:w="1393"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rPr>
                <w:rFonts w:cs="Calibri"/>
                <w:lang w:val="es-ES" w:eastAsia="es-ES"/>
              </w:rPr>
            </w:pPr>
            <w:r w:rsidRPr="005A760B">
              <w:rPr>
                <w:lang w:eastAsia="es-ES"/>
              </w:rPr>
              <w:t>Concejos</w:t>
            </w:r>
          </w:p>
        </w:tc>
        <w:tc>
          <w:tcPr>
            <w:tcW w:w="1559"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lang w:val="es-ES" w:eastAsia="es-ES"/>
              </w:rPr>
            </w:pPr>
            <w:r w:rsidRPr="005A760B">
              <w:rPr>
                <w:lang w:eastAsia="es-ES"/>
              </w:rPr>
              <w:t>347</w:t>
            </w:r>
          </w:p>
        </w:tc>
        <w:tc>
          <w:tcPr>
            <w:tcW w:w="574"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lang w:val="es-ES" w:eastAsia="es-ES"/>
              </w:rPr>
            </w:pPr>
            <w:r w:rsidRPr="005A760B">
              <w:rPr>
                <w:lang w:eastAsia="es-ES"/>
              </w:rPr>
              <w:t>347</w:t>
            </w:r>
          </w:p>
        </w:tc>
        <w:tc>
          <w:tcPr>
            <w:tcW w:w="492"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lang w:val="es-ES" w:eastAsia="es-ES"/>
              </w:rPr>
            </w:pPr>
            <w:r w:rsidRPr="005A760B">
              <w:rPr>
                <w:lang w:eastAsia="es-ES"/>
              </w:rPr>
              <w:t>346</w:t>
            </w:r>
          </w:p>
        </w:tc>
        <w:tc>
          <w:tcPr>
            <w:tcW w:w="491"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lang w:val="es-ES" w:eastAsia="es-ES"/>
              </w:rPr>
            </w:pPr>
            <w:r w:rsidRPr="005A760B">
              <w:rPr>
                <w:lang w:eastAsia="es-ES"/>
              </w:rPr>
              <w:t>346</w:t>
            </w:r>
          </w:p>
        </w:tc>
        <w:tc>
          <w:tcPr>
            <w:tcW w:w="491"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lang w:val="es-ES" w:eastAsia="es-ES"/>
              </w:rPr>
            </w:pPr>
            <w:r w:rsidRPr="005A760B">
              <w:rPr>
                <w:lang w:eastAsia="es-ES"/>
              </w:rPr>
              <w:t>346</w:t>
            </w:r>
          </w:p>
        </w:tc>
      </w:tr>
      <w:tr w:rsidR="001049D6" w:rsidRPr="005A760B" w:rsidTr="00FD3D00">
        <w:trPr>
          <w:trHeight w:val="284"/>
        </w:trPr>
        <w:tc>
          <w:tcPr>
            <w:tcW w:w="1393"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rPr>
                <w:rFonts w:cs="Calibri"/>
                <w:lang w:val="es-ES" w:eastAsia="es-ES"/>
              </w:rPr>
            </w:pPr>
            <w:r w:rsidRPr="005A760B">
              <w:rPr>
                <w:lang w:eastAsia="es-ES"/>
              </w:rPr>
              <w:t xml:space="preserve">Mancomunidades </w:t>
            </w:r>
            <w:r w:rsidRPr="005A760B">
              <w:rPr>
                <w:sz w:val="22"/>
                <w:vertAlign w:val="subscript"/>
                <w:lang w:eastAsia="es-ES"/>
              </w:rPr>
              <w:t>(2)</w:t>
            </w:r>
          </w:p>
        </w:tc>
        <w:tc>
          <w:tcPr>
            <w:tcW w:w="1559"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lang w:val="es-ES" w:eastAsia="es-ES"/>
              </w:rPr>
            </w:pPr>
            <w:r w:rsidRPr="005A760B">
              <w:rPr>
                <w:lang w:eastAsia="es-ES"/>
              </w:rPr>
              <w:t>65</w:t>
            </w:r>
          </w:p>
        </w:tc>
        <w:tc>
          <w:tcPr>
            <w:tcW w:w="574"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lang w:val="es-ES" w:eastAsia="es-ES"/>
              </w:rPr>
            </w:pPr>
            <w:r w:rsidRPr="005A760B">
              <w:rPr>
                <w:lang w:eastAsia="es-ES"/>
              </w:rPr>
              <w:t>63</w:t>
            </w:r>
          </w:p>
        </w:tc>
        <w:tc>
          <w:tcPr>
            <w:tcW w:w="492"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lang w:val="es-ES" w:eastAsia="es-ES"/>
              </w:rPr>
            </w:pPr>
            <w:r w:rsidRPr="005A760B">
              <w:rPr>
                <w:lang w:eastAsia="es-ES"/>
              </w:rPr>
              <w:t>63</w:t>
            </w:r>
          </w:p>
        </w:tc>
        <w:tc>
          <w:tcPr>
            <w:tcW w:w="491"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lang w:val="es-ES" w:eastAsia="es-ES"/>
              </w:rPr>
            </w:pPr>
            <w:r w:rsidRPr="005A760B">
              <w:rPr>
                <w:lang w:eastAsia="es-ES"/>
              </w:rPr>
              <w:t>62</w:t>
            </w:r>
          </w:p>
        </w:tc>
        <w:tc>
          <w:tcPr>
            <w:tcW w:w="491"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lang w:val="es-ES" w:eastAsia="es-ES"/>
              </w:rPr>
            </w:pPr>
            <w:r w:rsidRPr="005A760B">
              <w:rPr>
                <w:lang w:eastAsia="es-ES"/>
              </w:rPr>
              <w:t>62</w:t>
            </w:r>
          </w:p>
        </w:tc>
      </w:tr>
      <w:tr w:rsidR="001049D6" w:rsidRPr="005A760B" w:rsidTr="00FD3D00">
        <w:trPr>
          <w:trHeight w:val="284"/>
        </w:trPr>
        <w:tc>
          <w:tcPr>
            <w:tcW w:w="1393"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rPr>
                <w:rFonts w:cs="Calibri"/>
                <w:lang w:val="es-ES" w:eastAsia="es-ES"/>
              </w:rPr>
            </w:pPr>
            <w:r w:rsidRPr="005A760B">
              <w:rPr>
                <w:lang w:eastAsia="es-ES"/>
              </w:rPr>
              <w:t>Agrupaciones Municipales</w:t>
            </w:r>
          </w:p>
        </w:tc>
        <w:tc>
          <w:tcPr>
            <w:tcW w:w="1559"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lang w:val="es-ES" w:eastAsia="es-ES"/>
              </w:rPr>
            </w:pPr>
            <w:r w:rsidRPr="005A760B">
              <w:rPr>
                <w:lang w:eastAsia="es-ES"/>
              </w:rPr>
              <w:t>19</w:t>
            </w:r>
          </w:p>
        </w:tc>
        <w:tc>
          <w:tcPr>
            <w:tcW w:w="574"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lang w:val="es-ES" w:eastAsia="es-ES"/>
              </w:rPr>
            </w:pPr>
            <w:r w:rsidRPr="005A760B">
              <w:rPr>
                <w:lang w:eastAsia="es-ES"/>
              </w:rPr>
              <w:t>19</w:t>
            </w:r>
          </w:p>
        </w:tc>
        <w:tc>
          <w:tcPr>
            <w:tcW w:w="492"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lang w:val="es-ES" w:eastAsia="es-ES"/>
              </w:rPr>
            </w:pPr>
            <w:r w:rsidRPr="005A760B">
              <w:rPr>
                <w:lang w:eastAsia="es-ES"/>
              </w:rPr>
              <w:t>20</w:t>
            </w:r>
          </w:p>
        </w:tc>
        <w:tc>
          <w:tcPr>
            <w:tcW w:w="491"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lang w:val="es-ES" w:eastAsia="es-ES"/>
              </w:rPr>
            </w:pPr>
            <w:r w:rsidRPr="005A760B">
              <w:rPr>
                <w:lang w:eastAsia="es-ES"/>
              </w:rPr>
              <w:t>23</w:t>
            </w:r>
          </w:p>
        </w:tc>
        <w:tc>
          <w:tcPr>
            <w:tcW w:w="491" w:type="pct"/>
            <w:tcBorders>
              <w:top w:val="nil"/>
              <w:left w:val="nil"/>
              <w:bottom w:val="single" w:sz="4" w:space="0" w:color="auto"/>
              <w:right w:val="nil"/>
            </w:tcBorders>
            <w:shd w:val="clear" w:color="auto" w:fill="auto"/>
            <w:vAlign w:val="center"/>
            <w:hideMark/>
          </w:tcPr>
          <w:p w:rsidR="001049D6" w:rsidRPr="005A760B" w:rsidRDefault="001049D6" w:rsidP="00F73CCF">
            <w:pPr>
              <w:pStyle w:val="cuatexto"/>
              <w:jc w:val="right"/>
              <w:rPr>
                <w:rFonts w:cs="Calibri"/>
                <w:lang w:val="es-ES" w:eastAsia="es-ES"/>
              </w:rPr>
            </w:pPr>
            <w:r w:rsidRPr="005A760B">
              <w:rPr>
                <w:lang w:eastAsia="es-ES"/>
              </w:rPr>
              <w:t>22</w:t>
            </w:r>
          </w:p>
        </w:tc>
      </w:tr>
      <w:tr w:rsidR="001049D6" w:rsidRPr="005A760B" w:rsidTr="00FD3D00">
        <w:trPr>
          <w:trHeight w:val="284"/>
        </w:trPr>
        <w:tc>
          <w:tcPr>
            <w:tcW w:w="1393"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F73CCF">
            <w:pPr>
              <w:pStyle w:val="cuatexto"/>
              <w:rPr>
                <w:rFonts w:ascii="Arial" w:hAnsi="Arial" w:cs="Arial"/>
                <w:sz w:val="18"/>
                <w:szCs w:val="18"/>
                <w:lang w:val="es-ES" w:eastAsia="es-ES"/>
              </w:rPr>
            </w:pPr>
            <w:r w:rsidRPr="005A760B">
              <w:rPr>
                <w:rFonts w:ascii="Arial" w:hAnsi="Arial" w:cs="Arial"/>
                <w:sz w:val="18"/>
                <w:szCs w:val="18"/>
                <w:lang w:eastAsia="es-ES"/>
              </w:rPr>
              <w:t>Total</w:t>
            </w:r>
          </w:p>
        </w:tc>
        <w:tc>
          <w:tcPr>
            <w:tcW w:w="1559"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F73CCF">
            <w:pPr>
              <w:pStyle w:val="cuatexto"/>
              <w:jc w:val="right"/>
              <w:rPr>
                <w:rFonts w:ascii="Arial" w:hAnsi="Arial" w:cs="Arial"/>
                <w:sz w:val="18"/>
                <w:szCs w:val="18"/>
                <w:lang w:val="es-ES" w:eastAsia="es-ES"/>
              </w:rPr>
            </w:pPr>
            <w:r w:rsidRPr="005A760B">
              <w:rPr>
                <w:rFonts w:ascii="Arial" w:hAnsi="Arial" w:cs="Arial"/>
                <w:sz w:val="18"/>
                <w:szCs w:val="18"/>
                <w:lang w:eastAsia="es-ES"/>
              </w:rPr>
              <w:t>703</w:t>
            </w:r>
          </w:p>
        </w:tc>
        <w:tc>
          <w:tcPr>
            <w:tcW w:w="574"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F73CCF">
            <w:pPr>
              <w:pStyle w:val="cuatexto"/>
              <w:jc w:val="right"/>
              <w:rPr>
                <w:rFonts w:ascii="Arial" w:hAnsi="Arial" w:cs="Arial"/>
                <w:sz w:val="18"/>
                <w:szCs w:val="18"/>
                <w:lang w:val="es-ES" w:eastAsia="es-ES"/>
              </w:rPr>
            </w:pPr>
            <w:r w:rsidRPr="005A760B">
              <w:rPr>
                <w:rFonts w:ascii="Arial" w:hAnsi="Arial" w:cs="Arial"/>
                <w:sz w:val="18"/>
                <w:szCs w:val="18"/>
                <w:lang w:eastAsia="es-ES"/>
              </w:rPr>
              <w:t>701</w:t>
            </w:r>
          </w:p>
        </w:tc>
        <w:tc>
          <w:tcPr>
            <w:tcW w:w="492"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F73CCF">
            <w:pPr>
              <w:pStyle w:val="cuatexto"/>
              <w:jc w:val="right"/>
              <w:rPr>
                <w:rFonts w:ascii="Arial" w:hAnsi="Arial" w:cs="Arial"/>
                <w:sz w:val="18"/>
                <w:szCs w:val="18"/>
                <w:lang w:val="es-ES" w:eastAsia="es-ES"/>
              </w:rPr>
            </w:pPr>
            <w:r w:rsidRPr="005A760B">
              <w:rPr>
                <w:rFonts w:ascii="Arial" w:hAnsi="Arial" w:cs="Arial"/>
                <w:sz w:val="18"/>
                <w:szCs w:val="18"/>
                <w:lang w:eastAsia="es-ES"/>
              </w:rPr>
              <w:t>701</w:t>
            </w:r>
          </w:p>
        </w:tc>
        <w:tc>
          <w:tcPr>
            <w:tcW w:w="491"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F73CCF">
            <w:pPr>
              <w:pStyle w:val="cuatexto"/>
              <w:jc w:val="right"/>
              <w:rPr>
                <w:rFonts w:ascii="Arial" w:hAnsi="Arial" w:cs="Arial"/>
                <w:sz w:val="18"/>
                <w:szCs w:val="18"/>
                <w:lang w:val="es-ES" w:eastAsia="es-ES"/>
              </w:rPr>
            </w:pPr>
            <w:r w:rsidRPr="005A760B">
              <w:rPr>
                <w:rFonts w:ascii="Arial" w:hAnsi="Arial" w:cs="Arial"/>
                <w:sz w:val="18"/>
                <w:szCs w:val="18"/>
                <w:lang w:eastAsia="es-ES"/>
              </w:rPr>
              <w:t>703</w:t>
            </w:r>
          </w:p>
        </w:tc>
        <w:tc>
          <w:tcPr>
            <w:tcW w:w="491"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F73CCF">
            <w:pPr>
              <w:pStyle w:val="cuatexto"/>
              <w:jc w:val="right"/>
              <w:rPr>
                <w:rFonts w:ascii="Arial" w:hAnsi="Arial" w:cs="Arial"/>
                <w:sz w:val="18"/>
                <w:szCs w:val="18"/>
                <w:lang w:val="es-ES" w:eastAsia="es-ES"/>
              </w:rPr>
            </w:pPr>
            <w:r w:rsidRPr="005A760B">
              <w:rPr>
                <w:rFonts w:ascii="Arial" w:hAnsi="Arial" w:cs="Arial"/>
                <w:sz w:val="18"/>
                <w:szCs w:val="18"/>
                <w:lang w:val="es-ES" w:eastAsia="es-ES"/>
              </w:rPr>
              <w:t>702</w:t>
            </w:r>
          </w:p>
        </w:tc>
      </w:tr>
    </w:tbl>
    <w:p w:rsidR="001049D6" w:rsidRPr="005A760B" w:rsidRDefault="001049D6" w:rsidP="001049D6">
      <w:pPr>
        <w:pStyle w:val="recomen"/>
        <w:numPr>
          <w:ilvl w:val="0"/>
          <w:numId w:val="9"/>
        </w:numPr>
        <w:tabs>
          <w:tab w:val="clear" w:pos="885"/>
        </w:tabs>
        <w:spacing w:before="60" w:after="20"/>
        <w:ind w:left="284" w:hanging="284"/>
        <w:rPr>
          <w:rFonts w:ascii="Arial" w:hAnsi="Arial" w:cs="Arial"/>
          <w:i w:val="0"/>
          <w:sz w:val="14"/>
          <w:szCs w:val="14"/>
          <w:lang w:val="es-ES_tradnl"/>
        </w:rPr>
      </w:pPr>
      <w:r w:rsidRPr="005A760B">
        <w:rPr>
          <w:rFonts w:ascii="Arial" w:hAnsi="Arial" w:cs="Arial"/>
          <w:i w:val="0"/>
          <w:sz w:val="14"/>
          <w:szCs w:val="14"/>
          <w:lang w:val="es-ES_tradnl"/>
        </w:rPr>
        <w:t>60 son municipios compuestos</w:t>
      </w:r>
      <w:r w:rsidR="00FF7F6B" w:rsidRPr="005A760B">
        <w:rPr>
          <w:rFonts w:ascii="Arial" w:hAnsi="Arial" w:cs="Arial"/>
          <w:i w:val="0"/>
          <w:sz w:val="14"/>
          <w:szCs w:val="14"/>
          <w:lang w:val="es-ES_tradnl"/>
        </w:rPr>
        <w:t>.</w:t>
      </w:r>
    </w:p>
    <w:p w:rsidR="001049D6" w:rsidRPr="005A760B" w:rsidRDefault="00FD3D00" w:rsidP="001049D6">
      <w:pPr>
        <w:pStyle w:val="recomen"/>
        <w:numPr>
          <w:ilvl w:val="0"/>
          <w:numId w:val="9"/>
        </w:numPr>
        <w:tabs>
          <w:tab w:val="clear" w:pos="885"/>
        </w:tabs>
        <w:spacing w:after="0"/>
        <w:ind w:left="284" w:hanging="284"/>
        <w:rPr>
          <w:rFonts w:ascii="Arial" w:hAnsi="Arial" w:cs="Arial"/>
          <w:i w:val="0"/>
          <w:sz w:val="14"/>
          <w:szCs w:val="14"/>
          <w:lang w:val="es-ES_tradnl"/>
        </w:rPr>
      </w:pPr>
      <w:r w:rsidRPr="005A760B">
        <w:rPr>
          <w:rFonts w:ascii="Arial" w:hAnsi="Arial" w:cs="Arial"/>
          <w:i w:val="0"/>
          <w:sz w:val="14"/>
          <w:szCs w:val="14"/>
          <w:lang w:val="es-ES_tradnl"/>
        </w:rPr>
        <w:t>Dos</w:t>
      </w:r>
      <w:r w:rsidR="001049D6" w:rsidRPr="005A760B">
        <w:rPr>
          <w:rFonts w:ascii="Arial" w:hAnsi="Arial" w:cs="Arial"/>
          <w:i w:val="0"/>
          <w:sz w:val="14"/>
          <w:szCs w:val="14"/>
          <w:lang w:val="es-ES_tradnl"/>
        </w:rPr>
        <w:t xml:space="preserve"> Mancomunidades no tienen actividad</w:t>
      </w:r>
      <w:r w:rsidR="00FF7F6B" w:rsidRPr="005A760B">
        <w:rPr>
          <w:rFonts w:ascii="Arial" w:hAnsi="Arial" w:cs="Arial"/>
          <w:i w:val="0"/>
          <w:sz w:val="14"/>
          <w:szCs w:val="14"/>
          <w:lang w:val="es-ES_tradnl"/>
        </w:rPr>
        <w:t>.</w:t>
      </w:r>
    </w:p>
    <w:p w:rsidR="007C161D" w:rsidRPr="005A760B" w:rsidRDefault="007C161D" w:rsidP="007C161D">
      <w:pPr>
        <w:pStyle w:val="texto"/>
        <w:spacing w:after="0"/>
        <w:rPr>
          <w:szCs w:val="26"/>
        </w:rPr>
      </w:pPr>
    </w:p>
    <w:p w:rsidR="001049D6" w:rsidRPr="005A760B" w:rsidRDefault="001049D6" w:rsidP="001049D6">
      <w:pPr>
        <w:pStyle w:val="texto"/>
        <w:spacing w:after="120"/>
      </w:pPr>
      <w:r w:rsidRPr="005A760B">
        <w:rPr>
          <w:szCs w:val="26"/>
        </w:rPr>
        <w:t xml:space="preserve">Si comparamos los datos con los de 2017 la única variación es la baja de la Agrupación de servicios administrativos de </w:t>
      </w:r>
      <w:proofErr w:type="spellStart"/>
      <w:r w:rsidRPr="005A760B">
        <w:rPr>
          <w:szCs w:val="26"/>
        </w:rPr>
        <w:t>Cadreita</w:t>
      </w:r>
      <w:proofErr w:type="spellEnd"/>
      <w:r w:rsidRPr="005A760B">
        <w:rPr>
          <w:szCs w:val="26"/>
        </w:rPr>
        <w:t xml:space="preserve"> y Villafranca. De las 22 agrupaciones, 11 son tradicionales y el resto son agrupaciones de servicios a</w:t>
      </w:r>
      <w:r w:rsidRPr="005A760B">
        <w:rPr>
          <w:szCs w:val="26"/>
        </w:rPr>
        <w:t>d</w:t>
      </w:r>
      <w:r w:rsidRPr="005A760B">
        <w:rPr>
          <w:szCs w:val="26"/>
        </w:rPr>
        <w:t>ministrativos.</w:t>
      </w:r>
    </w:p>
    <w:p w:rsidR="001049D6" w:rsidRPr="005A760B" w:rsidRDefault="001049D6" w:rsidP="001049D6">
      <w:pPr>
        <w:pStyle w:val="texto"/>
        <w:spacing w:before="240" w:after="240"/>
      </w:pPr>
      <w:r w:rsidRPr="005A760B">
        <w:t>El número de organismos autónomos, empresas públicas locales, fundaci</w:t>
      </w:r>
      <w:r w:rsidRPr="005A760B">
        <w:t>o</w:t>
      </w:r>
      <w:r w:rsidRPr="005A760B">
        <w:t>nes públicas locales y consorcios en el periodo de 2014 a 2018 es:</w:t>
      </w:r>
    </w:p>
    <w:tbl>
      <w:tblPr>
        <w:tblW w:w="8824" w:type="dxa"/>
        <w:jc w:val="center"/>
        <w:tblLayout w:type="fixed"/>
        <w:tblCellMar>
          <w:left w:w="70" w:type="dxa"/>
          <w:right w:w="70" w:type="dxa"/>
        </w:tblCellMar>
        <w:tblLook w:val="0000" w:firstRow="0" w:lastRow="0" w:firstColumn="0" w:lastColumn="0" w:noHBand="0" w:noVBand="0"/>
      </w:tblPr>
      <w:tblGrid>
        <w:gridCol w:w="4172"/>
        <w:gridCol w:w="1001"/>
        <w:gridCol w:w="976"/>
        <w:gridCol w:w="850"/>
        <w:gridCol w:w="993"/>
        <w:gridCol w:w="832"/>
      </w:tblGrid>
      <w:tr w:rsidR="001049D6" w:rsidRPr="005A760B" w:rsidTr="00572035">
        <w:trPr>
          <w:trHeight w:val="312"/>
          <w:jc w:val="center"/>
        </w:trPr>
        <w:tc>
          <w:tcPr>
            <w:tcW w:w="4172" w:type="dxa"/>
            <w:tcBorders>
              <w:top w:val="single" w:sz="4" w:space="0" w:color="auto"/>
              <w:bottom w:val="single" w:sz="4" w:space="0" w:color="auto"/>
            </w:tcBorders>
            <w:shd w:val="clear" w:color="auto" w:fill="FABF8F" w:themeFill="accent6" w:themeFillTint="99"/>
            <w:vAlign w:val="center"/>
          </w:tcPr>
          <w:p w:rsidR="001049D6" w:rsidRPr="005A760B" w:rsidRDefault="001049D6" w:rsidP="00F73CCF">
            <w:pPr>
              <w:pStyle w:val="cuadroCabe"/>
            </w:pPr>
            <w:r w:rsidRPr="005A760B">
              <w:t>Entidad</w:t>
            </w:r>
          </w:p>
        </w:tc>
        <w:tc>
          <w:tcPr>
            <w:tcW w:w="1001" w:type="dxa"/>
            <w:tcBorders>
              <w:top w:val="single" w:sz="4" w:space="0" w:color="auto"/>
              <w:bottom w:val="single" w:sz="4" w:space="0" w:color="auto"/>
            </w:tcBorders>
            <w:shd w:val="clear" w:color="auto" w:fill="FABF8F" w:themeFill="accent6" w:themeFillTint="99"/>
            <w:vAlign w:val="center"/>
          </w:tcPr>
          <w:p w:rsidR="001049D6" w:rsidRPr="005A760B" w:rsidRDefault="001049D6" w:rsidP="007C161D">
            <w:pPr>
              <w:pStyle w:val="cuadroCabe"/>
              <w:jc w:val="right"/>
            </w:pPr>
            <w:r w:rsidRPr="005A760B">
              <w:t>2014</w:t>
            </w:r>
          </w:p>
        </w:tc>
        <w:tc>
          <w:tcPr>
            <w:tcW w:w="976" w:type="dxa"/>
            <w:tcBorders>
              <w:top w:val="single" w:sz="4" w:space="0" w:color="auto"/>
              <w:bottom w:val="single" w:sz="4" w:space="0" w:color="auto"/>
            </w:tcBorders>
            <w:shd w:val="clear" w:color="auto" w:fill="FABF8F" w:themeFill="accent6" w:themeFillTint="99"/>
            <w:vAlign w:val="center"/>
          </w:tcPr>
          <w:p w:rsidR="001049D6" w:rsidRPr="005A760B" w:rsidRDefault="001049D6" w:rsidP="007C161D">
            <w:pPr>
              <w:pStyle w:val="cuadroCabe"/>
              <w:jc w:val="right"/>
            </w:pPr>
            <w:r w:rsidRPr="005A760B">
              <w:t>2015</w:t>
            </w:r>
          </w:p>
        </w:tc>
        <w:tc>
          <w:tcPr>
            <w:tcW w:w="850" w:type="dxa"/>
            <w:tcBorders>
              <w:top w:val="single" w:sz="4" w:space="0" w:color="auto"/>
              <w:bottom w:val="single" w:sz="4" w:space="0" w:color="auto"/>
            </w:tcBorders>
            <w:shd w:val="clear" w:color="auto" w:fill="FABF8F" w:themeFill="accent6" w:themeFillTint="99"/>
            <w:vAlign w:val="center"/>
          </w:tcPr>
          <w:p w:rsidR="001049D6" w:rsidRPr="005A760B" w:rsidRDefault="001049D6" w:rsidP="007C161D">
            <w:pPr>
              <w:pStyle w:val="cuadroCabe"/>
              <w:jc w:val="right"/>
            </w:pPr>
            <w:r w:rsidRPr="005A760B">
              <w:t>2016</w:t>
            </w:r>
          </w:p>
        </w:tc>
        <w:tc>
          <w:tcPr>
            <w:tcW w:w="993" w:type="dxa"/>
            <w:tcBorders>
              <w:top w:val="single" w:sz="4" w:space="0" w:color="auto"/>
              <w:bottom w:val="single" w:sz="4" w:space="0" w:color="auto"/>
            </w:tcBorders>
            <w:shd w:val="clear" w:color="auto" w:fill="FABF8F" w:themeFill="accent6" w:themeFillTint="99"/>
            <w:vAlign w:val="center"/>
          </w:tcPr>
          <w:p w:rsidR="001049D6" w:rsidRPr="005A760B" w:rsidRDefault="001049D6" w:rsidP="007C161D">
            <w:pPr>
              <w:pStyle w:val="cuadroCabe"/>
              <w:jc w:val="right"/>
            </w:pPr>
            <w:r w:rsidRPr="005A760B">
              <w:t>2017</w:t>
            </w:r>
          </w:p>
        </w:tc>
        <w:tc>
          <w:tcPr>
            <w:tcW w:w="832" w:type="dxa"/>
            <w:tcBorders>
              <w:top w:val="single" w:sz="4" w:space="0" w:color="auto"/>
              <w:bottom w:val="single" w:sz="4" w:space="0" w:color="auto"/>
            </w:tcBorders>
            <w:shd w:val="clear" w:color="auto" w:fill="FABF8F" w:themeFill="accent6" w:themeFillTint="99"/>
            <w:vAlign w:val="center"/>
          </w:tcPr>
          <w:p w:rsidR="001049D6" w:rsidRPr="005A760B" w:rsidRDefault="001049D6" w:rsidP="007C161D">
            <w:pPr>
              <w:pStyle w:val="cuadroCabe"/>
              <w:jc w:val="right"/>
            </w:pPr>
            <w:r w:rsidRPr="005A760B">
              <w:t>2018</w:t>
            </w:r>
          </w:p>
        </w:tc>
      </w:tr>
      <w:tr w:rsidR="001049D6" w:rsidRPr="005A760B" w:rsidTr="00F73CCF">
        <w:trPr>
          <w:trHeight w:val="284"/>
          <w:jc w:val="center"/>
        </w:trPr>
        <w:tc>
          <w:tcPr>
            <w:tcW w:w="4172" w:type="dxa"/>
            <w:tcBorders>
              <w:top w:val="single" w:sz="4" w:space="0" w:color="auto"/>
              <w:bottom w:val="single" w:sz="4" w:space="0" w:color="auto"/>
            </w:tcBorders>
            <w:shd w:val="clear" w:color="auto" w:fill="FFFFFF"/>
            <w:vAlign w:val="center"/>
          </w:tcPr>
          <w:p w:rsidR="001049D6" w:rsidRPr="005A760B" w:rsidRDefault="001049D6" w:rsidP="00F73CCF">
            <w:pPr>
              <w:pStyle w:val="cuatexto"/>
            </w:pPr>
            <w:r w:rsidRPr="005A760B">
              <w:t xml:space="preserve">Organismos Autónomos </w:t>
            </w:r>
          </w:p>
        </w:tc>
        <w:tc>
          <w:tcPr>
            <w:tcW w:w="1001"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rsidRPr="005A760B">
              <w:t>65</w:t>
            </w:r>
          </w:p>
        </w:tc>
        <w:tc>
          <w:tcPr>
            <w:tcW w:w="976"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rsidRPr="005A760B">
              <w:t>65</w:t>
            </w:r>
          </w:p>
        </w:tc>
        <w:tc>
          <w:tcPr>
            <w:tcW w:w="850"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rsidRPr="005A760B">
              <w:t>64</w:t>
            </w:r>
          </w:p>
        </w:tc>
        <w:tc>
          <w:tcPr>
            <w:tcW w:w="993"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rsidRPr="005A760B">
              <w:t>63</w:t>
            </w:r>
          </w:p>
        </w:tc>
        <w:tc>
          <w:tcPr>
            <w:tcW w:w="832"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rsidRPr="005A760B">
              <w:t>60</w:t>
            </w:r>
          </w:p>
        </w:tc>
      </w:tr>
      <w:tr w:rsidR="001049D6" w:rsidRPr="005A760B" w:rsidTr="00F73CCF">
        <w:trPr>
          <w:trHeight w:val="284"/>
          <w:jc w:val="center"/>
        </w:trPr>
        <w:tc>
          <w:tcPr>
            <w:tcW w:w="4172" w:type="dxa"/>
            <w:tcBorders>
              <w:top w:val="single" w:sz="4" w:space="0" w:color="auto"/>
              <w:bottom w:val="single" w:sz="4" w:space="0" w:color="auto"/>
            </w:tcBorders>
            <w:shd w:val="clear" w:color="auto" w:fill="FFFFFF"/>
            <w:vAlign w:val="center"/>
          </w:tcPr>
          <w:p w:rsidR="001049D6" w:rsidRPr="005A760B" w:rsidRDefault="001049D6" w:rsidP="00F73CCF">
            <w:pPr>
              <w:pStyle w:val="cuatexto"/>
            </w:pPr>
            <w:r w:rsidRPr="005A760B">
              <w:t>Empresas públicas</w:t>
            </w:r>
          </w:p>
        </w:tc>
        <w:tc>
          <w:tcPr>
            <w:tcW w:w="1001"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rsidRPr="005A760B">
              <w:t>54</w:t>
            </w:r>
          </w:p>
        </w:tc>
        <w:tc>
          <w:tcPr>
            <w:tcW w:w="976"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rsidRPr="005A760B">
              <w:t>55</w:t>
            </w:r>
          </w:p>
        </w:tc>
        <w:tc>
          <w:tcPr>
            <w:tcW w:w="850"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rsidRPr="005A760B">
              <w:t>54</w:t>
            </w:r>
          </w:p>
        </w:tc>
        <w:tc>
          <w:tcPr>
            <w:tcW w:w="993"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rsidRPr="005A760B">
              <w:t>53</w:t>
            </w:r>
          </w:p>
        </w:tc>
        <w:tc>
          <w:tcPr>
            <w:tcW w:w="832"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rsidRPr="005A760B">
              <w:t>57</w:t>
            </w:r>
          </w:p>
        </w:tc>
      </w:tr>
      <w:tr w:rsidR="001049D6" w:rsidRPr="005A760B" w:rsidTr="00F73CCF">
        <w:trPr>
          <w:trHeight w:val="284"/>
          <w:jc w:val="center"/>
        </w:trPr>
        <w:tc>
          <w:tcPr>
            <w:tcW w:w="4172" w:type="dxa"/>
            <w:tcBorders>
              <w:top w:val="single" w:sz="4" w:space="0" w:color="auto"/>
              <w:bottom w:val="single" w:sz="4" w:space="0" w:color="auto"/>
            </w:tcBorders>
            <w:shd w:val="clear" w:color="auto" w:fill="FFFFFF"/>
            <w:vAlign w:val="center"/>
          </w:tcPr>
          <w:p w:rsidR="001049D6" w:rsidRPr="005A760B" w:rsidRDefault="001049D6" w:rsidP="00F73CCF">
            <w:pPr>
              <w:pStyle w:val="cuatexto"/>
            </w:pPr>
            <w:r w:rsidRPr="005A760B">
              <w:t>Fundaciones públicas</w:t>
            </w:r>
          </w:p>
        </w:tc>
        <w:tc>
          <w:tcPr>
            <w:tcW w:w="1001"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rsidRPr="005A760B">
              <w:t>9</w:t>
            </w:r>
          </w:p>
        </w:tc>
        <w:tc>
          <w:tcPr>
            <w:tcW w:w="976"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rsidRPr="005A760B">
              <w:t>9</w:t>
            </w:r>
          </w:p>
        </w:tc>
        <w:tc>
          <w:tcPr>
            <w:tcW w:w="850"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rsidRPr="005A760B">
              <w:t>9</w:t>
            </w:r>
          </w:p>
        </w:tc>
        <w:tc>
          <w:tcPr>
            <w:tcW w:w="993"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rsidRPr="005A760B">
              <w:t>8</w:t>
            </w:r>
          </w:p>
        </w:tc>
        <w:tc>
          <w:tcPr>
            <w:tcW w:w="832"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rsidRPr="005A760B">
              <w:t>8</w:t>
            </w:r>
          </w:p>
        </w:tc>
      </w:tr>
      <w:tr w:rsidR="001049D6" w:rsidRPr="005A760B" w:rsidTr="00F73CCF">
        <w:trPr>
          <w:trHeight w:val="284"/>
          <w:jc w:val="center"/>
        </w:trPr>
        <w:tc>
          <w:tcPr>
            <w:tcW w:w="4172" w:type="dxa"/>
            <w:tcBorders>
              <w:top w:val="single" w:sz="4" w:space="0" w:color="auto"/>
              <w:bottom w:val="single" w:sz="4" w:space="0" w:color="auto"/>
            </w:tcBorders>
            <w:shd w:val="clear" w:color="auto" w:fill="FFFFFF"/>
            <w:vAlign w:val="center"/>
          </w:tcPr>
          <w:p w:rsidR="001049D6" w:rsidRPr="005A760B" w:rsidRDefault="001049D6" w:rsidP="00F73CCF">
            <w:pPr>
              <w:pStyle w:val="cuatexto"/>
            </w:pPr>
            <w:r w:rsidRPr="005A760B">
              <w:t>Consorcios</w:t>
            </w:r>
          </w:p>
        </w:tc>
        <w:tc>
          <w:tcPr>
            <w:tcW w:w="1001"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rsidRPr="005A760B">
              <w:t>15</w:t>
            </w:r>
          </w:p>
        </w:tc>
        <w:tc>
          <w:tcPr>
            <w:tcW w:w="976"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rsidRPr="005A760B">
              <w:t>15</w:t>
            </w:r>
          </w:p>
        </w:tc>
        <w:tc>
          <w:tcPr>
            <w:tcW w:w="850"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rsidRPr="005A760B">
              <w:t>15</w:t>
            </w:r>
          </w:p>
        </w:tc>
        <w:tc>
          <w:tcPr>
            <w:tcW w:w="993"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rsidRPr="005A760B">
              <w:t>17</w:t>
            </w:r>
          </w:p>
        </w:tc>
        <w:tc>
          <w:tcPr>
            <w:tcW w:w="832" w:type="dxa"/>
            <w:tcBorders>
              <w:top w:val="single" w:sz="4" w:space="0" w:color="auto"/>
              <w:bottom w:val="single" w:sz="4" w:space="0" w:color="auto"/>
            </w:tcBorders>
            <w:shd w:val="clear" w:color="auto" w:fill="FFFFFF"/>
            <w:vAlign w:val="center"/>
          </w:tcPr>
          <w:p w:rsidR="001049D6" w:rsidRPr="005A760B" w:rsidRDefault="001049D6" w:rsidP="007C161D">
            <w:pPr>
              <w:pStyle w:val="cuatexto"/>
              <w:jc w:val="right"/>
            </w:pPr>
            <w:r w:rsidRPr="005A760B">
              <w:t>17</w:t>
            </w:r>
          </w:p>
        </w:tc>
      </w:tr>
      <w:tr w:rsidR="001049D6" w:rsidRPr="005A760B" w:rsidTr="00F73CCF">
        <w:trPr>
          <w:trHeight w:val="284"/>
          <w:jc w:val="center"/>
        </w:trPr>
        <w:tc>
          <w:tcPr>
            <w:tcW w:w="4172" w:type="dxa"/>
            <w:tcBorders>
              <w:top w:val="single" w:sz="4" w:space="0" w:color="auto"/>
              <w:bottom w:val="single" w:sz="4" w:space="0" w:color="auto"/>
            </w:tcBorders>
            <w:shd w:val="clear" w:color="auto" w:fill="FABF8F" w:themeFill="accent6" w:themeFillTint="99"/>
            <w:vAlign w:val="center"/>
          </w:tcPr>
          <w:p w:rsidR="001049D6" w:rsidRPr="005A760B" w:rsidRDefault="001049D6" w:rsidP="00F73CCF">
            <w:pPr>
              <w:pStyle w:val="cuadroCabe"/>
            </w:pPr>
            <w:r w:rsidRPr="005A760B">
              <w:t>Total</w:t>
            </w:r>
          </w:p>
        </w:tc>
        <w:tc>
          <w:tcPr>
            <w:tcW w:w="1001" w:type="dxa"/>
            <w:tcBorders>
              <w:top w:val="single" w:sz="4" w:space="0" w:color="auto"/>
              <w:bottom w:val="single" w:sz="4" w:space="0" w:color="auto"/>
            </w:tcBorders>
            <w:shd w:val="clear" w:color="auto" w:fill="FABF8F" w:themeFill="accent6" w:themeFillTint="99"/>
            <w:vAlign w:val="center"/>
          </w:tcPr>
          <w:p w:rsidR="001049D6" w:rsidRPr="005A760B" w:rsidRDefault="001049D6" w:rsidP="007C161D">
            <w:pPr>
              <w:pStyle w:val="cuadroCabe"/>
              <w:jc w:val="right"/>
            </w:pPr>
            <w:r w:rsidRPr="005A760B">
              <w:t>143</w:t>
            </w:r>
          </w:p>
        </w:tc>
        <w:tc>
          <w:tcPr>
            <w:tcW w:w="976" w:type="dxa"/>
            <w:tcBorders>
              <w:top w:val="single" w:sz="4" w:space="0" w:color="auto"/>
              <w:bottom w:val="single" w:sz="4" w:space="0" w:color="auto"/>
            </w:tcBorders>
            <w:shd w:val="clear" w:color="auto" w:fill="FABF8F" w:themeFill="accent6" w:themeFillTint="99"/>
            <w:vAlign w:val="center"/>
          </w:tcPr>
          <w:p w:rsidR="001049D6" w:rsidRPr="005A760B" w:rsidRDefault="001049D6" w:rsidP="007C161D">
            <w:pPr>
              <w:pStyle w:val="cuadroCabe"/>
              <w:jc w:val="right"/>
            </w:pPr>
            <w:r w:rsidRPr="005A760B">
              <w:t>144</w:t>
            </w:r>
          </w:p>
        </w:tc>
        <w:tc>
          <w:tcPr>
            <w:tcW w:w="850" w:type="dxa"/>
            <w:tcBorders>
              <w:top w:val="single" w:sz="4" w:space="0" w:color="auto"/>
              <w:bottom w:val="single" w:sz="4" w:space="0" w:color="auto"/>
            </w:tcBorders>
            <w:shd w:val="clear" w:color="auto" w:fill="FABF8F" w:themeFill="accent6" w:themeFillTint="99"/>
            <w:vAlign w:val="center"/>
          </w:tcPr>
          <w:p w:rsidR="001049D6" w:rsidRPr="005A760B" w:rsidRDefault="001049D6" w:rsidP="007C161D">
            <w:pPr>
              <w:pStyle w:val="cuadroCabe"/>
              <w:jc w:val="right"/>
            </w:pPr>
            <w:r w:rsidRPr="005A760B">
              <w:t>142</w:t>
            </w:r>
          </w:p>
        </w:tc>
        <w:tc>
          <w:tcPr>
            <w:tcW w:w="993" w:type="dxa"/>
            <w:tcBorders>
              <w:top w:val="single" w:sz="4" w:space="0" w:color="auto"/>
              <w:bottom w:val="single" w:sz="4" w:space="0" w:color="auto"/>
            </w:tcBorders>
            <w:shd w:val="clear" w:color="auto" w:fill="FABF8F" w:themeFill="accent6" w:themeFillTint="99"/>
            <w:vAlign w:val="center"/>
          </w:tcPr>
          <w:p w:rsidR="001049D6" w:rsidRPr="005A760B" w:rsidRDefault="001049D6" w:rsidP="007C161D">
            <w:pPr>
              <w:pStyle w:val="cuadroCabe"/>
              <w:jc w:val="right"/>
            </w:pPr>
            <w:r w:rsidRPr="005A760B">
              <w:t>141</w:t>
            </w:r>
          </w:p>
        </w:tc>
        <w:tc>
          <w:tcPr>
            <w:tcW w:w="832" w:type="dxa"/>
            <w:tcBorders>
              <w:top w:val="single" w:sz="4" w:space="0" w:color="auto"/>
              <w:bottom w:val="single" w:sz="4" w:space="0" w:color="auto"/>
            </w:tcBorders>
            <w:shd w:val="clear" w:color="auto" w:fill="FABF8F" w:themeFill="accent6" w:themeFillTint="99"/>
            <w:vAlign w:val="center"/>
          </w:tcPr>
          <w:p w:rsidR="001049D6" w:rsidRPr="005A760B" w:rsidRDefault="001049D6" w:rsidP="007C161D">
            <w:pPr>
              <w:pStyle w:val="cuadroCabe"/>
              <w:jc w:val="right"/>
            </w:pPr>
            <w:r w:rsidRPr="005A760B">
              <w:t>142</w:t>
            </w:r>
          </w:p>
        </w:tc>
      </w:tr>
    </w:tbl>
    <w:p w:rsidR="001049D6" w:rsidRPr="005A760B" w:rsidRDefault="001049D6" w:rsidP="000035AC">
      <w:pPr>
        <w:pStyle w:val="texto"/>
        <w:spacing w:before="280"/>
        <w:rPr>
          <w:szCs w:val="26"/>
        </w:rPr>
      </w:pPr>
      <w:r w:rsidRPr="005A760B">
        <w:rPr>
          <w:szCs w:val="26"/>
        </w:rPr>
        <w:t>Respecto a 2017 se han extinguido el Patronato municipal de cultura de T</w:t>
      </w:r>
      <w:r w:rsidRPr="005A760B">
        <w:rPr>
          <w:szCs w:val="26"/>
        </w:rPr>
        <w:t>a</w:t>
      </w:r>
      <w:r w:rsidRPr="005A760B">
        <w:rPr>
          <w:szCs w:val="26"/>
        </w:rPr>
        <w:t>falla, Patronato municipal escuela de música de Tafalla y el organismo aut</w:t>
      </w:r>
      <w:r w:rsidRPr="005A760B">
        <w:rPr>
          <w:szCs w:val="26"/>
        </w:rPr>
        <w:t>ó</w:t>
      </w:r>
      <w:r w:rsidRPr="005A760B">
        <w:rPr>
          <w:szCs w:val="26"/>
        </w:rPr>
        <w:t>nomo Radio San Adrián.</w:t>
      </w:r>
    </w:p>
    <w:p w:rsidR="001049D6" w:rsidRPr="005A760B" w:rsidRDefault="001049D6" w:rsidP="000035AC">
      <w:pPr>
        <w:pStyle w:val="texto"/>
        <w:rPr>
          <w:szCs w:val="26"/>
        </w:rPr>
      </w:pPr>
      <w:r w:rsidRPr="005A760B">
        <w:rPr>
          <w:szCs w:val="26"/>
        </w:rPr>
        <w:t>De los 60 organismos autónomos, dos dependen de mancomunidades y el resto dependen de ayuntamientos.</w:t>
      </w:r>
    </w:p>
    <w:p w:rsidR="001049D6" w:rsidRPr="005A760B" w:rsidRDefault="001049D6" w:rsidP="000035AC">
      <w:pPr>
        <w:pStyle w:val="texto"/>
        <w:rPr>
          <w:szCs w:val="26"/>
          <w:lang w:val="es-ES"/>
        </w:rPr>
      </w:pPr>
      <w:r w:rsidRPr="005A760B">
        <w:rPr>
          <w:szCs w:val="26"/>
        </w:rPr>
        <w:t>En relación a las empresas públicas y respecto a 2017, se registran ocho nu</w:t>
      </w:r>
      <w:r w:rsidRPr="005A760B">
        <w:rPr>
          <w:szCs w:val="26"/>
        </w:rPr>
        <w:t>e</w:t>
      </w:r>
      <w:r w:rsidRPr="005A760B">
        <w:rPr>
          <w:szCs w:val="26"/>
        </w:rPr>
        <w:t>vas y hemos constatado cuatro bajas. Las empresas creadas ha</w:t>
      </w:r>
      <w:r w:rsidR="00CD3E30" w:rsidRPr="005A760B">
        <w:rPr>
          <w:szCs w:val="26"/>
        </w:rPr>
        <w:t>n</w:t>
      </w:r>
      <w:r w:rsidRPr="005A760B">
        <w:rPr>
          <w:szCs w:val="26"/>
        </w:rPr>
        <w:t xml:space="preserve"> sido las s</w:t>
      </w:r>
      <w:r w:rsidRPr="005A760B">
        <w:rPr>
          <w:szCs w:val="26"/>
        </w:rPr>
        <w:t>i</w:t>
      </w:r>
      <w:r w:rsidRPr="005A760B">
        <w:rPr>
          <w:szCs w:val="26"/>
        </w:rPr>
        <w:t xml:space="preserve">guientes: </w:t>
      </w:r>
      <w:proofErr w:type="spellStart"/>
      <w:r w:rsidRPr="005A760B">
        <w:rPr>
          <w:szCs w:val="26"/>
        </w:rPr>
        <w:t>Anikote</w:t>
      </w:r>
      <w:proofErr w:type="spellEnd"/>
      <w:r w:rsidRPr="005A760B">
        <w:rPr>
          <w:szCs w:val="26"/>
        </w:rPr>
        <w:t xml:space="preserve"> </w:t>
      </w:r>
      <w:proofErr w:type="spellStart"/>
      <w:r w:rsidRPr="005A760B">
        <w:rPr>
          <w:szCs w:val="26"/>
        </w:rPr>
        <w:t>Leitza</w:t>
      </w:r>
      <w:proofErr w:type="spellEnd"/>
      <w:r w:rsidRPr="005A760B">
        <w:rPr>
          <w:szCs w:val="26"/>
        </w:rPr>
        <w:t xml:space="preserve">, S.L., Operador Energético Municipal de Pamplona, S.L, </w:t>
      </w:r>
      <w:proofErr w:type="spellStart"/>
      <w:r w:rsidRPr="005A760B">
        <w:rPr>
          <w:szCs w:val="26"/>
        </w:rPr>
        <w:t>Usalanda</w:t>
      </w:r>
      <w:proofErr w:type="spellEnd"/>
      <w:r w:rsidRPr="005A760B">
        <w:rPr>
          <w:szCs w:val="26"/>
        </w:rPr>
        <w:t xml:space="preserve"> Gestión Pública, S.L., </w:t>
      </w:r>
      <w:proofErr w:type="spellStart"/>
      <w:r w:rsidRPr="005A760B">
        <w:rPr>
          <w:szCs w:val="26"/>
        </w:rPr>
        <w:t>Bijuestxirringua</w:t>
      </w:r>
      <w:proofErr w:type="spellEnd"/>
      <w:r w:rsidRPr="005A760B">
        <w:rPr>
          <w:szCs w:val="26"/>
        </w:rPr>
        <w:t>, S.L., Servicios Deport</w:t>
      </w:r>
      <w:r w:rsidRPr="005A760B">
        <w:rPr>
          <w:szCs w:val="26"/>
        </w:rPr>
        <w:t>i</w:t>
      </w:r>
      <w:r w:rsidRPr="005A760B">
        <w:rPr>
          <w:szCs w:val="26"/>
        </w:rPr>
        <w:t xml:space="preserve">vos de Sangüesa, S.L, </w:t>
      </w:r>
      <w:proofErr w:type="spellStart"/>
      <w:r w:rsidRPr="005A760B">
        <w:rPr>
          <w:szCs w:val="26"/>
        </w:rPr>
        <w:t>Basanet</w:t>
      </w:r>
      <w:proofErr w:type="spellEnd"/>
      <w:r w:rsidRPr="005A760B">
        <w:rPr>
          <w:szCs w:val="26"/>
        </w:rPr>
        <w:t xml:space="preserve"> </w:t>
      </w:r>
      <w:proofErr w:type="spellStart"/>
      <w:r w:rsidRPr="005A760B">
        <w:rPr>
          <w:szCs w:val="26"/>
        </w:rPr>
        <w:t>Basaburua</w:t>
      </w:r>
      <w:proofErr w:type="spellEnd"/>
      <w:r w:rsidRPr="005A760B">
        <w:rPr>
          <w:szCs w:val="26"/>
        </w:rPr>
        <w:t xml:space="preserve">, S.L., </w:t>
      </w:r>
      <w:proofErr w:type="spellStart"/>
      <w:r w:rsidRPr="005A760B">
        <w:rPr>
          <w:szCs w:val="26"/>
        </w:rPr>
        <w:t>Elortzibar</w:t>
      </w:r>
      <w:proofErr w:type="spellEnd"/>
      <w:r w:rsidRPr="005A760B">
        <w:rPr>
          <w:szCs w:val="26"/>
        </w:rPr>
        <w:t xml:space="preserve"> Servicios Deport</w:t>
      </w:r>
      <w:r w:rsidRPr="005A760B">
        <w:rPr>
          <w:szCs w:val="26"/>
        </w:rPr>
        <w:t>i</w:t>
      </w:r>
      <w:r w:rsidRPr="005A760B">
        <w:rPr>
          <w:szCs w:val="26"/>
        </w:rPr>
        <w:t xml:space="preserve">vos, S.L y Comercializadora </w:t>
      </w:r>
      <w:proofErr w:type="spellStart"/>
      <w:r w:rsidRPr="005A760B">
        <w:rPr>
          <w:szCs w:val="26"/>
        </w:rPr>
        <w:t>Urdazubi</w:t>
      </w:r>
      <w:proofErr w:type="spellEnd"/>
      <w:r w:rsidRPr="005A760B">
        <w:rPr>
          <w:szCs w:val="26"/>
        </w:rPr>
        <w:t xml:space="preserve">, S.L.  Las empresas que constatamos como baja son: Panificadora Harinera </w:t>
      </w:r>
      <w:proofErr w:type="spellStart"/>
      <w:r w:rsidRPr="005A760B">
        <w:rPr>
          <w:szCs w:val="26"/>
        </w:rPr>
        <w:t>Echalar</w:t>
      </w:r>
      <w:proofErr w:type="spellEnd"/>
      <w:r w:rsidRPr="005A760B">
        <w:rPr>
          <w:szCs w:val="26"/>
        </w:rPr>
        <w:t xml:space="preserve">, S.L., </w:t>
      </w:r>
      <w:proofErr w:type="spellStart"/>
      <w:r w:rsidRPr="005A760B">
        <w:rPr>
          <w:szCs w:val="26"/>
        </w:rPr>
        <w:t>Asimec</w:t>
      </w:r>
      <w:proofErr w:type="gramStart"/>
      <w:r w:rsidRPr="005A760B">
        <w:rPr>
          <w:szCs w:val="26"/>
        </w:rPr>
        <w:t>,S.A</w:t>
      </w:r>
      <w:proofErr w:type="spellEnd"/>
      <w:proofErr w:type="gramEnd"/>
      <w:r w:rsidRPr="005A760B">
        <w:rPr>
          <w:szCs w:val="26"/>
        </w:rPr>
        <w:t>., Sociedad u</w:t>
      </w:r>
      <w:r w:rsidRPr="005A760B">
        <w:rPr>
          <w:szCs w:val="26"/>
        </w:rPr>
        <w:t>r</w:t>
      </w:r>
      <w:r w:rsidRPr="005A760B">
        <w:rPr>
          <w:szCs w:val="26"/>
        </w:rPr>
        <w:t xml:space="preserve">banística de </w:t>
      </w:r>
      <w:proofErr w:type="spellStart"/>
      <w:r w:rsidRPr="005A760B">
        <w:rPr>
          <w:szCs w:val="26"/>
        </w:rPr>
        <w:t>Yesa</w:t>
      </w:r>
      <w:proofErr w:type="spellEnd"/>
      <w:r w:rsidRPr="005A760B">
        <w:rPr>
          <w:szCs w:val="26"/>
        </w:rPr>
        <w:t xml:space="preserve"> y Gestión y Promoción </w:t>
      </w:r>
      <w:proofErr w:type="spellStart"/>
      <w:r w:rsidRPr="005A760B">
        <w:rPr>
          <w:szCs w:val="26"/>
        </w:rPr>
        <w:t>Egüés</w:t>
      </w:r>
      <w:proofErr w:type="spellEnd"/>
      <w:r w:rsidRPr="005A760B">
        <w:rPr>
          <w:szCs w:val="26"/>
        </w:rPr>
        <w:t xml:space="preserve"> 21-II, S.L.</w:t>
      </w:r>
    </w:p>
    <w:p w:rsidR="001049D6" w:rsidRPr="005A760B" w:rsidRDefault="001049D6" w:rsidP="001049D6">
      <w:pPr>
        <w:pStyle w:val="texto"/>
        <w:spacing w:before="200"/>
        <w:rPr>
          <w:szCs w:val="26"/>
        </w:rPr>
      </w:pPr>
      <w:r w:rsidRPr="005A760B">
        <w:rPr>
          <w:szCs w:val="26"/>
        </w:rPr>
        <w:t xml:space="preserve">En cuanto a </w:t>
      </w:r>
      <w:r w:rsidR="00FD3D00" w:rsidRPr="005A760B">
        <w:rPr>
          <w:szCs w:val="26"/>
        </w:rPr>
        <w:t>c</w:t>
      </w:r>
      <w:r w:rsidRPr="005A760B">
        <w:rPr>
          <w:szCs w:val="26"/>
        </w:rPr>
        <w:t xml:space="preserve">onsorcios y </w:t>
      </w:r>
      <w:r w:rsidR="00FD3D00" w:rsidRPr="005A760B">
        <w:rPr>
          <w:szCs w:val="26"/>
        </w:rPr>
        <w:t>f</w:t>
      </w:r>
      <w:r w:rsidRPr="005A760B">
        <w:rPr>
          <w:szCs w:val="26"/>
        </w:rPr>
        <w:t>undaciones no hay variación respecto al ejercicio anterior.</w:t>
      </w:r>
    </w:p>
    <w:p w:rsidR="001049D6" w:rsidRPr="005A760B" w:rsidRDefault="001049D6" w:rsidP="001049D6">
      <w:pPr>
        <w:pStyle w:val="texto"/>
        <w:spacing w:after="240"/>
      </w:pPr>
      <w:r w:rsidRPr="005A760B">
        <w:t>Considerando los datos anteriores, la estructura del sector público local de Navarra a 31 de diciembre del 2018 era la siguiente:</w:t>
      </w:r>
    </w:p>
    <w:p w:rsidR="001049D6" w:rsidRPr="005A760B" w:rsidRDefault="001049D6" w:rsidP="001049D6">
      <w:pPr>
        <w:tabs>
          <w:tab w:val="center" w:pos="2835"/>
          <w:tab w:val="center" w:pos="3969"/>
          <w:tab w:val="center" w:pos="5103"/>
          <w:tab w:val="center" w:pos="6237"/>
          <w:tab w:val="center" w:pos="7371"/>
        </w:tabs>
        <w:suppressAutoHyphens/>
        <w:ind w:left="-378" w:firstLine="284"/>
        <w:rPr>
          <w:rFonts w:ascii="Gill Sans MT" w:hAnsi="Gill Sans MT"/>
          <w:b/>
          <w:bCs/>
          <w:spacing w:val="6"/>
          <w:sz w:val="26"/>
          <w:szCs w:val="24"/>
          <w:highlight w:val="yellow"/>
        </w:rPr>
      </w:pPr>
      <w:r w:rsidRPr="005A760B">
        <w:rPr>
          <w:noProof/>
          <w:lang w:val="es-ES" w:eastAsia="es-ES"/>
        </w:rPr>
        <mc:AlternateContent>
          <mc:Choice Requires="wps">
            <w:drawing>
              <wp:anchor distT="0" distB="0" distL="114300" distR="114300" simplePos="0" relativeHeight="251655168" behindDoc="0" locked="0" layoutInCell="1" allowOverlap="1" wp14:anchorId="01962181" wp14:editId="77900736">
                <wp:simplePos x="0" y="0"/>
                <wp:positionH relativeFrom="column">
                  <wp:posOffset>2169160</wp:posOffset>
                </wp:positionH>
                <wp:positionV relativeFrom="paragraph">
                  <wp:posOffset>59055</wp:posOffset>
                </wp:positionV>
                <wp:extent cx="1656080" cy="457200"/>
                <wp:effectExtent l="0" t="0" r="20320" b="19050"/>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457200"/>
                        </a:xfrm>
                        <a:prstGeom prst="rect">
                          <a:avLst/>
                        </a:prstGeom>
                        <a:solidFill>
                          <a:srgbClr val="FFFFFF"/>
                        </a:solidFill>
                        <a:ln w="3175">
                          <a:solidFill>
                            <a:srgbClr val="000000"/>
                          </a:solidFill>
                          <a:miter lim="800000"/>
                          <a:headEnd/>
                          <a:tailEnd/>
                        </a:ln>
                      </wps:spPr>
                      <wps:txbx>
                        <w:txbxContent>
                          <w:p w:rsidR="001B6928" w:rsidRDefault="001B6928" w:rsidP="000035AC">
                            <w:pPr>
                              <w:spacing w:after="0"/>
                              <w:ind w:firstLine="0"/>
                              <w:jc w:val="center"/>
                              <w:rPr>
                                <w:rFonts w:ascii="Arial" w:hAnsi="Arial" w:cs="Arial"/>
                                <w:sz w:val="16"/>
                                <w:szCs w:val="16"/>
                                <w:lang w:val="es-ES"/>
                              </w:rPr>
                            </w:pPr>
                          </w:p>
                          <w:p w:rsidR="001B6928" w:rsidRPr="000035AC" w:rsidRDefault="001B6928" w:rsidP="000035AC">
                            <w:pPr>
                              <w:spacing w:after="0"/>
                              <w:ind w:firstLine="0"/>
                              <w:jc w:val="center"/>
                              <w:rPr>
                                <w:rFonts w:ascii="Arial" w:hAnsi="Arial" w:cs="Arial"/>
                                <w:sz w:val="16"/>
                                <w:szCs w:val="16"/>
                                <w:lang w:val="es-ES"/>
                              </w:rPr>
                            </w:pPr>
                            <w:r w:rsidRPr="000035AC">
                              <w:rPr>
                                <w:rFonts w:ascii="Arial" w:hAnsi="Arial" w:cs="Arial"/>
                                <w:sz w:val="16"/>
                                <w:szCs w:val="16"/>
                                <w:lang w:val="es-ES"/>
                              </w:rPr>
                              <w:t>Sector Público Local</w:t>
                            </w:r>
                          </w:p>
                          <w:p w:rsidR="001B6928" w:rsidRPr="000035AC" w:rsidRDefault="001B6928" w:rsidP="000035AC">
                            <w:pPr>
                              <w:spacing w:after="0"/>
                              <w:ind w:firstLine="0"/>
                              <w:jc w:val="center"/>
                              <w:rPr>
                                <w:rFonts w:ascii="Arial" w:hAnsi="Arial" w:cs="Arial"/>
                                <w:sz w:val="16"/>
                                <w:szCs w:val="16"/>
                                <w:lang w:val="es-ES"/>
                              </w:rPr>
                            </w:pPr>
                            <w:r w:rsidRPr="000035AC">
                              <w:rPr>
                                <w:rFonts w:ascii="Arial" w:hAnsi="Arial" w:cs="Arial"/>
                                <w:sz w:val="16"/>
                                <w:szCs w:val="16"/>
                                <w:lang w:val="es-ES"/>
                              </w:rPr>
                              <w:t>de Navarra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1962181" id="Rectangle 15" o:spid="_x0000_s1027" style="position:absolute;left:0;text-align:left;margin-left:170.8pt;margin-top:4.65pt;width:130.4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l8IwIAAFAEAAAOAAAAZHJzL2Uyb0RvYy54bWysVF1v0zAUfUfiP1h+p0nK2lVR02nqKEIa&#10;MDH4AY7jJBb+4tptWn49107XZcATIg+Wr319fO4511nfHLUiBwFeWlPRYpZTIgy3jTRdRb993b1Z&#10;UeIDMw1T1oiKnoSnN5vXr9aDK8Xc9lY1AgiCGF8OrqJ9CK7MMs97oZmfWScMbrYWNAsYQpc1wAZE&#10;1yqb5/kyGyw0DiwX3uPq3bhJNwm/bQUPn9vWi0BURZFbSCOksY5jtlmzsgPmesnPNNg/sNBMGrz0&#10;AnXHAiN7kH9AacnBetuGGbc6s20ruUg1YDVF/ls1jz1zItWC4nh3kcn/P1j+6fAARDYVnV9RYphG&#10;j76gasx0SpBiEQUanC8x79E9QCzRu3vLv3ti7LbHNHELYIdesAZpFTE/e3EgBh6Pknr4aBuEZ/tg&#10;k1bHFnQERBXIMVlyulgijoFwXCyWi2W+Quc47l0trtHzdAUrn0478OG9sJrESUUBySd0drj3IbJh&#10;5VNKYm+VbHZSqRRAV28VkAPD9til74zup2nKkKGib4vrRUJ+seenEHn6/gahZcA+V1JXdHVJYmWU&#10;7Z1pUhcGJtU4R8rKnHWM0o0WhGN9TE4lkaOstW1OKCzYsa3xGeKkt/CTkgFbuqL+x56BoER9MNGc&#10;+TWqR8I0gGlQTwNmOEJVNFAyTrdhfDd7B7Lr8aYiqWHsLRrayqT1M6szfWzbZMH5icV3MY1T1vOP&#10;YPMLAAD//wMAUEsDBBQABgAIAAAAIQA0/OR53QAAAAgBAAAPAAAAZHJzL2Rvd25yZXYueG1sTI/N&#10;boMwEITvlfoO1kbqrTEEhAjFRFWkquqx9Ods8AZQ8JraTnDfvu6pPY5mNPNNfQh6Zle0bjIkIN0m&#10;wJB6oyYaBLy/Pd2XwJyXpORsCAV8o4NDc3tTy0qZlV7x2vqBxRJylRQwer9UnLt+RC3d1ixI0TsZ&#10;q6WP0g5cWbnGcj3zXZIUXMuJ4sIoFzyO2J/bixbwJfefK2an8BHK3Kbdc/uiu6MQd5vw+ADMY/B/&#10;YfjFj+jQRKbOXEg5NgvI8rSIUQH7DFj0i2SXA+sElGkGvKn5/wPNDwAAAP//AwBQSwECLQAUAAYA&#10;CAAAACEAtoM4kv4AAADhAQAAEwAAAAAAAAAAAAAAAAAAAAAAW0NvbnRlbnRfVHlwZXNdLnhtbFBL&#10;AQItABQABgAIAAAAIQA4/SH/1gAAAJQBAAALAAAAAAAAAAAAAAAAAC8BAABfcmVscy8ucmVsc1BL&#10;AQItABQABgAIAAAAIQCtZSl8IwIAAFAEAAAOAAAAAAAAAAAAAAAAAC4CAABkcnMvZTJvRG9jLnht&#10;bFBLAQItABQABgAIAAAAIQA0/OR53QAAAAgBAAAPAAAAAAAAAAAAAAAAAH0EAABkcnMvZG93bnJl&#10;di54bWxQSwUGAAAAAAQABADzAAAAhwUAAAAA&#10;" strokeweight=".25pt">
                <v:textbox inset="1pt,1pt,1pt,1pt">
                  <w:txbxContent>
                    <w:p w:rsidR="001B6928" w:rsidRDefault="001B6928" w:rsidP="000035AC">
                      <w:pPr>
                        <w:spacing w:after="0"/>
                        <w:ind w:firstLine="0"/>
                        <w:jc w:val="center"/>
                        <w:rPr>
                          <w:rFonts w:ascii="Arial" w:hAnsi="Arial" w:cs="Arial"/>
                          <w:sz w:val="16"/>
                          <w:szCs w:val="16"/>
                          <w:lang w:val="es-ES"/>
                        </w:rPr>
                      </w:pPr>
                    </w:p>
                    <w:p w:rsidR="001B6928" w:rsidRPr="000035AC" w:rsidRDefault="001B6928" w:rsidP="000035AC">
                      <w:pPr>
                        <w:spacing w:after="0"/>
                        <w:ind w:firstLine="0"/>
                        <w:jc w:val="center"/>
                        <w:rPr>
                          <w:rFonts w:ascii="Arial" w:hAnsi="Arial" w:cs="Arial"/>
                          <w:sz w:val="16"/>
                          <w:szCs w:val="16"/>
                          <w:lang w:val="es-ES"/>
                        </w:rPr>
                      </w:pPr>
                      <w:r w:rsidRPr="000035AC">
                        <w:rPr>
                          <w:rFonts w:ascii="Arial" w:hAnsi="Arial" w:cs="Arial"/>
                          <w:sz w:val="16"/>
                          <w:szCs w:val="16"/>
                          <w:lang w:val="es-ES"/>
                        </w:rPr>
                        <w:t>Sector Público Local</w:t>
                      </w:r>
                    </w:p>
                    <w:p w:rsidR="001B6928" w:rsidRPr="000035AC" w:rsidRDefault="001B6928" w:rsidP="000035AC">
                      <w:pPr>
                        <w:spacing w:after="0"/>
                        <w:ind w:firstLine="0"/>
                        <w:jc w:val="center"/>
                        <w:rPr>
                          <w:rFonts w:ascii="Arial" w:hAnsi="Arial" w:cs="Arial"/>
                          <w:sz w:val="16"/>
                          <w:szCs w:val="16"/>
                          <w:lang w:val="es-ES"/>
                        </w:rPr>
                      </w:pPr>
                      <w:r w:rsidRPr="000035AC">
                        <w:rPr>
                          <w:rFonts w:ascii="Arial" w:hAnsi="Arial" w:cs="Arial"/>
                          <w:sz w:val="16"/>
                          <w:szCs w:val="16"/>
                          <w:lang w:val="es-ES"/>
                        </w:rPr>
                        <w:t>de Navarra</w:t>
                      </w:r>
                    </w:p>
                  </w:txbxContent>
                </v:textbox>
              </v:rect>
            </w:pict>
          </mc:Fallback>
        </mc:AlternateContent>
      </w:r>
    </w:p>
    <w:p w:rsidR="001049D6" w:rsidRPr="005A760B" w:rsidRDefault="00687A28" w:rsidP="001049D6">
      <w:pPr>
        <w:tabs>
          <w:tab w:val="center" w:pos="2835"/>
          <w:tab w:val="center" w:pos="3969"/>
          <w:tab w:val="center" w:pos="5103"/>
          <w:tab w:val="center" w:pos="6237"/>
          <w:tab w:val="center" w:pos="7371"/>
        </w:tabs>
        <w:suppressAutoHyphens/>
        <w:ind w:left="-378" w:firstLine="284"/>
        <w:rPr>
          <w:rFonts w:ascii="Gill Sans MT" w:hAnsi="Gill Sans MT"/>
          <w:spacing w:val="6"/>
          <w:sz w:val="26"/>
          <w:szCs w:val="24"/>
          <w:highlight w:val="yellow"/>
        </w:rPr>
      </w:pPr>
      <w:r w:rsidRPr="005A760B">
        <w:rPr>
          <w:noProof/>
          <w:lang w:val="es-ES" w:eastAsia="es-ES"/>
        </w:rPr>
        <mc:AlternateContent>
          <mc:Choice Requires="wps">
            <w:drawing>
              <wp:anchor distT="0" distB="0" distL="114300" distR="114300" simplePos="0" relativeHeight="251644928" behindDoc="0" locked="0" layoutInCell="1" allowOverlap="1" wp14:anchorId="6B71890B" wp14:editId="7DA35C0F">
                <wp:simplePos x="0" y="0"/>
                <wp:positionH relativeFrom="column">
                  <wp:posOffset>3053715</wp:posOffset>
                </wp:positionH>
                <wp:positionV relativeFrom="paragraph">
                  <wp:posOffset>133985</wp:posOffset>
                </wp:positionV>
                <wp:extent cx="0" cy="1188720"/>
                <wp:effectExtent l="0" t="0" r="19050" b="30480"/>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A1A186C" id="Line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5pt,10.55pt" to="240.45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ewKQIAAGEEAAAOAAAAZHJzL2Uyb0RvYy54bWysVMuO2jAU3VfqP1jeQxJImUxEGFUJdENb&#10;pJl+gLEdYtWxLdsQUNV/77V5dKZdzKgqC+PHvcfn3Huc+cOxl+jArRNaVTgbpxhxRTUTalfhb0+r&#10;UYGR80QxIrXiFT5xhx8W79/NB1Pyie60ZNwiAFGuHEyFO+9NmSSOdrwnbqwNV3DYatsTD0u7S5gl&#10;A6D3Mpmk6SwZtGXGasqdg93mfIgXEb9tOfVf29Zxj2SFgZuPo43jNozJYk7KnSWmE/RCg/wDi54I&#10;BZfeoBriCdpb8RdUL6jVTrd+THWf6LYVlEcNoCZL/1Dz2BHDoxYojjO3Mrn/B0u/HDYWCVbhyRQj&#10;RXro0VoojopQmsG4EiJqtbFBHD2qR7PW9LtDStcdUTseKT6dDKRlISN5kRIWzsAF2+GzZhBD9l7H&#10;Oh1b2wdIqAA6xnacbu3gR4/oeZPCbpYVxd0ktioh5TXRWOc/cd2jMKmwBM4RmBzWzgcipLyGhHuU&#10;XgkpY7elQkOFp9ndh5jgtBQsHIYwZ3fbWlp0IMEv8RdVwcnzMKv3ikWwjhO2VAz5WAIFHscB3fUY&#10;SQ4vAiYxzhMhX48D0lIFHlACkHGZnY304z69XxbLIh/lk9lylKdNM/q4qvPRbAVSmmlT1032M0jK&#10;8rITjHEVVF1NneVvM83leZ3teLP1rXzJS/RYZyB7/Y+kowdC288G2mp22tjQkmAH8HEMvry58FCe&#10;r2PU7y/D4hcAAAD//wMAUEsDBBQABgAIAAAAIQB7XZmD3gAAAAoBAAAPAAAAZHJzL2Rvd25yZXYu&#10;eG1sTI9NT8MwDIbvSPyHyEhcEEs6EOq6ptMEQkLitI8DR7cxbbUmqZJsK/x6jDiwo1+/evy4XE12&#10;ECcKsfdOQzZTIMg13vSu1bDfvd7nIGJCZ3DwjjR8UYRVdX1VYmH82W3otE2tYIiLBWroUhoLKWPT&#10;kcU48yM53n36YDHxGFppAp4Zbgc5V+pJWuwdX+hwpOeOmsP2aDXMR9Pj96KtX4bN3Xr38RbMPrxr&#10;fXszrZcgEk3pvwy/+qwOFTvV/uhMFIOGx1wtuMqwLAPBhb+g5kDlDyCrUl6+UP0AAAD//wMAUEsB&#10;Ai0AFAAGAAgAAAAhALaDOJL+AAAA4QEAABMAAAAAAAAAAAAAAAAAAAAAAFtDb250ZW50X1R5cGVz&#10;XS54bWxQSwECLQAUAAYACAAAACEAOP0h/9YAAACUAQAACwAAAAAAAAAAAAAAAAAvAQAAX3JlbHMv&#10;LnJlbHNQSwECLQAUAAYACAAAACEAM9KXsCkCAABhBAAADgAAAAAAAAAAAAAAAAAuAgAAZHJzL2Uy&#10;b0RvYy54bWxQSwECLQAUAAYACAAAACEAe12Zg94AAAAKAQAADwAAAAAAAAAAAAAAAACDBAAAZHJz&#10;L2Rvd25yZXYueG1sUEsFBgAAAAAEAAQA8wAAAI4FAAAAAA==&#10;" strokeweight=".25pt">
                <v:stroke startarrowwidth="narrow" startarrowlength="short" endarrowwidth="narrow" endarrowlength="short"/>
              </v:line>
            </w:pict>
          </mc:Fallback>
        </mc:AlternateContent>
      </w:r>
    </w:p>
    <w:p w:rsidR="001049D6" w:rsidRPr="005A760B" w:rsidRDefault="001049D6" w:rsidP="001049D6">
      <w:pPr>
        <w:tabs>
          <w:tab w:val="center" w:pos="2835"/>
          <w:tab w:val="center" w:pos="3969"/>
          <w:tab w:val="center" w:pos="5103"/>
          <w:tab w:val="center" w:pos="6237"/>
          <w:tab w:val="center" w:pos="7371"/>
        </w:tabs>
        <w:suppressAutoHyphens/>
        <w:ind w:left="-378" w:firstLine="284"/>
        <w:rPr>
          <w:rFonts w:ascii="Gill Sans MT" w:hAnsi="Gill Sans MT"/>
          <w:spacing w:val="6"/>
          <w:sz w:val="26"/>
          <w:szCs w:val="24"/>
          <w:highlight w:val="yellow"/>
        </w:rPr>
      </w:pPr>
      <w:r w:rsidRPr="005A760B">
        <w:rPr>
          <w:noProof/>
          <w:lang w:val="es-ES" w:eastAsia="es-ES"/>
        </w:rPr>
        <mc:AlternateContent>
          <mc:Choice Requires="wps">
            <w:drawing>
              <wp:anchor distT="0" distB="0" distL="114299" distR="114299" simplePos="0" relativeHeight="251649024" behindDoc="0" locked="0" layoutInCell="1" allowOverlap="1" wp14:anchorId="7F0FAF65" wp14:editId="17C8B0F4">
                <wp:simplePos x="0" y="0"/>
                <wp:positionH relativeFrom="column">
                  <wp:posOffset>768350</wp:posOffset>
                </wp:positionH>
                <wp:positionV relativeFrom="paragraph">
                  <wp:posOffset>242570</wp:posOffset>
                </wp:positionV>
                <wp:extent cx="3810" cy="1000760"/>
                <wp:effectExtent l="0" t="0" r="34290" b="27940"/>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0007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95DF9B9" id="Line 10" o:spid="_x0000_s1026" style="position:absolute;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5pt,19.1pt" to="60.8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diEFgIAAC0EAAAOAAAAZHJzL2Uyb0RvYy54bWysU82O2jAQvlfqO1i5QxI2ZdmIsKoS6IW2&#10;SLt9AGM7xKrjsWxDQFXfvWPzI7a9VFVzcMaemW+++Zs/H3tFDsI6CbpK8nGWEKEZcKl3VfLtdTWa&#10;JcR5qjlVoEWVnIRLnhfv380HU4oJdKC4sARBtCsHUyWd96ZMU8c60VM3BiM0KluwPfV4tbuUWzog&#10;eq/SSZZN0wEsNxaYcA5fm7MyWUT8thXMf21bJzxRVYLcfDxtPLfhTBdzWu4sNZ1kFxr0H1j0VGoM&#10;eoNqqKdkb+UfUL1kFhy0fsygT6FtJRMxB8wmz37L5qWjRsRcsDjO3Mrk/h8s+3LYWCI59m6aEE17&#10;7NFaakHyWJvBuBJNar2xITt21C9mDey7IxrqjuqdiBxfTwb98lDN9I1LuDiDEbbDZ+BoQ/ceYqGO&#10;re0DJJaAHGM/Trd+iKMnDB8fZsiCMFTkWZY9TiOllJZXX2Od/ySgJ0GoEoW8IzY9rJ0PXGh5NQmh&#10;NKykUrHjSpMB8fPHD9HBgZI8KIOZs7ttrSw50DAz8YuJoebezMJe8wjWCcqXF9lTqc4yBlc64GE2&#10;SOcinYfix1P2tJwtZ8WomEyXoyJrmtHHVV2Mpiuk1Dw0dd3kPwO1vCg7ybnQgd11QPPi7wbgsirn&#10;0bqN6K0M6Vv0WC8ke/1H0rGdoYNho1y5BX7a2GubcSaj8WV/wtDf31G+3/LFLwAAAP//AwBQSwME&#10;FAAGAAgAAAAhAImimE3gAAAACgEAAA8AAABkcnMvZG93bnJldi54bWxMj0FPhDAQhe8m/odmTLy5&#10;BYwEkbIRooc9aOKuiXrr0hGIdIp02MV/b/ekt3mZl/e+V6wXO4gDTr53pCBeRSCQGmd6ahW87h6v&#10;MhCeNRk9OEIFP+hhXZ6fFTo37kgveNhyK0II+Vwr6JjHXErfdGi1X7kRKfw+3WQ1Bzm10kz6GMLt&#10;IJMoSqXVPYWGTo9Yd9h8bWergP3b+zPPm+8qrZ5q3FUf9YPcKHV5sdzfgWBc+M8MJ/yADmVg2ruZ&#10;jBdD0EkctrCC6ywBcTIkcQpiH47bmwxkWcj/E8pfAAAA//8DAFBLAQItABQABgAIAAAAIQC2gziS&#10;/gAAAOEBAAATAAAAAAAAAAAAAAAAAAAAAABbQ29udGVudF9UeXBlc10ueG1sUEsBAi0AFAAGAAgA&#10;AAAhADj9If/WAAAAlAEAAAsAAAAAAAAAAAAAAAAALwEAAF9yZWxzLy5yZWxzUEsBAi0AFAAGAAgA&#10;AAAhAHrB2IQWAgAALQQAAA4AAAAAAAAAAAAAAAAALgIAAGRycy9lMm9Eb2MueG1sUEsBAi0AFAAG&#10;AAgAAAAhAImimE3gAAAACgEAAA8AAAAAAAAAAAAAAAAAcAQAAGRycy9kb3ducmV2LnhtbFBLBQYA&#10;AAAABAAEAPMAAAB9BQAAAAA=&#10;" strokeweight=".25pt"/>
            </w:pict>
          </mc:Fallback>
        </mc:AlternateContent>
      </w:r>
      <w:r w:rsidRPr="005A760B">
        <w:rPr>
          <w:noProof/>
          <w:lang w:val="es-ES" w:eastAsia="es-ES"/>
        </w:rPr>
        <mc:AlternateContent>
          <mc:Choice Requires="wps">
            <w:drawing>
              <wp:anchor distT="0" distB="0" distL="114300" distR="114300" simplePos="0" relativeHeight="251651072" behindDoc="0" locked="0" layoutInCell="1" allowOverlap="1" wp14:anchorId="09392C7A" wp14:editId="716C01C2">
                <wp:simplePos x="0" y="0"/>
                <wp:positionH relativeFrom="column">
                  <wp:posOffset>5198745</wp:posOffset>
                </wp:positionH>
                <wp:positionV relativeFrom="paragraph">
                  <wp:posOffset>240030</wp:posOffset>
                </wp:positionV>
                <wp:extent cx="6985" cy="388620"/>
                <wp:effectExtent l="0" t="0" r="31115" b="1143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8862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DB5D758" id="Line 1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35pt,18.9pt" to="409.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sa1KwIAAGQEAAAOAAAAZHJzL2Uyb0RvYy54bWysVMuO2yAU3VfqPyD2iR+TSR0rzqiyk27S&#10;TqSZfgABHKNiQEDiRFX/vRfyaNMuWlX1AoM593DvuQfPn469RAdundCqwtk4xYgrqplQuwp/fl2N&#10;CoycJ4oRqRWv8Ik7/LR4+2Y+mJLnutOScYuARLlyMBXuvDdlkjja8Z64sTZcwWarbU88LO0uYZYM&#10;wN7LJE/TaTJoy4zVlDsHX5vzJl5E/rbl1D+3reMeyQpDbj6ONo7bMCaLOSl3lphO0Esa5B+y6IlQ&#10;cOiNqiGeoL0Vv1H1glrtdOvHVPeJbltBeawBqsnSX6p56YjhsRYQx5mbTO7/0dJPh41FglU4zzFS&#10;pIcerYXiKMuCNoNxJUBqtbGhOnpUL2at6ReHlK47onY85vh6MhAXI5K7kLBwBk7YDh81AwzZex2F&#10;Ora2D5QgATrGfpxu/eBHjyh8nM6KR4wobDwUxTSP3UpIeQ011vkPXPcoTCosIe1ITQ5r5yF5gF4h&#10;4SSlV0LK2HCp0ACk2bvHGOC0FCxsBpizu20tLTqQYJn4BCWA7A5m9V6xSNZxwpaKIR9FUGBzHNhd&#10;j5HkcClgEnGeCPlnHJwjVcgDRIAyLrOzl77O0tmyWBaT0SSfLkeTtGlG71f1ZDRdQSnNQ1PXTfYt&#10;lJRNyk4wxlWo6urrbPJ3vrncsLMjb86+yZfcs0dpINnrOyYdXRAaf7bQVrPTxgYVgyHAyhF8uXbh&#10;rvy8jqgfP4fFdwAAAP//AwBQSwMEFAAGAAgAAAAhAIC7xoPfAAAACQEAAA8AAABkcnMvZG93bnJl&#10;di54bWxMj01LxDAQhu+C/yGM4EXctCu4bW26LIogeNqPg8dpE9tiMilJdrf66x1P7m2GeXjneev1&#10;7Kw4mRBHTwryRQbCUOf1SL2Cw/71vgARE5JG68ko+DYR1s31VY2V9mfamtMu9YJDKFaoYEhpqqSM&#10;3WAcxoWfDPHt0weHidfQSx3wzOHOymWWPUqHI/GHASfzPJjua3d0CpaTHvGn7NsXu73b7D/egj6E&#10;d6Vub+bNE4hk5vQPw58+q0PDTq0/ko7CKijyYsWogocVV2CgyEseWgVlmYFsannZoPkFAAD//wMA&#10;UEsBAi0AFAAGAAgAAAAhALaDOJL+AAAA4QEAABMAAAAAAAAAAAAAAAAAAAAAAFtDb250ZW50X1R5&#10;cGVzXS54bWxQSwECLQAUAAYACAAAACEAOP0h/9YAAACUAQAACwAAAAAAAAAAAAAAAAAvAQAAX3Jl&#10;bHMvLnJlbHNQSwECLQAUAAYACAAAACEApt7GtSsCAABkBAAADgAAAAAAAAAAAAAAAAAuAgAAZHJz&#10;L2Uyb0RvYy54bWxQSwECLQAUAAYACAAAACEAgLvGg98AAAAJAQAADwAAAAAAAAAAAAAAAACFBAAA&#10;ZHJzL2Rvd25yZXYueG1sUEsFBgAAAAAEAAQA8wAAAJEFAAAAAA==&#10;" strokeweight=".25pt">
                <v:stroke startarrowwidth="narrow" startarrowlength="short" endarrowwidth="narrow" endarrowlength="short"/>
              </v:line>
            </w:pict>
          </mc:Fallback>
        </mc:AlternateContent>
      </w:r>
      <w:r w:rsidRPr="005A760B">
        <w:rPr>
          <w:noProof/>
          <w:lang w:val="es-ES" w:eastAsia="es-ES"/>
        </w:rPr>
        <mc:AlternateContent>
          <mc:Choice Requires="wps">
            <w:drawing>
              <wp:anchor distT="4294967295" distB="4294967295" distL="114300" distR="114300" simplePos="0" relativeHeight="251646976" behindDoc="0" locked="0" layoutInCell="1" allowOverlap="1" wp14:anchorId="578C6D94" wp14:editId="4154BB94">
                <wp:simplePos x="0" y="0"/>
                <wp:positionH relativeFrom="column">
                  <wp:posOffset>772160</wp:posOffset>
                </wp:positionH>
                <wp:positionV relativeFrom="paragraph">
                  <wp:posOffset>244474</wp:posOffset>
                </wp:positionV>
                <wp:extent cx="4426585" cy="0"/>
                <wp:effectExtent l="0" t="0" r="12065" b="1905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6585"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12C312D" id="Line 9"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8pt,19.25pt" to="409.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0JwIAAGEEAAAOAAAAZHJzL2Uyb0RvYy54bWysVMGO2jAQvVfqP1i+QxI2UIgIqyqBXmiL&#10;tNsPMLZDrDq2ZRsCqvrvHRtCd9tDq6o5OHY88/zmzXOWj+dOohO3TmhV4mycYsQV1UyoQ4m/PG9G&#10;c4ycJ4oRqRUv8YU7/Lh6+2bZm4JPdKsl4xYBiHJFb0rcem+KJHG05R1xY224gs1G2454WNpDwizp&#10;Ab2TySRNZ0mvLTNWU+4cfK2vm3gV8ZuGU/+5aRz3SJYYuPk42jjuw5islqQ4WGJaQW80yD+w6IhQ&#10;cOgdqiaeoKMVv0F1glrtdOPHVHeJbhpBeawBqsnSX6p5aonhsRYQx5m7TO7/wdJPp51FgpV4kmGk&#10;SAc92grF0SJI0xtXQESldjYUR8/qyWw1/eqQ0lVL1IFHis8XA2lZyEhepYSFM3DAvv+oGcSQo9dR&#10;p3NjuwAJCqBzbMfl3g5+9ojCxzyfzKbzKUZ02EtIMSQa6/wHrjsUJiWWwDkCk9PW+UCEFENIOEfp&#10;jZAydlsq1Jf4IXs3jQlOS8HCZghz9rCvpEUnEvwSn1gV7LwMs/qoWARrOWFrxZCPEijwOA7orsNI&#10;crgRMIlxngj55zggLVXgARJAGbfZ1UjfFuliPV/P8xHIsh7laV2P3m+qfDTbQCn1Q11VdfY9lJTl&#10;RSsY4ypUNZg6y//ONLfrdbXj3dZ3+ZLX6FFnIDu8I+nogdD2q4H2ml12NrQk2AF8HINvdy5clJfr&#10;GPXzz7D6AQAA//8DAFBLAwQUAAYACAAAACEAGCC6vN0AAAAJAQAADwAAAGRycy9kb3ducmV2Lnht&#10;bEyPTUvEMBCG74L/IYzgRdy0Fddamy6LIgie9uPgMW3GtphMSpLdrf56Rzzo8Z15eOeZejU7K44Y&#10;4uhJQb7IQCB13ozUK9jvnq9LEDFpMtp6QgWfGGHVnJ/VujL+RBs8blMvuIRipRUMKU2VlLEb0Om4&#10;8BMS7959cDpxDL00QZ+43FlZZNlSOj0SXxj0hI8Ddh/bg1NQTGbUX/d9+2Q3V+vd20sw+/Cq1OXF&#10;vH4AkXBOfzD86LM6NOzU+gOZKCznIl8yquCmvAXBQJmXdyDa34Fsavn/g+YbAAD//wMAUEsBAi0A&#10;FAAGAAgAAAAhALaDOJL+AAAA4QEAABMAAAAAAAAAAAAAAAAAAAAAAFtDb250ZW50X1R5cGVzXS54&#10;bWxQSwECLQAUAAYACAAAACEAOP0h/9YAAACUAQAACwAAAAAAAAAAAAAAAAAvAQAAX3JlbHMvLnJl&#10;bHNQSwECLQAUAAYACAAAACEAbvza9CcCAABhBAAADgAAAAAAAAAAAAAAAAAuAgAAZHJzL2Uyb0Rv&#10;Yy54bWxQSwECLQAUAAYACAAAACEAGCC6vN0AAAAJAQAADwAAAAAAAAAAAAAAAACBBAAAZHJzL2Rv&#10;d25yZXYueG1sUEsFBgAAAAAEAAQA8wAAAIsFAAAAAA==&#10;" strokeweight=".25pt">
                <v:stroke startarrowwidth="narrow" startarrowlength="short" endarrowwidth="narrow" endarrowlength="short"/>
              </v:line>
            </w:pict>
          </mc:Fallback>
        </mc:AlternateContent>
      </w:r>
    </w:p>
    <w:p w:rsidR="001049D6" w:rsidRPr="005A760B" w:rsidRDefault="001049D6" w:rsidP="001049D6">
      <w:pPr>
        <w:tabs>
          <w:tab w:val="center" w:pos="2835"/>
          <w:tab w:val="center" w:pos="3969"/>
          <w:tab w:val="center" w:pos="5103"/>
          <w:tab w:val="center" w:pos="6237"/>
          <w:tab w:val="center" w:pos="7371"/>
        </w:tabs>
        <w:suppressAutoHyphens/>
        <w:ind w:left="-378" w:firstLine="284"/>
        <w:rPr>
          <w:rFonts w:ascii="Gill Sans MT" w:hAnsi="Gill Sans MT"/>
          <w:spacing w:val="6"/>
          <w:sz w:val="26"/>
          <w:szCs w:val="24"/>
          <w:highlight w:val="yellow"/>
        </w:rPr>
      </w:pPr>
      <w:r w:rsidRPr="005A760B">
        <w:rPr>
          <w:noProof/>
          <w:lang w:val="es-ES" w:eastAsia="es-ES"/>
        </w:rPr>
        <mc:AlternateContent>
          <mc:Choice Requires="wps">
            <w:drawing>
              <wp:anchor distT="0" distB="0" distL="114300" distR="114300" simplePos="0" relativeHeight="251661312" behindDoc="0" locked="0" layoutInCell="1" allowOverlap="1" wp14:anchorId="6AACFD6C" wp14:editId="0982FE37">
                <wp:simplePos x="0" y="0"/>
                <wp:positionH relativeFrom="column">
                  <wp:posOffset>342881</wp:posOffset>
                </wp:positionH>
                <wp:positionV relativeFrom="paragraph">
                  <wp:posOffset>273685</wp:posOffset>
                </wp:positionV>
                <wp:extent cx="841375" cy="370840"/>
                <wp:effectExtent l="0" t="0" r="15875"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370840"/>
                        </a:xfrm>
                        <a:prstGeom prst="rect">
                          <a:avLst/>
                        </a:prstGeom>
                        <a:solidFill>
                          <a:srgbClr val="FFFFFF"/>
                        </a:solidFill>
                        <a:ln w="3175">
                          <a:solidFill>
                            <a:srgbClr val="000000"/>
                          </a:solidFill>
                          <a:miter lim="800000"/>
                          <a:headEnd/>
                          <a:tailEnd/>
                        </a:ln>
                      </wps:spPr>
                      <wps:txbx>
                        <w:txbxContent>
                          <w:p w:rsidR="001B6928" w:rsidRDefault="001B6928" w:rsidP="000035AC">
                            <w:pPr>
                              <w:spacing w:after="0"/>
                              <w:ind w:firstLine="0"/>
                              <w:jc w:val="center"/>
                              <w:rPr>
                                <w:rFonts w:ascii="Arial" w:hAnsi="Arial" w:cs="Arial"/>
                                <w:sz w:val="16"/>
                                <w:szCs w:val="16"/>
                                <w:lang w:val="es-ES"/>
                              </w:rPr>
                            </w:pPr>
                          </w:p>
                          <w:p w:rsidR="001B6928" w:rsidRPr="000035AC" w:rsidRDefault="001B6928" w:rsidP="000035AC">
                            <w:pPr>
                              <w:spacing w:after="0"/>
                              <w:ind w:firstLine="0"/>
                              <w:jc w:val="center"/>
                              <w:rPr>
                                <w:rFonts w:ascii="Arial" w:hAnsi="Arial" w:cs="Arial"/>
                                <w:sz w:val="16"/>
                                <w:szCs w:val="16"/>
                                <w:lang w:val="es-ES"/>
                              </w:rPr>
                            </w:pPr>
                            <w:r w:rsidRPr="000035AC">
                              <w:rPr>
                                <w:rFonts w:ascii="Arial" w:hAnsi="Arial" w:cs="Arial"/>
                                <w:sz w:val="16"/>
                                <w:szCs w:val="16"/>
                                <w:lang w:val="es-ES"/>
                              </w:rPr>
                              <w:t>Municipios: 272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AACFD6C" id="Rectangle 18" o:spid="_x0000_s1028" style="position:absolute;left:0;text-align:left;margin-left:27pt;margin-top:21.55pt;width:66.25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2fIAIAAE8EAAAOAAAAZHJzL2Uyb0RvYy54bWysVNuO0zAQfUfiHyy/0yTdha2ipqtVlyKk&#10;BVYsfIDjOImF4zFjt2n5esZOW8pFPCDyYHns8fGZc8ZZ3u4Hw3YKvQZb8WKWc6ashEbbruKfP21e&#10;LDjzQdhGGLCq4gfl+e3q+bPl6Eo1hx5Mo5ARiPXl6Creh+DKLPOyV4PwM3DK0mYLOIhAIXZZg2Ik&#10;9MFk8zx/lY2AjUOQyntavZ82+Srht62S4UPbehWYqThxC2nENNZxzFZLUXYoXK/lkYb4BxaD0JYu&#10;PUPdiyDYFvVvUIOWCB7aMJMwZNC2WqpUA1VT5L9U89QLp1ItJI53Z5n8/4OV73ePyHRD3pFTVgzk&#10;0UdSTdjOKEZrJNDofEl5T+4RY4nePYD84pmFdU9p6g4Rxl6JhmgVMT/76UAMPB1l9fgOGoIX2wBJ&#10;q32LQwQkFdg+WXI4W6L2gUlaXFwXVzcvOZO0dXWTL66TZZkoT4cd+vBGwcDipOJI3BO42D34EMmI&#10;8pSSyIPRzUYbkwLs6rVBthPUHZv0Jf5U42WasWyk2wvi8XeIPH1/ghh0oDY3eqCKzkmijKq9tk1q&#10;wiC0meZE2dijjFG5yYGwr/fJqPnJkxqaA+mKMHU1vUKa9IDfOBupoyvuv24FKs7MWxu9md/k8Qlc&#10;BngZ1JeBsJKgKh44m6brMD2brUPd9XRTkdSwcEd+tjppHb2eWB3pU9cmC44vLD6Lyzhl/fgPrL4D&#10;AAD//wMAUEsDBBQABgAIAAAAIQAtp5MJ3QAAAAkBAAAPAAAAZHJzL2Rvd25yZXYueG1sTI/BTsMw&#10;EETvSPyDtUjcqBOaVCGNU6FKCHEkBc5OvE2ixutgu435e9wT3GY1q5k31S7oiV3QutGQgHSVAEPq&#10;jBqpF/BxeHkogDkvScnJEAr4QQe7+vamkqUyC73jpfE9iyHkSilg8H4uOXfdgFq6lZmRonc0Vksf&#10;T9tzZeUSw/XEH5Nkw7UcKTYMcsb9gN2pOWsB3/Lpa8H1MXyGIrNp+9q86XYvxP1deN4C8xj83zNc&#10;8SM61JGpNWdSjk0C8ixO8QKydQrs6hebHFgbRZLmwOuK/19Q/wIAAP//AwBQSwECLQAUAAYACAAA&#10;ACEAtoM4kv4AAADhAQAAEwAAAAAAAAAAAAAAAAAAAAAAW0NvbnRlbnRfVHlwZXNdLnhtbFBLAQIt&#10;ABQABgAIAAAAIQA4/SH/1gAAAJQBAAALAAAAAAAAAAAAAAAAAC8BAABfcmVscy8ucmVsc1BLAQIt&#10;ABQABgAIAAAAIQAjON2fIAIAAE8EAAAOAAAAAAAAAAAAAAAAAC4CAABkcnMvZTJvRG9jLnhtbFBL&#10;AQItABQABgAIAAAAIQAtp5MJ3QAAAAkBAAAPAAAAAAAAAAAAAAAAAHoEAABkcnMvZG93bnJldi54&#10;bWxQSwUGAAAAAAQABADzAAAAhAUAAAAA&#10;" strokeweight=".25pt">
                <v:textbox inset="1pt,1pt,1pt,1pt">
                  <w:txbxContent>
                    <w:p w:rsidR="001B6928" w:rsidRDefault="001B6928" w:rsidP="000035AC">
                      <w:pPr>
                        <w:spacing w:after="0"/>
                        <w:ind w:firstLine="0"/>
                        <w:jc w:val="center"/>
                        <w:rPr>
                          <w:rFonts w:ascii="Arial" w:hAnsi="Arial" w:cs="Arial"/>
                          <w:sz w:val="16"/>
                          <w:szCs w:val="16"/>
                          <w:lang w:val="es-ES"/>
                        </w:rPr>
                      </w:pPr>
                    </w:p>
                    <w:p w:rsidR="001B6928" w:rsidRPr="000035AC" w:rsidRDefault="001B6928" w:rsidP="000035AC">
                      <w:pPr>
                        <w:spacing w:after="0"/>
                        <w:ind w:firstLine="0"/>
                        <w:jc w:val="center"/>
                        <w:rPr>
                          <w:rFonts w:ascii="Arial" w:hAnsi="Arial" w:cs="Arial"/>
                          <w:sz w:val="16"/>
                          <w:szCs w:val="16"/>
                          <w:lang w:val="es-ES"/>
                        </w:rPr>
                      </w:pPr>
                      <w:r w:rsidRPr="000035AC">
                        <w:rPr>
                          <w:rFonts w:ascii="Arial" w:hAnsi="Arial" w:cs="Arial"/>
                          <w:sz w:val="16"/>
                          <w:szCs w:val="16"/>
                          <w:lang w:val="es-ES"/>
                        </w:rPr>
                        <w:t>Municipios: 272</w:t>
                      </w:r>
                    </w:p>
                  </w:txbxContent>
                </v:textbox>
              </v:rect>
            </w:pict>
          </mc:Fallback>
        </mc:AlternateContent>
      </w:r>
    </w:p>
    <w:p w:rsidR="001049D6" w:rsidRPr="005A760B" w:rsidRDefault="001049D6" w:rsidP="001049D6">
      <w:pPr>
        <w:tabs>
          <w:tab w:val="center" w:pos="2835"/>
          <w:tab w:val="center" w:pos="3969"/>
          <w:tab w:val="center" w:pos="5103"/>
          <w:tab w:val="center" w:pos="6237"/>
          <w:tab w:val="center" w:pos="7371"/>
        </w:tabs>
        <w:suppressAutoHyphens/>
        <w:ind w:left="-378" w:firstLine="284"/>
        <w:rPr>
          <w:rFonts w:ascii="Gill Sans MT" w:hAnsi="Gill Sans MT"/>
          <w:spacing w:val="6"/>
          <w:sz w:val="10"/>
          <w:szCs w:val="10"/>
          <w:highlight w:val="yellow"/>
        </w:rPr>
      </w:pPr>
      <w:r w:rsidRPr="005A760B">
        <w:rPr>
          <w:noProof/>
          <w:lang w:val="es-ES" w:eastAsia="es-ES"/>
        </w:rPr>
        <mc:AlternateContent>
          <mc:Choice Requires="wps">
            <w:drawing>
              <wp:anchor distT="0" distB="0" distL="114300" distR="114300" simplePos="0" relativeHeight="251659264" behindDoc="0" locked="0" layoutInCell="1" allowOverlap="1" wp14:anchorId="015F3FA1" wp14:editId="3E18A714">
                <wp:simplePos x="0" y="0"/>
                <wp:positionH relativeFrom="column">
                  <wp:posOffset>2566035</wp:posOffset>
                </wp:positionH>
                <wp:positionV relativeFrom="paragraph">
                  <wp:posOffset>12700</wp:posOffset>
                </wp:positionV>
                <wp:extent cx="1019175" cy="370205"/>
                <wp:effectExtent l="0" t="0" r="28575"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70205"/>
                        </a:xfrm>
                        <a:prstGeom prst="rect">
                          <a:avLst/>
                        </a:prstGeom>
                        <a:solidFill>
                          <a:srgbClr val="FFFFFF"/>
                        </a:solidFill>
                        <a:ln w="3175">
                          <a:solidFill>
                            <a:srgbClr val="000000"/>
                          </a:solidFill>
                          <a:miter lim="800000"/>
                          <a:headEnd/>
                          <a:tailEnd/>
                        </a:ln>
                      </wps:spPr>
                      <wps:txbx>
                        <w:txbxContent>
                          <w:p w:rsidR="001B6928" w:rsidRPr="000035AC" w:rsidRDefault="001B6928" w:rsidP="00BA119D">
                            <w:pPr>
                              <w:spacing w:before="80" w:after="0"/>
                              <w:ind w:firstLine="0"/>
                              <w:jc w:val="center"/>
                              <w:rPr>
                                <w:rFonts w:ascii="Arial" w:hAnsi="Arial" w:cs="Arial"/>
                                <w:sz w:val="16"/>
                                <w:szCs w:val="16"/>
                                <w:lang w:val="es-ES"/>
                              </w:rPr>
                            </w:pPr>
                            <w:r w:rsidRPr="000035AC">
                              <w:rPr>
                                <w:rFonts w:ascii="Arial" w:hAnsi="Arial" w:cs="Arial"/>
                                <w:sz w:val="16"/>
                                <w:szCs w:val="16"/>
                                <w:lang w:val="es-ES"/>
                              </w:rPr>
                              <w:t xml:space="preserve">Entidades </w:t>
                            </w:r>
                          </w:p>
                          <w:p w:rsidR="001B6928" w:rsidRPr="00D05EAF" w:rsidRDefault="001B6928" w:rsidP="000035AC">
                            <w:pPr>
                              <w:spacing w:after="0"/>
                              <w:ind w:firstLine="0"/>
                              <w:jc w:val="center"/>
                              <w:rPr>
                                <w:rFonts w:ascii="Arial Narrow" w:hAnsi="Arial Narrow" w:cs="GillSans"/>
                                <w:sz w:val="18"/>
                                <w:szCs w:val="18"/>
                              </w:rPr>
                            </w:pPr>
                            <w:r w:rsidRPr="000035AC">
                              <w:rPr>
                                <w:rFonts w:ascii="Arial" w:hAnsi="Arial" w:cs="Arial"/>
                                <w:sz w:val="16"/>
                                <w:szCs w:val="16"/>
                                <w:lang w:val="es-ES"/>
                              </w:rPr>
                              <w:t xml:space="preserve"> </w:t>
                            </w:r>
                            <w:proofErr w:type="spellStart"/>
                            <w:r w:rsidRPr="000035AC">
                              <w:rPr>
                                <w:rFonts w:ascii="Arial" w:hAnsi="Arial" w:cs="Arial"/>
                                <w:sz w:val="16"/>
                                <w:szCs w:val="16"/>
                                <w:lang w:val="es-ES"/>
                              </w:rPr>
                              <w:t>supramunici</w:t>
                            </w:r>
                            <w:proofErr w:type="spellEnd"/>
                            <w:r w:rsidRPr="00D05EAF">
                              <w:rPr>
                                <w:rFonts w:ascii="Arial Narrow" w:hAnsi="Arial Narrow" w:cs="GillSans"/>
                                <w:sz w:val="18"/>
                                <w:szCs w:val="18"/>
                              </w:rPr>
                              <w:t xml:space="preserve">pales: </w:t>
                            </w:r>
                            <w:r>
                              <w:rPr>
                                <w:rFonts w:ascii="Arial Narrow" w:hAnsi="Arial Narrow" w:cs="GillSans"/>
                                <w:sz w:val="18"/>
                                <w:szCs w:val="18"/>
                              </w:rPr>
                              <w:t>84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15F3FA1" id="Rectangle 17" o:spid="_x0000_s1029" style="position:absolute;left:0;text-align:left;margin-left:202.05pt;margin-top:1pt;width:80.25pt;height:2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dIAIAAFAEAAAOAAAAZHJzL2Uyb0RvYy54bWysVNtu2zAMfR+wfxD0vthO0aUz4hRFugwD&#10;urVYtw+QZdkWJosapcTJvn6UnKbZBXsY5gdBlKjDw0PSy+v9YNhOoddgK17Mcs6UldBo21X8y+fN&#10;qyvOfBC2EQasqvhBeX69evliObpSzaEH0yhkBGJ9ObqK9yG4Msu87NUg/AycsnTZAg4ikIld1qAY&#10;CX0w2TzPX2cjYOMQpPKeTm+nS75K+G2rZLhvW68CMxUnbiGtmNY6rtlqKcoOheu1PNIQ/8BiENpS&#10;0BPUrQiCbVH/BjVoieChDTMJQwZtq6VKOVA2Rf5LNo+9cCrlQuJ4d5LJ/z9Y+XH3gEw3VLsFZ1YM&#10;VKNPpJqwnVGMzkig0fmS/B7dA8YUvbsD+dUzC+ue3NQNIoy9Eg3RKqJ/9tODaHh6yurxAzQEL7YB&#10;klb7FocISCqwfSrJ4VQStQ9M0mGRF2+KxSVnku4uFvk8v0whRPn02qEP7xQMLG4qjkQ+oYvdnQ+R&#10;jSifXBJ7MLrZaGOSgV29Nsh2gtpjk74juj93M5aNFD3y+DtEnr4/QQw6UJ8bPVT86uQkyijbW9uk&#10;LgxCm2lPlI096hilm0oQ9vU+VeoiBoiy1tAcSFiEqa1pDGnTA37nbKSWrrj/thWoODPvbSzOfJHH&#10;GTg38Nyozw1hJUFVPHA2bddhmputQ931FKlIali4oYK2Omn9zOpIn9o2leA4YnEuzu3k9fwjWP0A&#10;AAD//wMAUEsDBBQABgAIAAAAIQBun0vr3AAAAAgBAAAPAAAAZHJzL2Rvd25yZXYueG1sTI/NTsMw&#10;EITvSLyDtUjcqJ02RG0ap0KVEOJI+Dlv4m0SEdvBdhvz9pgTHEczmvmmOkQ9sQs5P1ojIVsJYGQ6&#10;q0bTS3h7fbzbAvMBjcLJGpLwTR4O9fVVhaWyi3mhSxN6lkqML1HCEMJccu67gTT6lZ3JJO9kncaQ&#10;pOu5crikcj3xtRAF1ziatDDgTMeBus/mrCV84e5joc0pvsdt7rL2qXnW7VHK25v4sAcWKIa/MPzi&#10;J3SoE1Nrz0Z5NknIRZ6lqIR1upT8+yIvgLUSCrEBXlf8/4H6BwAA//8DAFBLAQItABQABgAIAAAA&#10;IQC2gziS/gAAAOEBAAATAAAAAAAAAAAAAAAAAAAAAABbQ29udGVudF9UeXBlc10ueG1sUEsBAi0A&#10;FAAGAAgAAAAhADj9If/WAAAAlAEAAAsAAAAAAAAAAAAAAAAALwEAAF9yZWxzLy5yZWxzUEsBAi0A&#10;FAAGAAgAAAAhAH+sAd0gAgAAUAQAAA4AAAAAAAAAAAAAAAAALgIAAGRycy9lMm9Eb2MueG1sUEsB&#10;Ai0AFAAGAAgAAAAhAG6fS+vcAAAACAEAAA8AAAAAAAAAAAAAAAAAegQAAGRycy9kb3ducmV2Lnht&#10;bFBLBQYAAAAABAAEAPMAAACDBQAAAAA=&#10;" strokeweight=".25pt">
                <v:textbox inset="1pt,1pt,1pt,1pt">
                  <w:txbxContent>
                    <w:p w:rsidR="001B6928" w:rsidRPr="000035AC" w:rsidRDefault="001B6928" w:rsidP="00BA119D">
                      <w:pPr>
                        <w:spacing w:before="80" w:after="0"/>
                        <w:ind w:firstLine="0"/>
                        <w:jc w:val="center"/>
                        <w:rPr>
                          <w:rFonts w:ascii="Arial" w:hAnsi="Arial" w:cs="Arial"/>
                          <w:sz w:val="16"/>
                          <w:szCs w:val="16"/>
                          <w:lang w:val="es-ES"/>
                        </w:rPr>
                      </w:pPr>
                      <w:r w:rsidRPr="000035AC">
                        <w:rPr>
                          <w:rFonts w:ascii="Arial" w:hAnsi="Arial" w:cs="Arial"/>
                          <w:sz w:val="16"/>
                          <w:szCs w:val="16"/>
                          <w:lang w:val="es-ES"/>
                        </w:rPr>
                        <w:t xml:space="preserve">Entidades </w:t>
                      </w:r>
                    </w:p>
                    <w:p w:rsidR="001B6928" w:rsidRPr="00D05EAF" w:rsidRDefault="001B6928" w:rsidP="000035AC">
                      <w:pPr>
                        <w:spacing w:after="0"/>
                        <w:ind w:firstLine="0"/>
                        <w:jc w:val="center"/>
                        <w:rPr>
                          <w:rFonts w:ascii="Arial Narrow" w:hAnsi="Arial Narrow" w:cs="GillSans"/>
                          <w:sz w:val="18"/>
                          <w:szCs w:val="18"/>
                        </w:rPr>
                      </w:pPr>
                      <w:r w:rsidRPr="000035AC">
                        <w:rPr>
                          <w:rFonts w:ascii="Arial" w:hAnsi="Arial" w:cs="Arial"/>
                          <w:sz w:val="16"/>
                          <w:szCs w:val="16"/>
                          <w:lang w:val="es-ES"/>
                        </w:rPr>
                        <w:t xml:space="preserve"> </w:t>
                      </w:r>
                      <w:proofErr w:type="spellStart"/>
                      <w:r w:rsidRPr="000035AC">
                        <w:rPr>
                          <w:rFonts w:ascii="Arial" w:hAnsi="Arial" w:cs="Arial"/>
                          <w:sz w:val="16"/>
                          <w:szCs w:val="16"/>
                          <w:lang w:val="es-ES"/>
                        </w:rPr>
                        <w:t>supramunici</w:t>
                      </w:r>
                      <w:proofErr w:type="spellEnd"/>
                      <w:r w:rsidRPr="00D05EAF">
                        <w:rPr>
                          <w:rFonts w:ascii="Arial Narrow" w:hAnsi="Arial Narrow" w:cs="GillSans"/>
                          <w:sz w:val="18"/>
                          <w:szCs w:val="18"/>
                        </w:rPr>
                        <w:t xml:space="preserve">pales: </w:t>
                      </w:r>
                      <w:r>
                        <w:rPr>
                          <w:rFonts w:ascii="Arial Narrow" w:hAnsi="Arial Narrow" w:cs="GillSans"/>
                          <w:sz w:val="18"/>
                          <w:szCs w:val="18"/>
                        </w:rPr>
                        <w:t>84</w:t>
                      </w:r>
                    </w:p>
                  </w:txbxContent>
                </v:textbox>
              </v:rect>
            </w:pict>
          </mc:Fallback>
        </mc:AlternateContent>
      </w:r>
      <w:r w:rsidRPr="005A760B">
        <w:rPr>
          <w:noProof/>
          <w:lang w:val="es-ES" w:eastAsia="es-ES"/>
        </w:rPr>
        <mc:AlternateContent>
          <mc:Choice Requires="wps">
            <w:drawing>
              <wp:anchor distT="0" distB="0" distL="114300" distR="114300" simplePos="0" relativeHeight="251657216" behindDoc="0" locked="0" layoutInCell="1" allowOverlap="1" wp14:anchorId="52CE8ED2" wp14:editId="5949EA73">
                <wp:simplePos x="0" y="0"/>
                <wp:positionH relativeFrom="column">
                  <wp:posOffset>4740910</wp:posOffset>
                </wp:positionH>
                <wp:positionV relativeFrom="paragraph">
                  <wp:posOffset>8890</wp:posOffset>
                </wp:positionV>
                <wp:extent cx="842010" cy="369570"/>
                <wp:effectExtent l="0" t="0" r="15240" b="1143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369570"/>
                        </a:xfrm>
                        <a:prstGeom prst="rect">
                          <a:avLst/>
                        </a:prstGeom>
                        <a:solidFill>
                          <a:srgbClr val="FFFFFF"/>
                        </a:solidFill>
                        <a:ln w="3175">
                          <a:solidFill>
                            <a:srgbClr val="000000"/>
                          </a:solidFill>
                          <a:miter lim="800000"/>
                          <a:headEnd/>
                          <a:tailEnd/>
                        </a:ln>
                      </wps:spPr>
                      <wps:txbx>
                        <w:txbxContent>
                          <w:p w:rsidR="001B6928" w:rsidRDefault="001B6928" w:rsidP="000035AC">
                            <w:pPr>
                              <w:spacing w:after="0"/>
                              <w:ind w:firstLine="0"/>
                              <w:jc w:val="center"/>
                              <w:rPr>
                                <w:rFonts w:ascii="Arial" w:hAnsi="Arial" w:cs="Arial"/>
                                <w:sz w:val="16"/>
                                <w:szCs w:val="16"/>
                                <w:lang w:val="es-ES"/>
                              </w:rPr>
                            </w:pPr>
                          </w:p>
                          <w:p w:rsidR="001B6928" w:rsidRPr="000035AC" w:rsidRDefault="001B6928" w:rsidP="000035AC">
                            <w:pPr>
                              <w:spacing w:after="0"/>
                              <w:ind w:firstLine="0"/>
                              <w:jc w:val="center"/>
                              <w:rPr>
                                <w:rFonts w:ascii="Arial" w:hAnsi="Arial" w:cs="Arial"/>
                                <w:sz w:val="16"/>
                                <w:szCs w:val="16"/>
                                <w:lang w:val="es-ES"/>
                              </w:rPr>
                            </w:pPr>
                            <w:r w:rsidRPr="000035AC">
                              <w:rPr>
                                <w:rFonts w:ascii="Arial" w:hAnsi="Arial" w:cs="Arial"/>
                                <w:sz w:val="16"/>
                                <w:szCs w:val="16"/>
                                <w:lang w:val="es-ES"/>
                              </w:rPr>
                              <w:t>Concejos: 346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2CE8ED2" id="Rectangle 16" o:spid="_x0000_s1030" style="position:absolute;left:0;text-align:left;margin-left:373.3pt;margin-top:.7pt;width:66.3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2KLIwIAAE8EAAAOAAAAZHJzL2Uyb0RvYy54bWysVF1v0zAUfUfiP1h+p0nK1m1R02nqKEIa&#10;MDH4AY7jJBb+4tptWn79rp22ZMATIg+Wr319fO4511ne7rUiOwFeWlPRYpZTIgy3jTRdRb993by5&#10;psQHZhqmrBEVPQhPb1evXy0HV4q57a1qBBAEMb4cXEX7EFyZZZ73QjM/s04Y3GwtaBYwhC5rgA2I&#10;rlU2z/NFNlhoHFguvMfV+3GTrhJ+2woePretF4GoiiK3kEZIYx3HbLVkZQfM9ZIfabB/YKGZNHjp&#10;GeqeBUa2IP+A0pKD9bYNM251ZttWcpFqwGqK/LdqnnrmRKoFxfHuLJP/f7D80+4RiGzQuxtKDNPo&#10;0RdUjZlOCVIsokCD8yXmPblHiCV692D5d0+MXfeYJu4A7NAL1iCtIuZnLw7EwONRUg8fbYPwbBts&#10;0mrfgo6AqALZJ0sOZ0vEPhCOi9cXURdKOG69XdxcXiXLMlaeDjvw4b2wmsRJRQG5J3C2e/AhkmHl&#10;KSWRt0o2G6lUCqCr1wrIjmF3bNKX+GON0zRlyIC3F1eXCfnFnp9C5On7G4SWAdtcSY0VnZNYGVV7&#10;Z5rUhIFJNc6RsjJHGaNyowNhX++TURcnT2rbHFBXsGNX4yvESW/hJyUDdnRF/Y8tA0GJ+mCiN/Or&#10;PD6BaQDToJ4GzHCEqmigZJyuw/hstg5k1+NNRVLD2Dv0s5VJ6+j1yOpIH7s2WXB8YfFZTOOU9es/&#10;sHoGAAD//wMAUEsDBBQABgAIAAAAIQDfiYfw3AAAAAgBAAAPAAAAZHJzL2Rvd25yZXYueG1sTI/B&#10;TsMwEETvSPyDtUjcqNMS0iSNU6FKCHEkQM9OvE0iYjvYbmP+nuUEx9Ubzbyt9lFP7ILOj9YIWK8S&#10;YGg6q0bTC3h/e7rLgfkgjZKTNSjgGz3s6+urSpbKLuYVL03oGZUYX0oBQwhzybnvBtTSr+yMhtjJ&#10;Oi0Dna7nysmFyvXEN0mScS1HQwuDnPEwYPfZnLWAL1kcF7w/xY+Yp27dPjcvuj0IcXsTH3fAAsbw&#10;F4ZffVKHmpxaezbKs0nANs0yihJIgRHPt8UGWCvgociA1xX//0D9AwAA//8DAFBLAQItABQABgAI&#10;AAAAIQC2gziS/gAAAOEBAAATAAAAAAAAAAAAAAAAAAAAAABbQ29udGVudF9UeXBlc10ueG1sUEsB&#10;Ai0AFAAGAAgAAAAhADj9If/WAAAAlAEAAAsAAAAAAAAAAAAAAAAALwEAAF9yZWxzLy5yZWxzUEsB&#10;Ai0AFAAGAAgAAAAhAGO/YosjAgAATwQAAA4AAAAAAAAAAAAAAAAALgIAAGRycy9lMm9Eb2MueG1s&#10;UEsBAi0AFAAGAAgAAAAhAN+Jh/DcAAAACAEAAA8AAAAAAAAAAAAAAAAAfQQAAGRycy9kb3ducmV2&#10;LnhtbFBLBQYAAAAABAAEAPMAAACGBQAAAAA=&#10;" strokeweight=".25pt">
                <v:textbox inset="1pt,1pt,1pt,1pt">
                  <w:txbxContent>
                    <w:p w:rsidR="001B6928" w:rsidRDefault="001B6928" w:rsidP="000035AC">
                      <w:pPr>
                        <w:spacing w:after="0"/>
                        <w:ind w:firstLine="0"/>
                        <w:jc w:val="center"/>
                        <w:rPr>
                          <w:rFonts w:ascii="Arial" w:hAnsi="Arial" w:cs="Arial"/>
                          <w:sz w:val="16"/>
                          <w:szCs w:val="16"/>
                          <w:lang w:val="es-ES"/>
                        </w:rPr>
                      </w:pPr>
                    </w:p>
                    <w:p w:rsidR="001B6928" w:rsidRPr="000035AC" w:rsidRDefault="001B6928" w:rsidP="000035AC">
                      <w:pPr>
                        <w:spacing w:after="0"/>
                        <w:ind w:firstLine="0"/>
                        <w:jc w:val="center"/>
                        <w:rPr>
                          <w:rFonts w:ascii="Arial" w:hAnsi="Arial" w:cs="Arial"/>
                          <w:sz w:val="16"/>
                          <w:szCs w:val="16"/>
                          <w:lang w:val="es-ES"/>
                        </w:rPr>
                      </w:pPr>
                      <w:r w:rsidRPr="000035AC">
                        <w:rPr>
                          <w:rFonts w:ascii="Arial" w:hAnsi="Arial" w:cs="Arial"/>
                          <w:sz w:val="16"/>
                          <w:szCs w:val="16"/>
                          <w:lang w:val="es-ES"/>
                        </w:rPr>
                        <w:t>Concejos: 346</w:t>
                      </w:r>
                    </w:p>
                  </w:txbxContent>
                </v:textbox>
              </v:rect>
            </w:pict>
          </mc:Fallback>
        </mc:AlternateContent>
      </w:r>
    </w:p>
    <w:p w:rsidR="001049D6" w:rsidRPr="005A760B" w:rsidRDefault="001049D6" w:rsidP="001049D6">
      <w:pPr>
        <w:tabs>
          <w:tab w:val="center" w:pos="2835"/>
          <w:tab w:val="center" w:pos="3969"/>
          <w:tab w:val="center" w:pos="5103"/>
          <w:tab w:val="center" w:pos="6237"/>
          <w:tab w:val="center" w:pos="7371"/>
        </w:tabs>
        <w:suppressAutoHyphens/>
        <w:ind w:left="-378" w:firstLine="284"/>
        <w:rPr>
          <w:rFonts w:ascii="Gill Sans MT" w:hAnsi="Gill Sans MT"/>
          <w:spacing w:val="6"/>
          <w:sz w:val="26"/>
          <w:szCs w:val="24"/>
          <w:highlight w:val="yellow"/>
        </w:rPr>
      </w:pPr>
    </w:p>
    <w:p w:rsidR="001049D6" w:rsidRPr="005A760B" w:rsidRDefault="001049D6" w:rsidP="001049D6">
      <w:pPr>
        <w:tabs>
          <w:tab w:val="center" w:pos="2835"/>
          <w:tab w:val="center" w:pos="3969"/>
          <w:tab w:val="center" w:pos="5103"/>
          <w:tab w:val="center" w:pos="6237"/>
          <w:tab w:val="center" w:pos="7371"/>
        </w:tabs>
        <w:suppressAutoHyphens/>
        <w:ind w:left="-378" w:firstLine="284"/>
        <w:rPr>
          <w:rFonts w:ascii="Gill Sans MT" w:hAnsi="Gill Sans MT"/>
          <w:spacing w:val="6"/>
          <w:sz w:val="26"/>
          <w:szCs w:val="24"/>
          <w:highlight w:val="yellow"/>
        </w:rPr>
      </w:pPr>
      <w:r w:rsidRPr="005A760B">
        <w:rPr>
          <w:noProof/>
          <w:lang w:val="es-ES" w:eastAsia="es-ES"/>
        </w:rPr>
        <mc:AlternateContent>
          <mc:Choice Requires="wps">
            <w:drawing>
              <wp:anchor distT="0" distB="0" distL="114300" distR="114300" simplePos="0" relativeHeight="251663360" behindDoc="0" locked="0" layoutInCell="1" allowOverlap="1" wp14:anchorId="17694289" wp14:editId="3C2A2D14">
                <wp:simplePos x="0" y="0"/>
                <wp:positionH relativeFrom="column">
                  <wp:posOffset>61595</wp:posOffset>
                </wp:positionH>
                <wp:positionV relativeFrom="paragraph">
                  <wp:posOffset>144780</wp:posOffset>
                </wp:positionV>
                <wp:extent cx="1433195" cy="623570"/>
                <wp:effectExtent l="0" t="0" r="14605" b="2413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623570"/>
                        </a:xfrm>
                        <a:prstGeom prst="rect">
                          <a:avLst/>
                        </a:prstGeom>
                        <a:solidFill>
                          <a:srgbClr val="FFFFFF"/>
                        </a:solidFill>
                        <a:ln w="3175">
                          <a:solidFill>
                            <a:srgbClr val="000000"/>
                          </a:solidFill>
                          <a:miter lim="800000"/>
                          <a:headEnd/>
                          <a:tailEnd/>
                        </a:ln>
                      </wps:spPr>
                      <wps:txbx>
                        <w:txbxContent>
                          <w:p w:rsidR="001B6928" w:rsidRPr="000035AC" w:rsidRDefault="001B6928" w:rsidP="00BA119D">
                            <w:pPr>
                              <w:spacing w:before="80" w:after="0"/>
                              <w:ind w:firstLine="0"/>
                              <w:jc w:val="center"/>
                              <w:rPr>
                                <w:rFonts w:ascii="Arial" w:hAnsi="Arial" w:cs="Arial"/>
                                <w:sz w:val="16"/>
                                <w:szCs w:val="16"/>
                                <w:lang w:val="es-ES"/>
                              </w:rPr>
                            </w:pPr>
                            <w:r w:rsidRPr="000035AC">
                              <w:rPr>
                                <w:rFonts w:ascii="Arial" w:hAnsi="Arial" w:cs="Arial"/>
                                <w:sz w:val="16"/>
                                <w:szCs w:val="16"/>
                                <w:lang w:val="es-ES"/>
                              </w:rPr>
                              <w:t>Organismos autónomos: 57</w:t>
                            </w:r>
                          </w:p>
                          <w:p w:rsidR="001B6928" w:rsidRPr="000035AC" w:rsidRDefault="001B6928" w:rsidP="000035AC">
                            <w:pPr>
                              <w:spacing w:after="0"/>
                              <w:ind w:firstLine="0"/>
                              <w:jc w:val="center"/>
                              <w:rPr>
                                <w:rFonts w:ascii="Arial" w:hAnsi="Arial" w:cs="Arial"/>
                                <w:sz w:val="16"/>
                                <w:szCs w:val="16"/>
                                <w:lang w:val="es-ES"/>
                              </w:rPr>
                            </w:pPr>
                            <w:r w:rsidRPr="000035AC">
                              <w:rPr>
                                <w:rFonts w:ascii="Arial" w:hAnsi="Arial" w:cs="Arial"/>
                                <w:sz w:val="16"/>
                                <w:szCs w:val="16"/>
                                <w:lang w:val="es-ES"/>
                              </w:rPr>
                              <w:t>Sociedades mercantiles: 49</w:t>
                            </w:r>
                          </w:p>
                          <w:p w:rsidR="001B6928" w:rsidRPr="000035AC" w:rsidRDefault="001B6928" w:rsidP="000035AC">
                            <w:pPr>
                              <w:spacing w:after="0"/>
                              <w:ind w:firstLine="0"/>
                              <w:jc w:val="center"/>
                              <w:rPr>
                                <w:rFonts w:ascii="Arial" w:hAnsi="Arial" w:cs="Arial"/>
                                <w:sz w:val="16"/>
                                <w:szCs w:val="16"/>
                                <w:lang w:val="es-ES"/>
                              </w:rPr>
                            </w:pPr>
                            <w:r w:rsidRPr="000035AC">
                              <w:rPr>
                                <w:rFonts w:ascii="Arial" w:hAnsi="Arial" w:cs="Arial"/>
                                <w:sz w:val="16"/>
                                <w:szCs w:val="16"/>
                                <w:lang w:val="es-ES"/>
                              </w:rPr>
                              <w:t>Fundaciones: 8</w:t>
                            </w:r>
                          </w:p>
                          <w:p w:rsidR="001B6928" w:rsidRPr="000035AC" w:rsidRDefault="001B6928" w:rsidP="000035AC">
                            <w:pPr>
                              <w:spacing w:after="0"/>
                              <w:ind w:firstLine="0"/>
                              <w:jc w:val="center"/>
                              <w:rPr>
                                <w:rFonts w:ascii="Arial" w:hAnsi="Arial" w:cs="Arial"/>
                                <w:sz w:val="16"/>
                                <w:szCs w:val="16"/>
                                <w:lang w:val="es-ES"/>
                              </w:rPr>
                            </w:pPr>
                            <w:r w:rsidRPr="000035AC">
                              <w:rPr>
                                <w:rFonts w:ascii="Arial" w:hAnsi="Arial" w:cs="Arial"/>
                                <w:sz w:val="16"/>
                                <w:szCs w:val="16"/>
                                <w:lang w:val="es-ES"/>
                              </w:rPr>
                              <w:t>Consorcios: 17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7694289" id="Rectangle 19" o:spid="_x0000_s1031" style="position:absolute;left:0;text-align:left;margin-left:4.85pt;margin-top:11.4pt;width:112.85pt;height:4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2FgJwIAAFAEAAAOAAAAZHJzL2Uyb0RvYy54bWysVMGO0zAQvSPxD5bvNElLt7tR09WqSxHS&#10;AisWPsBxnMTCsc3YbVK+fsdOW7LACZGD5YnHL2/em8n6dugUOQhw0uiCZrOUEqG5qaRuCvrt6+7N&#10;NSXOM10xZbQo6FE4ert5/Wrd21zMTWtUJYAgiHZ5bwvaem/zJHG8FR1zM2OFxsPaQMc8htAkFbAe&#10;0TuVzNP0KukNVBYMF87h2/vxkG4ifl0L7j/XtROeqIIiNx9XiGsZ1mSzZnkDzLaSn2iwf2DRManx&#10;oxeoe+YZ2YP8A6qTHIwztZ9x0yWmriUXsQasJkt/q+apZVbEWlAcZy8yuf8Hyz8dHoHICr1DeTTr&#10;0KMvqBrTjRIkuwkC9dblmPdkHyGU6OyD4d8d0WbbYpq4AzB9K1iFtLKQn7y4EAKHV0nZfzQVwrO9&#10;N1GroYYuAKIKZIiWHC+WiMETji+zt4tFdrOkhOPZ1XyxXEXPEpafb1tw/r0wHQmbggKSj+js8OB8&#10;YMPyc0pkb5SsdlKpGEBTbhWQA8P22MUnFoBFTtOUJn1BF9lqGZFfnLkpRBqfv0F00mOfK9kV9PqS&#10;xPIg2ztdxS70TKpxj5SVPukYpBst8EM5RKeWZ1NKUx1RWDBjW+MY4qY18JOSHlu6oO7HnoGgRH3Q&#10;wZz5Kg0zMA1gGpTTgGmOUAX1lIzbrR/nZm9BNi1+KYtqaHOHhtYyah3MHlmd6GPbRgtOIxbmYhrH&#10;rF8/gs0zAAAA//8DAFBLAwQUAAYACAAAACEAgDsUn9wAAAAIAQAADwAAAGRycy9kb3ducmV2Lnht&#10;bEyPwU7DMBBE70j8g7VI3KgTt9A2xKlQJYQ4EqBnJ94mEbEdbLcxf89yosfVPM2+KXfJjOyMPgzO&#10;SsgXGTC0rdOD7SR8vD/fbYCFqKxWo7Mo4QcD7Krrq1IV2s32Dc917BiV2FAoCX2MU8F5aHs0Kizc&#10;hJayo/NGRTp9x7VXM5WbkYsse+BGDZY+9GrCfY/tV30yEr7V9jDj8pg+02bl8+alfjXNXsrbm/T0&#10;CCxiiv8w/OmTOlTk1LiT1YGNErZrAiUIQQMoFsv7FbCGOJFnwKuSXw6ofgEAAP//AwBQSwECLQAU&#10;AAYACAAAACEAtoM4kv4AAADhAQAAEwAAAAAAAAAAAAAAAAAAAAAAW0NvbnRlbnRfVHlwZXNdLnht&#10;bFBLAQItABQABgAIAAAAIQA4/SH/1gAAAJQBAAALAAAAAAAAAAAAAAAAAC8BAABfcmVscy8ucmVs&#10;c1BLAQItABQABgAIAAAAIQD6s2FgJwIAAFAEAAAOAAAAAAAAAAAAAAAAAC4CAABkcnMvZTJvRG9j&#10;LnhtbFBLAQItABQABgAIAAAAIQCAOxSf3AAAAAgBAAAPAAAAAAAAAAAAAAAAAIEEAABkcnMvZG93&#10;bnJldi54bWxQSwUGAAAAAAQABADzAAAAigUAAAAA&#10;" strokeweight=".25pt">
                <v:textbox inset="1pt,1pt,1pt,1pt">
                  <w:txbxContent>
                    <w:p w:rsidR="001B6928" w:rsidRPr="000035AC" w:rsidRDefault="001B6928" w:rsidP="00BA119D">
                      <w:pPr>
                        <w:spacing w:before="80" w:after="0"/>
                        <w:ind w:firstLine="0"/>
                        <w:jc w:val="center"/>
                        <w:rPr>
                          <w:rFonts w:ascii="Arial" w:hAnsi="Arial" w:cs="Arial"/>
                          <w:sz w:val="16"/>
                          <w:szCs w:val="16"/>
                          <w:lang w:val="es-ES"/>
                        </w:rPr>
                      </w:pPr>
                      <w:r w:rsidRPr="000035AC">
                        <w:rPr>
                          <w:rFonts w:ascii="Arial" w:hAnsi="Arial" w:cs="Arial"/>
                          <w:sz w:val="16"/>
                          <w:szCs w:val="16"/>
                          <w:lang w:val="es-ES"/>
                        </w:rPr>
                        <w:t>Organismos autónomos: 57</w:t>
                      </w:r>
                    </w:p>
                    <w:p w:rsidR="001B6928" w:rsidRPr="000035AC" w:rsidRDefault="001B6928" w:rsidP="000035AC">
                      <w:pPr>
                        <w:spacing w:after="0"/>
                        <w:ind w:firstLine="0"/>
                        <w:jc w:val="center"/>
                        <w:rPr>
                          <w:rFonts w:ascii="Arial" w:hAnsi="Arial" w:cs="Arial"/>
                          <w:sz w:val="16"/>
                          <w:szCs w:val="16"/>
                          <w:lang w:val="es-ES"/>
                        </w:rPr>
                      </w:pPr>
                      <w:r w:rsidRPr="000035AC">
                        <w:rPr>
                          <w:rFonts w:ascii="Arial" w:hAnsi="Arial" w:cs="Arial"/>
                          <w:sz w:val="16"/>
                          <w:szCs w:val="16"/>
                          <w:lang w:val="es-ES"/>
                        </w:rPr>
                        <w:t>Sociedades mercantiles: 49</w:t>
                      </w:r>
                    </w:p>
                    <w:p w:rsidR="001B6928" w:rsidRPr="000035AC" w:rsidRDefault="001B6928" w:rsidP="000035AC">
                      <w:pPr>
                        <w:spacing w:after="0"/>
                        <w:ind w:firstLine="0"/>
                        <w:jc w:val="center"/>
                        <w:rPr>
                          <w:rFonts w:ascii="Arial" w:hAnsi="Arial" w:cs="Arial"/>
                          <w:sz w:val="16"/>
                          <w:szCs w:val="16"/>
                          <w:lang w:val="es-ES"/>
                        </w:rPr>
                      </w:pPr>
                      <w:r w:rsidRPr="000035AC">
                        <w:rPr>
                          <w:rFonts w:ascii="Arial" w:hAnsi="Arial" w:cs="Arial"/>
                          <w:sz w:val="16"/>
                          <w:szCs w:val="16"/>
                          <w:lang w:val="es-ES"/>
                        </w:rPr>
                        <w:t>Fundaciones: 8</w:t>
                      </w:r>
                    </w:p>
                    <w:p w:rsidR="001B6928" w:rsidRPr="000035AC" w:rsidRDefault="001B6928" w:rsidP="000035AC">
                      <w:pPr>
                        <w:spacing w:after="0"/>
                        <w:ind w:firstLine="0"/>
                        <w:jc w:val="center"/>
                        <w:rPr>
                          <w:rFonts w:ascii="Arial" w:hAnsi="Arial" w:cs="Arial"/>
                          <w:sz w:val="16"/>
                          <w:szCs w:val="16"/>
                          <w:lang w:val="es-ES"/>
                        </w:rPr>
                      </w:pPr>
                      <w:r w:rsidRPr="000035AC">
                        <w:rPr>
                          <w:rFonts w:ascii="Arial" w:hAnsi="Arial" w:cs="Arial"/>
                          <w:sz w:val="16"/>
                          <w:szCs w:val="16"/>
                          <w:lang w:val="es-ES"/>
                        </w:rPr>
                        <w:t>Consorcios: 17</w:t>
                      </w:r>
                    </w:p>
                  </w:txbxContent>
                </v:textbox>
              </v:rect>
            </w:pict>
          </mc:Fallback>
        </mc:AlternateContent>
      </w:r>
      <w:r w:rsidRPr="005A760B">
        <w:rPr>
          <w:noProof/>
          <w:lang w:val="es-ES" w:eastAsia="es-ES"/>
        </w:rPr>
        <mc:AlternateContent>
          <mc:Choice Requires="wps">
            <w:drawing>
              <wp:anchor distT="4294967295" distB="4294967295" distL="114300" distR="114300" simplePos="0" relativeHeight="251653120" behindDoc="0" locked="0" layoutInCell="1" allowOverlap="1" wp14:anchorId="391031A8" wp14:editId="3D4DC842">
                <wp:simplePos x="0" y="0"/>
                <wp:positionH relativeFrom="column">
                  <wp:posOffset>2292350</wp:posOffset>
                </wp:positionH>
                <wp:positionV relativeFrom="paragraph">
                  <wp:posOffset>2540</wp:posOffset>
                </wp:positionV>
                <wp:extent cx="1560830" cy="5080"/>
                <wp:effectExtent l="0" t="0" r="20320" b="3302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0830" cy="508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432C1F4" id="Line 14" o:spid="_x0000_s1026" style="position:absolute;flip:y;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5pt,.2pt" to="303.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p3MgIAAG8EAAAOAAAAZHJzL2Uyb0RvYy54bWysVMGO2jAQvVfqP1i+QxIINBsRVlUCvdAW&#10;abe9G9shVh3bsg0BVf33jg3L7raHVlU5GDvz5mXezHMW96deoiO3TmhV4WycYsQV1UyofYW/PK5H&#10;BUbOE8WI1IpX+Mwdvl++fbMYTMknutOScYuARLlyMBXuvDdlkjja8Z64sTZcQbDVticejnafMEsG&#10;YO9lMknTeTJoy4zVlDsHT5tLEC8jf9ty6j+3reMeyQpDbT6uNq67sCbLBSn3lphO0GsZ5B+q6IlQ&#10;8NIbVUM8QQcrfqPqBbXa6daPqe4T3baC8qgB1GTpL2oeOmJ41ALNcebWJvf/aOmn49YiwWB2E4wU&#10;6WFGG6E4yvLQm8G4EiC12tqgjp7Ug9lo+s0hpeuOqD2PNT6eDeRlISN5lRIOzsAbdsNHzQBDDl7H&#10;Rp1a26NWCvM1JAZyaAY6xcmcb5PhJ48oPMxm87SYwgApxGZpEQeXkDKwhFxjnf/AdY/CpsISFERO&#10;ctw4H6p6hgS40mshZZy9VGio8DR7N4sJTkvBQjDAnN3vamnRkQT3xF+UCJGXMKsPikWyjhO2Ugz5&#10;2A8FjseB3fUYSQ73AzYR54mQf8ZB0VKFOqALIOO6u9jq+116typWRT7KJ/PVKE+bZvR+Xeej+Rqk&#10;NNOmrpvsR5CU5WUnGOMqqHqyeJb/nYWul+1izpvJb+1LXrPHPkOxT/+x6GiI4IGLm3aanbc2jCR4&#10;A1wdwdcbGK7Ny3NEPX8nlj8BAAD//wMAUEsDBBQABgAIAAAAIQABr3bF3AAAAAYBAAAPAAAAZHJz&#10;L2Rvd25yZXYueG1sTI/BTsMwEETvSPyDtZW4UbuhilCIUxUoJwRSW9SzEy9JVHsdxW4b+HqWExxH&#10;M5p5U64m78QZx9gH0rCYKxBITbA9tRo+9i+39yBiMmSNC4QavjDCqrq+Kk1hw4W2eN6lVnAJxcJo&#10;6FIaCilj06E3cR4GJPY+w+hNYjm20o7mwuXeyUypXHrTEy90ZsCnDpvj7uQ1vG7U8+P+vW7xDb+z&#10;Te8Oy8Mx0/pmNq0fQCSc0l8YfvEZHSpmqsOJbBROw12+4C9JwxIE27nK+UnNuQxkVcr/+NUPAAAA&#10;//8DAFBLAQItABQABgAIAAAAIQC2gziS/gAAAOEBAAATAAAAAAAAAAAAAAAAAAAAAABbQ29udGVu&#10;dF9UeXBlc10ueG1sUEsBAi0AFAAGAAgAAAAhADj9If/WAAAAlAEAAAsAAAAAAAAAAAAAAAAALwEA&#10;AF9yZWxzLy5yZWxzUEsBAi0AFAAGAAgAAAAhALCQ2ncyAgAAbwQAAA4AAAAAAAAAAAAAAAAALgIA&#10;AGRycy9lMm9Eb2MueG1sUEsBAi0AFAAGAAgAAAAhAAGvdsXcAAAABgEAAA8AAAAAAAAAAAAAAAAA&#10;jAQAAGRycy9kb3ducmV2LnhtbFBLBQYAAAAABAAEAPMAAACVBQAAAAA=&#10;" strokeweight=".25pt">
                <v:stroke startarrowwidth="narrow" startarrowlength="short" endarrowwidth="narrow" endarrowlength="short"/>
              </v:line>
            </w:pict>
          </mc:Fallback>
        </mc:AlternateContent>
      </w:r>
      <w:r w:rsidRPr="005A760B">
        <w:rPr>
          <w:noProof/>
          <w:lang w:val="es-ES" w:eastAsia="es-ES"/>
        </w:rPr>
        <mc:AlternateContent>
          <mc:Choice Requires="wps">
            <w:drawing>
              <wp:anchor distT="0" distB="0" distL="114300" distR="114300" simplePos="0" relativeHeight="251642880" behindDoc="0" locked="0" layoutInCell="1" allowOverlap="1" wp14:anchorId="6C0857BA" wp14:editId="171A6CEA">
                <wp:simplePos x="0" y="0"/>
                <wp:positionH relativeFrom="column">
                  <wp:posOffset>2290445</wp:posOffset>
                </wp:positionH>
                <wp:positionV relativeFrom="paragraph">
                  <wp:posOffset>7620</wp:posOffset>
                </wp:positionV>
                <wp:extent cx="0" cy="859790"/>
                <wp:effectExtent l="0" t="0" r="19050" b="16510"/>
                <wp:wrapNone/>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5979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CD45403" id="Line 22"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6pt" to="180.3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FHLwIAAGsEAAAOAAAAZHJzL2Uyb0RvYy54bWysVF1v2jAUfZ+0/2D5HfLRlEJEqKYEtgfW&#10;IbX7AcZ2iDXHtmxDQNP++64Npe32sGlaHhx/nHtyz73Hmd8fe4kO3DqhVYWzcYoRV1QzoXYV/vq0&#10;Gk0xcp4oRqRWvMIn7vD94v27+WBKnutOS8YtAhLlysFUuPPelEniaMd74sbacAWHrbY98bC0u4RZ&#10;MgB7L5M8TSfJoC0zVlPuHOw250O8iPxty6n/0raOeyQrDLn5ONo4bsOYLOak3FliOkEvaZB/yKIn&#10;QsFHr1QN8QTtrfiNqhfUaqdbP6a6T3TbCsqjBlCTpb+oeeyI4VELFMeZa5nc/6OlD4eNRYJVOJ9h&#10;pEgPPVoLxVGeh9oMxpUAqdXGBnX0qB7NWtNvDildd0TteMzx6WQgLgsRyZuQsHAGvrAdPmsGGLL3&#10;Ohbq2NoetVKYTyEwkEMx0DF25nTtDD96RM+bFHant7O7WWxaQsrAEOKMdf4j1z0KkwpLyD7ykcPa&#10;+ZDRCyTAlV4JKWPfpUJDhW+yu9sY4LQULBwGmLO7bS0tOpDgnPhEeXDyGmb1XrFI1nHCloohH2uh&#10;wO04sLseI8nhbsAk4jwR8s84SFqqkAdUAGRcZmdLfZ+ls+V0OS1GRT5Zjoq0aUYfVnUxmqxASnPT&#10;1HWT/QiSsqLsBGNcBVXP9s6Kv7PP5aKdjXk1+LV8yVv2WGdI9vkdk45mCP0/O2mr2WljQ0uCL8DR&#10;EXy5feHKvF5H1Ms/YvETAAD//wMAUEsDBBQABgAIAAAAIQCt7X3c3AAAAAkBAAAPAAAAZHJzL2Rv&#10;d25yZXYueG1sTI/LTsMwEEX3SPyDNUjsqN0UBRTiVDzKCoFEi7p24mkS1R5HsdsGvp5BLGB5dK/u&#10;nCmXk3fiiGPsA2mYzxQIpCbYnloNH5vnq1sQMRmyxgVCDZ8YYVmdn5WmsOFE73hcp1bwCMXCaOhS&#10;GgopY9OhN3EWBiTOdmH0JjGOrbSjOfG4dzJTKpfe9MQXOjPgY4fNfn3wGl5W6ulh81a3+Ipf2ap3&#10;2+vtPtP68mK6vwORcEp/ZfjRZ3Wo2KkOB7JROA2LXN1wlYMMBOe/XDMv8hxkVcr/H1TfAAAA//8D&#10;AFBLAQItABQABgAIAAAAIQC2gziS/gAAAOEBAAATAAAAAAAAAAAAAAAAAAAAAABbQ29udGVudF9U&#10;eXBlc10ueG1sUEsBAi0AFAAGAAgAAAAhADj9If/WAAAAlAEAAAsAAAAAAAAAAAAAAAAALwEAAF9y&#10;ZWxzLy5yZWxzUEsBAi0AFAAGAAgAAAAhAJ1msUcvAgAAawQAAA4AAAAAAAAAAAAAAAAALgIAAGRy&#10;cy9lMm9Eb2MueG1sUEsBAi0AFAAGAAgAAAAhAK3tfdzcAAAACQEAAA8AAAAAAAAAAAAAAAAAiQQA&#10;AGRycy9kb3ducmV2LnhtbFBLBQYAAAAABAAEAPMAAACSBQAAAAA=&#10;" strokeweight=".25pt">
                <v:stroke startarrowwidth="narrow" startarrowlength="short" endarrowwidth="narrow" endarrowlength="short"/>
              </v:line>
            </w:pict>
          </mc:Fallback>
        </mc:AlternateContent>
      </w:r>
      <w:r w:rsidRPr="005A760B">
        <w:rPr>
          <w:noProof/>
          <w:lang w:val="es-ES" w:eastAsia="es-ES"/>
        </w:rPr>
        <mc:AlternateContent>
          <mc:Choice Requires="wps">
            <w:drawing>
              <wp:anchor distT="0" distB="0" distL="114300" distR="114300" simplePos="0" relativeHeight="251667456" behindDoc="0" locked="0" layoutInCell="1" allowOverlap="1" wp14:anchorId="6BD107AD" wp14:editId="4D205A4E">
                <wp:simplePos x="0" y="0"/>
                <wp:positionH relativeFrom="column">
                  <wp:posOffset>3848735</wp:posOffset>
                </wp:positionH>
                <wp:positionV relativeFrom="paragraph">
                  <wp:posOffset>4445</wp:posOffset>
                </wp:positionV>
                <wp:extent cx="6350" cy="409575"/>
                <wp:effectExtent l="0" t="0" r="31750" b="28575"/>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0957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DEE968B" id="Line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35pt" to="303.5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KgKQIAAGQEAAAOAAAAZHJzL2Uyb0RvYy54bWysVMuu2jAQ3VfqP1jeQxIIFCLCVZVAN7QX&#10;6d5+gLEdYtWxLdsQUNV/79g8WtpFq6pZOHZmfHzOzHEWT6dOoiO3TmhV4myYYsQV1UyofYk/v64H&#10;M4ycJ4oRqRUv8Zk7/LR8+2bRm4KPdKsl4xYBiHJFb0rcem+KJHG05R1xQ224gmCjbUc8LO0+YZb0&#10;gN7JZJSm06TXlhmrKXcOvtaXIF5G/Kbh1D83jeMeyRIDNx9HG8ddGJPlghR7S0wr6JUG+QcWHREK&#10;Dr1D1cQTdLDiN6hOUKudbvyQ6i7RTSMojxpATZb+oualJYZHLVAcZ+5lcv8Pln46bi0SDHo3wUiR&#10;Dnq0EYqj0SjUpjeugJRKbW1QR0/qxWw0/eKQ0lVL1J5Hjq9nA/uysCN52BIWzsAJu/6jZpBDDl7H&#10;Qp0a2wVIKAE6xX6c7/3gJ48ofJyOJ9AzCoE8nU/eTSI+KW5bjXX+A9cdCpMSS6Adoclx43ygQopb&#10;SjhJ6bWQMjZcKtSXeJwBZIg4LQULwbiw+10lLTqSYJn4XM99SLP6oFgEazlhK8WQj0VQYHMc0F2H&#10;keRwKWAS8zwR8s95QFqqwAOKADKus4uXvs7T+Wq2muWDfDRdDfK0rgfv11U+mK5BSj2uq6rOvgVJ&#10;WV60gjGugqqbr7P873xzvWEXR96dfS9f8oge6wxkb+9IOrogNP5ioZ1m560NLQmGACvH5Ou1C3fl&#10;53XM+vFzWH4HAAD//wMAUEsDBBQABgAIAAAAIQDAHatu3AAAAAcBAAAPAAAAZHJzL2Rvd25yZXYu&#10;eG1sTI5LS8RAEITvgv9haMGLuDMbMKsxk2VRBMHTPg4eO5k2Cc4jzMzuRn+97UlvVVRR9dXr2Vlx&#10;opjG4DUsFwoE+S6Y0fcaDvuX23sQKaM3aIMnDV+UYN1cXtRYmXD2Wzrtci94xKcKNQw5T5WUqRvI&#10;YVqEiTxnHyE6zGxjL03EM487KwulSulw9Pww4ERPA3Wfu6PTUExmxO+Hvn2225vN/v01mkN80/r6&#10;at48gsg0578y/OIzOjTM1IajN0lYDaUql1zVsALBcalWbFsWdwXIppb/+ZsfAAAA//8DAFBLAQIt&#10;ABQABgAIAAAAIQC2gziS/gAAAOEBAAATAAAAAAAAAAAAAAAAAAAAAABbQ29udGVudF9UeXBlc10u&#10;eG1sUEsBAi0AFAAGAAgAAAAhADj9If/WAAAAlAEAAAsAAAAAAAAAAAAAAAAALwEAAF9yZWxzLy5y&#10;ZWxzUEsBAi0AFAAGAAgAAAAhAItmUqApAgAAZAQAAA4AAAAAAAAAAAAAAAAALgIAAGRycy9lMm9E&#10;b2MueG1sUEsBAi0AFAAGAAgAAAAhAMAdq27cAAAABwEAAA8AAAAAAAAAAAAAAAAAgwQAAGRycy9k&#10;b3ducmV2LnhtbFBLBQYAAAAABAAEAPMAAACMBQAAAAA=&#10;" strokeweight=".25pt">
                <v:stroke startarrowwidth="narrow" startarrowlength="short" endarrowwidth="narrow" endarrowlength="short"/>
              </v:line>
            </w:pict>
          </mc:Fallback>
        </mc:AlternateContent>
      </w:r>
      <w:r w:rsidRPr="005A760B">
        <w:rPr>
          <w:noProof/>
          <w:lang w:val="es-ES" w:eastAsia="es-ES"/>
        </w:rPr>
        <mc:AlternateContent>
          <mc:Choice Requires="wps">
            <w:drawing>
              <wp:anchor distT="0" distB="0" distL="114300" distR="114300" simplePos="0" relativeHeight="251671552" behindDoc="0" locked="0" layoutInCell="1" allowOverlap="1" wp14:anchorId="6D352FE2" wp14:editId="2C7AF13B">
                <wp:simplePos x="0" y="0"/>
                <wp:positionH relativeFrom="column">
                  <wp:posOffset>3266440</wp:posOffset>
                </wp:positionH>
                <wp:positionV relativeFrom="paragraph">
                  <wp:posOffset>167005</wp:posOffset>
                </wp:positionV>
                <wp:extent cx="1229995" cy="368935"/>
                <wp:effectExtent l="0" t="0" r="27305" b="12065"/>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368935"/>
                        </a:xfrm>
                        <a:prstGeom prst="rect">
                          <a:avLst/>
                        </a:prstGeom>
                        <a:solidFill>
                          <a:srgbClr val="FFFFFF"/>
                        </a:solidFill>
                        <a:ln w="3175">
                          <a:solidFill>
                            <a:srgbClr val="000000"/>
                          </a:solidFill>
                          <a:miter lim="800000"/>
                          <a:headEnd/>
                          <a:tailEnd/>
                        </a:ln>
                      </wps:spPr>
                      <wps:txbx>
                        <w:txbxContent>
                          <w:p w:rsidR="001B6928" w:rsidRPr="00CB6AD3" w:rsidRDefault="001B6928" w:rsidP="000035AC">
                            <w:pPr>
                              <w:spacing w:after="0"/>
                              <w:ind w:firstLine="0"/>
                              <w:jc w:val="center"/>
                              <w:rPr>
                                <w:rFonts w:ascii="Arial" w:hAnsi="Arial" w:cs="Arial"/>
                                <w:sz w:val="8"/>
                                <w:szCs w:val="8"/>
                                <w:lang w:val="es-ES"/>
                              </w:rPr>
                            </w:pPr>
                          </w:p>
                          <w:p w:rsidR="001B6928" w:rsidRPr="00FF7F6B" w:rsidRDefault="001B6928" w:rsidP="000035AC">
                            <w:pPr>
                              <w:spacing w:after="0"/>
                              <w:ind w:firstLine="0"/>
                              <w:jc w:val="center"/>
                              <w:rPr>
                                <w:rFonts w:ascii="Arial" w:hAnsi="Arial" w:cs="Arial"/>
                                <w:sz w:val="16"/>
                                <w:szCs w:val="16"/>
                                <w:lang w:val="es-ES"/>
                              </w:rPr>
                            </w:pPr>
                            <w:r w:rsidRPr="00FF7F6B">
                              <w:rPr>
                                <w:rFonts w:ascii="Arial" w:hAnsi="Arial" w:cs="Arial"/>
                                <w:sz w:val="16"/>
                                <w:szCs w:val="16"/>
                                <w:lang w:val="es-ES"/>
                              </w:rPr>
                              <w:t>Agrupaciones municipios: 22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D352FE2" id="Rectangle 24" o:spid="_x0000_s1032" style="position:absolute;left:0;text-align:left;margin-left:257.2pt;margin-top:13.15pt;width:96.85pt;height:2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ihJgIAAFAEAAAOAAAAZHJzL2Uyb0RvYy54bWysVFFv0zAQfkfiP1h+p0lT2rVR02nqKEIa&#10;MDH4AY7jJBaObc5uk/HrOTtdlwFPiDxYPvv83Xff3WV7PXSKnAQ4aXRB57OUEqG5qaRuCvrt6+HN&#10;mhLnma6YMloU9FE4er17/Wrb21xkpjWqEkAQRLu8twVtvbd5kjjeio65mbFC42VtoGMeTWiSCliP&#10;6J1KsjRdJb2ByoLhwjk8vR0v6S7i17Xg/nNdO+GJKihy83GFuJZhTXZbljfAbCv5mQb7BxYdkxqD&#10;XqBumWfkCPIPqE5yMM7UfsZNl5i6llzEHDCbefpbNg8tsyLmguI4e5HJ/T9Y/ul0D0RWBV2gPJp1&#10;WKMvqBrTjRIkexsE6q3L0e/B3kNI0dk7w787os2+RTdxA2D6VrAKac2Df/LiQTAcPiVl/9FUCM+O&#10;3kSthhq6AIgqkCGW5PFSEjF4wvFwnmWbzWZJCce7xWq9WSxjCJY/vbbg/HthOhI2BQUkH9HZ6c75&#10;wIblTy6RvVGyOkilogFNuVdATgzb4xC/M7qbuilNeow+v1pG5Bd3bgqRxu9vEJ302OdKdgVdX5xY&#10;HmR7p6vYhZ5JNe6RstJnHYN0Ywn8UA6xUqsQIMhamuoRhQUztjWOIW5aAz8p6bGlC+p+HBkIStQH&#10;HYqTXaVhBqYGTI1yajDNEaqgnpJxu/fj3BwtyKbFSPOohjY3WNBaRq2fWZ3pY9vGEpxHLMzF1I5e&#10;zz+C3S8AAAD//wMAUEsDBBQABgAIAAAAIQBhERFA3QAAAAkBAAAPAAAAZHJzL2Rvd25yZXYueG1s&#10;TI/LTsMwEEX3SPyDNUjsqJM2lBDiVKgSQiwJj7UTT5OIeBxitzF/z7Ciy9E9uvdMuYt2FCec/eBI&#10;QbpKQCC1zgzUKXh/e7rJQfigyejRESr4QQ+76vKi1IVxC73iqQ6d4BLyhVbQhzAVUvq2R6v9yk1I&#10;nB3cbHXgc+6kmfXC5XaU6yTZSqsH4oVeT7jvsf2qj1bBt77/XHBziB8xz+a0ea5fbLNX6voqPj6A&#10;CBjDPwx/+qwOFTs17kjGi1HBbZpljCpYbzcgGLhL8hREoyDnQFalPP+g+gUAAP//AwBQSwECLQAU&#10;AAYACAAAACEAtoM4kv4AAADhAQAAEwAAAAAAAAAAAAAAAAAAAAAAW0NvbnRlbnRfVHlwZXNdLnht&#10;bFBLAQItABQABgAIAAAAIQA4/SH/1gAAAJQBAAALAAAAAAAAAAAAAAAAAC8BAABfcmVscy8ucmVs&#10;c1BLAQItABQABgAIAAAAIQAOQ6ihJgIAAFAEAAAOAAAAAAAAAAAAAAAAAC4CAABkcnMvZTJvRG9j&#10;LnhtbFBLAQItABQABgAIAAAAIQBhERFA3QAAAAkBAAAPAAAAAAAAAAAAAAAAAIAEAABkcnMvZG93&#10;bnJldi54bWxQSwUGAAAAAAQABADzAAAAigUAAAAA&#10;" strokeweight=".25pt">
                <v:textbox inset="1pt,1pt,1pt,1pt">
                  <w:txbxContent>
                    <w:p w:rsidR="001B6928" w:rsidRPr="00CB6AD3" w:rsidRDefault="001B6928" w:rsidP="000035AC">
                      <w:pPr>
                        <w:spacing w:after="0"/>
                        <w:ind w:firstLine="0"/>
                        <w:jc w:val="center"/>
                        <w:rPr>
                          <w:rFonts w:ascii="Arial" w:hAnsi="Arial" w:cs="Arial"/>
                          <w:sz w:val="8"/>
                          <w:szCs w:val="8"/>
                          <w:lang w:val="es-ES"/>
                        </w:rPr>
                      </w:pPr>
                    </w:p>
                    <w:p w:rsidR="001B6928" w:rsidRPr="00FF7F6B" w:rsidRDefault="001B6928" w:rsidP="000035AC">
                      <w:pPr>
                        <w:spacing w:after="0"/>
                        <w:ind w:firstLine="0"/>
                        <w:jc w:val="center"/>
                        <w:rPr>
                          <w:rFonts w:ascii="Arial" w:hAnsi="Arial" w:cs="Arial"/>
                          <w:sz w:val="16"/>
                          <w:szCs w:val="16"/>
                          <w:lang w:val="es-ES"/>
                        </w:rPr>
                      </w:pPr>
                      <w:r w:rsidRPr="00FF7F6B">
                        <w:rPr>
                          <w:rFonts w:ascii="Arial" w:hAnsi="Arial" w:cs="Arial"/>
                          <w:sz w:val="16"/>
                          <w:szCs w:val="16"/>
                          <w:lang w:val="es-ES"/>
                        </w:rPr>
                        <w:t>Agrupaciones municipios: 22</w:t>
                      </w:r>
                    </w:p>
                  </w:txbxContent>
                </v:textbox>
              </v:rect>
            </w:pict>
          </mc:Fallback>
        </mc:AlternateContent>
      </w:r>
      <w:r w:rsidRPr="005A760B">
        <w:rPr>
          <w:noProof/>
          <w:lang w:val="es-ES" w:eastAsia="es-ES"/>
        </w:rPr>
        <mc:AlternateContent>
          <mc:Choice Requires="wps">
            <w:drawing>
              <wp:anchor distT="0" distB="0" distL="114300" distR="114300" simplePos="0" relativeHeight="251669504" behindDoc="0" locked="0" layoutInCell="1" allowOverlap="1" wp14:anchorId="03852F4A" wp14:editId="2773EEF8">
                <wp:simplePos x="0" y="0"/>
                <wp:positionH relativeFrom="column">
                  <wp:posOffset>1784350</wp:posOffset>
                </wp:positionH>
                <wp:positionV relativeFrom="paragraph">
                  <wp:posOffset>165100</wp:posOffset>
                </wp:positionV>
                <wp:extent cx="1192530" cy="368935"/>
                <wp:effectExtent l="0" t="0" r="26670" b="12065"/>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368935"/>
                        </a:xfrm>
                        <a:prstGeom prst="rect">
                          <a:avLst/>
                        </a:prstGeom>
                        <a:solidFill>
                          <a:srgbClr val="FFFFFF"/>
                        </a:solidFill>
                        <a:ln w="3175">
                          <a:solidFill>
                            <a:srgbClr val="000000"/>
                          </a:solidFill>
                          <a:miter lim="800000"/>
                          <a:headEnd/>
                          <a:tailEnd/>
                        </a:ln>
                      </wps:spPr>
                      <wps:txbx>
                        <w:txbxContent>
                          <w:p w:rsidR="001B6928" w:rsidRPr="00CB6AD3" w:rsidRDefault="001B6928" w:rsidP="000035AC">
                            <w:pPr>
                              <w:spacing w:after="0"/>
                              <w:ind w:firstLine="0"/>
                              <w:jc w:val="center"/>
                              <w:rPr>
                                <w:rFonts w:ascii="Arial" w:hAnsi="Arial" w:cs="Arial"/>
                                <w:sz w:val="8"/>
                                <w:szCs w:val="8"/>
                                <w:lang w:val="es-ES"/>
                              </w:rPr>
                            </w:pPr>
                          </w:p>
                          <w:p w:rsidR="001B6928" w:rsidRDefault="001B6928" w:rsidP="000035AC">
                            <w:pPr>
                              <w:spacing w:after="0"/>
                              <w:ind w:firstLine="0"/>
                              <w:jc w:val="center"/>
                              <w:rPr>
                                <w:rFonts w:ascii="Arial" w:hAnsi="Arial" w:cs="Arial"/>
                                <w:sz w:val="16"/>
                                <w:szCs w:val="16"/>
                                <w:lang w:val="es-ES"/>
                              </w:rPr>
                            </w:pPr>
                            <w:r w:rsidRPr="000035AC">
                              <w:rPr>
                                <w:rFonts w:ascii="Arial" w:hAnsi="Arial" w:cs="Arial"/>
                                <w:sz w:val="16"/>
                                <w:szCs w:val="16"/>
                                <w:lang w:val="es-ES"/>
                              </w:rPr>
                              <w:t xml:space="preserve">Mancomunidades: </w:t>
                            </w:r>
                          </w:p>
                          <w:p w:rsidR="001B6928" w:rsidRPr="000035AC" w:rsidRDefault="001B6928" w:rsidP="000035AC">
                            <w:pPr>
                              <w:spacing w:after="0"/>
                              <w:ind w:firstLine="0"/>
                              <w:jc w:val="center"/>
                              <w:rPr>
                                <w:rFonts w:ascii="Arial" w:hAnsi="Arial" w:cs="Arial"/>
                                <w:sz w:val="16"/>
                                <w:szCs w:val="16"/>
                                <w:lang w:val="es-ES"/>
                              </w:rPr>
                            </w:pPr>
                            <w:r w:rsidRPr="000035AC">
                              <w:rPr>
                                <w:rFonts w:ascii="Arial" w:hAnsi="Arial" w:cs="Arial"/>
                                <w:sz w:val="16"/>
                                <w:szCs w:val="16"/>
                                <w:lang w:val="es-ES"/>
                              </w:rPr>
                              <w:t>62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3852F4A" id="Rectangle 23" o:spid="_x0000_s1033" style="position:absolute;left:0;text-align:left;margin-left:140.5pt;margin-top:13pt;width:93.9pt;height:2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xkJQIAAFAEAAAOAAAAZHJzL2Uyb0RvYy54bWysVFFv0zAQfkfiP1h+p0lade2iptPUUYQ0&#10;2MTgBziOk1g4tjm7Tcqv5+x0XQY8IfJg+ezzd3ffd5fNzdApchTgpNEFzWYpJUJzU0ndFPTb1/27&#10;NSXOM10xZbQo6Ek4erN9+2bT21zMTWtUJYAgiHZ5bwvaem/zJHG8FR1zM2OFxsvaQMc8mtAkFbAe&#10;0TuVzNP0KukNVBYMF87h6d14SbcRv64F9w917YQnqqCYm48rxLUMa7LdsLwBZlvJz2mwf8iiY1Jj&#10;0AvUHfOMHED+AdVJDsaZ2s+46RJT15KLWANWk6W/VfPUMitiLUiOsxea3P+D5Z+Pj0BkhdpllGjW&#10;oUZfkDWmGyXIfBEI6q3L0e/JPkIo0dl7w787os2uRTdxC2D6VrAK08qCf/LqQTAcPiVl/8lUCM8O&#10;3kSuhhq6AIgskCFKcrpIIgZPOB5m2fV8uUDlON4trtbXi2UMwfLn1xac/yBMR8KmoIDJR3R2vHc+&#10;ZMPyZ5eYvVGy2kulogFNuVNAjgzbYx+/M7qbuilNeoyerZYR+dWdm0Kk8fsbRCc99rmSXUHXFyeW&#10;B9re6yp2oWdSjXtMWekzj4G6UQI/lENUahUCBFpLU52QWDBjW+MY4qY18JOSHlu6oO7HgYGgRH3U&#10;QZz5Kg0zMDVgapRTg2mOUAX1lIzbnR/n5mBBNi1GyiIb2tyioLWMXL9kdU4f2zZKcB6xMBdTO3q9&#10;/Ai2vwAAAP//AwBQSwMEFAAGAAgAAAAhAKvAMXndAAAACQEAAA8AAABkcnMvZG93bnJldi54bWxM&#10;j81OwzAQhO9IvIO1SNyokxJFJo1ToUoIcST8nJ14m0SN7WC7jXl7lhOcdlczmv2m3iczswv6MDkr&#10;Id9kwND2Tk92kPD+9nQngIWorFazsyjhGwPsm+urWlXarfYVL20cGIXYUCkJY4xLxXnoRzQqbNyC&#10;lrSj80ZFOv3AtVcrhZuZb7Os5EZNlj6MasHDiP2pPRsJX+rhc8X7Y/pIovB599y+mO4g5e1NetwB&#10;i5jinxl+8QkdGmLq3NnqwGYJW5FTl0hLSZMMRSmoSydBFDnwpub/GzQ/AAAA//8DAFBLAQItABQA&#10;BgAIAAAAIQC2gziS/gAAAOEBAAATAAAAAAAAAAAAAAAAAAAAAABbQ29udGVudF9UeXBlc10ueG1s&#10;UEsBAi0AFAAGAAgAAAAhADj9If/WAAAAlAEAAAsAAAAAAAAAAAAAAAAALwEAAF9yZWxzLy5yZWxz&#10;UEsBAi0AFAAGAAgAAAAhAMDLPGQlAgAAUAQAAA4AAAAAAAAAAAAAAAAALgIAAGRycy9lMm9Eb2Mu&#10;eG1sUEsBAi0AFAAGAAgAAAAhAKvAMXndAAAACQEAAA8AAAAAAAAAAAAAAAAAfwQAAGRycy9kb3du&#10;cmV2LnhtbFBLBQYAAAAABAAEAPMAAACJBQAAAAA=&#10;" strokeweight=".25pt">
                <v:textbox inset="1pt,1pt,1pt,1pt">
                  <w:txbxContent>
                    <w:p w:rsidR="001B6928" w:rsidRPr="00CB6AD3" w:rsidRDefault="001B6928" w:rsidP="000035AC">
                      <w:pPr>
                        <w:spacing w:after="0"/>
                        <w:ind w:firstLine="0"/>
                        <w:jc w:val="center"/>
                        <w:rPr>
                          <w:rFonts w:ascii="Arial" w:hAnsi="Arial" w:cs="Arial"/>
                          <w:sz w:val="8"/>
                          <w:szCs w:val="8"/>
                          <w:lang w:val="es-ES"/>
                        </w:rPr>
                      </w:pPr>
                    </w:p>
                    <w:p w:rsidR="001B6928" w:rsidRDefault="001B6928" w:rsidP="000035AC">
                      <w:pPr>
                        <w:spacing w:after="0"/>
                        <w:ind w:firstLine="0"/>
                        <w:jc w:val="center"/>
                        <w:rPr>
                          <w:rFonts w:ascii="Arial" w:hAnsi="Arial" w:cs="Arial"/>
                          <w:sz w:val="16"/>
                          <w:szCs w:val="16"/>
                          <w:lang w:val="es-ES"/>
                        </w:rPr>
                      </w:pPr>
                      <w:r w:rsidRPr="000035AC">
                        <w:rPr>
                          <w:rFonts w:ascii="Arial" w:hAnsi="Arial" w:cs="Arial"/>
                          <w:sz w:val="16"/>
                          <w:szCs w:val="16"/>
                          <w:lang w:val="es-ES"/>
                        </w:rPr>
                        <w:t xml:space="preserve">Mancomunidades: </w:t>
                      </w:r>
                    </w:p>
                    <w:p w:rsidR="001B6928" w:rsidRPr="000035AC" w:rsidRDefault="001B6928" w:rsidP="000035AC">
                      <w:pPr>
                        <w:spacing w:after="0"/>
                        <w:ind w:firstLine="0"/>
                        <w:jc w:val="center"/>
                        <w:rPr>
                          <w:rFonts w:ascii="Arial" w:hAnsi="Arial" w:cs="Arial"/>
                          <w:sz w:val="16"/>
                          <w:szCs w:val="16"/>
                          <w:lang w:val="es-ES"/>
                        </w:rPr>
                      </w:pPr>
                      <w:r w:rsidRPr="000035AC">
                        <w:rPr>
                          <w:rFonts w:ascii="Arial" w:hAnsi="Arial" w:cs="Arial"/>
                          <w:sz w:val="16"/>
                          <w:szCs w:val="16"/>
                          <w:lang w:val="es-ES"/>
                        </w:rPr>
                        <w:t>62</w:t>
                      </w:r>
                    </w:p>
                  </w:txbxContent>
                </v:textbox>
              </v:rect>
            </w:pict>
          </mc:Fallback>
        </mc:AlternateContent>
      </w:r>
    </w:p>
    <w:p w:rsidR="001049D6" w:rsidRPr="005A760B" w:rsidRDefault="001049D6" w:rsidP="001049D6">
      <w:pPr>
        <w:tabs>
          <w:tab w:val="center" w:pos="2835"/>
          <w:tab w:val="center" w:pos="3969"/>
          <w:tab w:val="center" w:pos="5103"/>
          <w:tab w:val="center" w:pos="6237"/>
          <w:tab w:val="center" w:pos="7371"/>
        </w:tabs>
        <w:suppressAutoHyphens/>
        <w:ind w:left="-378" w:firstLine="284"/>
        <w:rPr>
          <w:rFonts w:ascii="Gill Sans MT" w:hAnsi="Gill Sans MT"/>
          <w:spacing w:val="6"/>
          <w:sz w:val="26"/>
          <w:szCs w:val="24"/>
          <w:highlight w:val="yellow"/>
        </w:rPr>
      </w:pPr>
    </w:p>
    <w:p w:rsidR="001049D6" w:rsidRPr="005A760B" w:rsidRDefault="001049D6" w:rsidP="001049D6">
      <w:pPr>
        <w:tabs>
          <w:tab w:val="center" w:pos="2835"/>
          <w:tab w:val="center" w:pos="3969"/>
          <w:tab w:val="center" w:pos="5103"/>
          <w:tab w:val="center" w:pos="6237"/>
          <w:tab w:val="center" w:pos="7371"/>
        </w:tabs>
        <w:suppressAutoHyphens/>
        <w:ind w:left="-378" w:firstLine="284"/>
        <w:rPr>
          <w:rFonts w:ascii="Gill Sans MT" w:hAnsi="Gill Sans MT"/>
          <w:spacing w:val="6"/>
          <w:sz w:val="26"/>
          <w:szCs w:val="24"/>
          <w:highlight w:val="yellow"/>
        </w:rPr>
      </w:pPr>
      <w:r w:rsidRPr="005A760B">
        <w:rPr>
          <w:noProof/>
          <w:lang w:val="es-ES" w:eastAsia="es-ES"/>
        </w:rPr>
        <mc:AlternateContent>
          <mc:Choice Requires="wps">
            <w:drawing>
              <wp:anchor distT="0" distB="0" distL="114300" distR="114300" simplePos="0" relativeHeight="251665408" behindDoc="0" locked="0" layoutInCell="1" allowOverlap="1" wp14:anchorId="25A365B4" wp14:editId="08817A6B">
                <wp:simplePos x="0" y="0"/>
                <wp:positionH relativeFrom="column">
                  <wp:posOffset>1657702</wp:posOffset>
                </wp:positionH>
                <wp:positionV relativeFrom="paragraph">
                  <wp:posOffset>247242</wp:posOffset>
                </wp:positionV>
                <wp:extent cx="1413974" cy="345440"/>
                <wp:effectExtent l="0" t="0" r="15240" b="1651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974" cy="345440"/>
                        </a:xfrm>
                        <a:prstGeom prst="rect">
                          <a:avLst/>
                        </a:prstGeom>
                        <a:solidFill>
                          <a:srgbClr val="FFFFFF"/>
                        </a:solidFill>
                        <a:ln w="3175">
                          <a:solidFill>
                            <a:srgbClr val="000000"/>
                          </a:solidFill>
                          <a:miter lim="800000"/>
                          <a:headEnd/>
                          <a:tailEnd/>
                        </a:ln>
                      </wps:spPr>
                      <wps:txbx>
                        <w:txbxContent>
                          <w:p w:rsidR="001B6928" w:rsidRPr="000035AC" w:rsidRDefault="001B6928" w:rsidP="000035AC">
                            <w:pPr>
                              <w:spacing w:before="60" w:after="0"/>
                              <w:ind w:firstLine="0"/>
                              <w:jc w:val="center"/>
                              <w:rPr>
                                <w:rFonts w:ascii="Arial" w:hAnsi="Arial" w:cs="Arial"/>
                                <w:sz w:val="16"/>
                                <w:szCs w:val="16"/>
                                <w:lang w:val="es-ES"/>
                              </w:rPr>
                            </w:pPr>
                            <w:r w:rsidRPr="000035AC">
                              <w:rPr>
                                <w:rFonts w:ascii="Arial" w:hAnsi="Arial" w:cs="Arial"/>
                                <w:sz w:val="16"/>
                                <w:szCs w:val="16"/>
                                <w:lang w:val="es-ES"/>
                              </w:rPr>
                              <w:t>Organismos autónomos: 3</w:t>
                            </w:r>
                          </w:p>
                          <w:p w:rsidR="001B6928" w:rsidRPr="000035AC" w:rsidRDefault="001B6928" w:rsidP="000035AC">
                            <w:pPr>
                              <w:spacing w:after="0"/>
                              <w:ind w:firstLine="0"/>
                              <w:jc w:val="center"/>
                              <w:rPr>
                                <w:rFonts w:ascii="Arial" w:hAnsi="Arial" w:cs="Arial"/>
                                <w:sz w:val="16"/>
                                <w:szCs w:val="16"/>
                                <w:lang w:val="es-ES"/>
                              </w:rPr>
                            </w:pPr>
                            <w:r w:rsidRPr="000035AC">
                              <w:rPr>
                                <w:rFonts w:ascii="Arial" w:hAnsi="Arial" w:cs="Arial"/>
                                <w:sz w:val="16"/>
                                <w:szCs w:val="16"/>
                                <w:lang w:val="es-ES"/>
                              </w:rPr>
                              <w:t>Sociedades mercantiles:</w:t>
                            </w:r>
                            <w:r>
                              <w:rPr>
                                <w:rFonts w:ascii="Arial Narrow" w:hAnsi="Arial Narrow" w:cs="GillSans Light"/>
                                <w:sz w:val="18"/>
                                <w:szCs w:val="18"/>
                              </w:rPr>
                              <w:t xml:space="preserve"> </w:t>
                            </w:r>
                            <w:r w:rsidRPr="000035AC">
                              <w:rPr>
                                <w:rFonts w:ascii="Arial" w:hAnsi="Arial" w:cs="Arial"/>
                                <w:sz w:val="16"/>
                                <w:szCs w:val="16"/>
                                <w:lang w:val="es-ES"/>
                              </w:rPr>
                              <w:t>8</w:t>
                            </w:r>
                          </w:p>
                          <w:p w:rsidR="001B6928" w:rsidRPr="00D05EAF" w:rsidRDefault="001B6928" w:rsidP="001049D6">
                            <w:pPr>
                              <w:spacing w:before="140" w:after="100"/>
                              <w:jc w:val="center"/>
                              <w:rPr>
                                <w:rFonts w:ascii="Gill Sans MT" w:hAnsi="Gill Sans MT" w:cs="GillSans"/>
                                <w:sz w:val="18"/>
                                <w:szCs w:val="18"/>
                              </w:rPr>
                            </w:pPr>
                          </w:p>
                          <w:p w:rsidR="001B6928" w:rsidRPr="00725B83" w:rsidRDefault="001B6928" w:rsidP="001049D6">
                            <w:pPr>
                              <w:spacing w:before="140" w:after="100"/>
                              <w:jc w:val="center"/>
                              <w:rPr>
                                <w:rFonts w:ascii="Gill Sans MT" w:hAnsi="Gill Sans MT" w:cs="GillSans"/>
                                <w:sz w:val="16"/>
                                <w:szCs w:val="16"/>
                              </w:rPr>
                            </w:pPr>
                            <w:proofErr w:type="spellStart"/>
                            <w:r w:rsidRPr="00725B83">
                              <w:rPr>
                                <w:rFonts w:ascii="Gill Sans MT" w:hAnsi="Gill Sans MT" w:cs="GillSans"/>
                                <w:sz w:val="14"/>
                                <w:szCs w:val="14"/>
                              </w:rPr>
                              <w:t>Socied</w:t>
                            </w:r>
                            <w:proofErr w:type="spellEnd"/>
                            <w:r w:rsidRPr="00725B83">
                              <w:rPr>
                                <w:rFonts w:ascii="Gill Sans MT" w:hAnsi="Gill Sans MT" w:cs="GillSans"/>
                                <w:sz w:val="14"/>
                                <w:szCs w:val="14"/>
                              </w:rPr>
                              <w:t>. mercantiles: 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5A365B4" id="Rectangle 20" o:spid="_x0000_s1034" style="position:absolute;left:0;text-align:left;margin-left:130.55pt;margin-top:19.45pt;width:111.35pt;height:2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aPJgIAAE8EAAAOAAAAZHJzL2Uyb0RvYy54bWysVG1v0zAQ/o7Ef7D8nSbpOtZFTaepowhp&#10;wMTgBziOk1j4jbPbpPx6zm7XZcAnRD5YPvv83HPP3WV1M2pF9gK8tKaixSynRBhuG2m6in77un2z&#10;pMQHZhqmrBEVPQhPb9avX60GV4q57a1qBBAEMb4cXEX7EFyZZZ73QjM/s04YvGwtaBbQhC5rgA2I&#10;rlU2z/O32WChcWC58B5P746XdJ3w21bw8LltvQhEVRS5hbRCWuu4ZusVKztgrpf8RIP9AwvNpMGg&#10;Z6g7FhjZgfwDSksO1ts2zLjVmW1byUXKAbMp8t+yeeyZEykXFMe7s0z+/8HyT/sHILKp6DUlhmks&#10;0RcUjZlOCTJP+gzOl+j26B4gZujdveXfPTF206ObuAWwQy9Yg6yKqGf24kE0PD4l9fDRNgjPdsEm&#10;qcYWdAREEciYKnI4V0SMgXA8LBbFxfXVghKOdxeLy8UiUcpY+fTagQ/vhdUkbioKSD6hs/29D5EN&#10;K59cEnurZLOVSiUDunqjgOwZdsc2fSkBTHLqpgwZMHpxdZmQX9z5KUSevr9BaBmwzZXUFV2enVgZ&#10;ZXtnmtSEgUl13CNlZU46RuliM/syjPWYCrWMAeJJbZsDCgv22NU4hbjpLfykZMCOrqj/sWMgKFEf&#10;TCzO/CqPIzA1YGrUU4MZjlAVDZQct5twHJudA9n1GKlIahh7iwVtZdL6mdWJPnZtKsFpwuJYTO3k&#10;9fwfWP8CAAD//wMAUEsDBBQABgAIAAAAIQAX5an63QAAAAkBAAAPAAAAZHJzL2Rvd25yZXYueG1s&#10;TI/LTsMwEEX3SPyDNUjsqJO6qpIQp0KVEGJJeKydeJpExHaw3cb8PcMKlqM5uvfc+pDMzC7ow+Ss&#10;hHyTAUPbOz3ZQcLb6+NdASxEZbWanUUJ3xjg0Fxf1arSbrUveGnjwCjEhkpJGGNcKs5DP6JRYeMW&#10;tPQ7OW9UpNMPXHu1UriZ+TbL9tyoyVLDqBY8jth/tmcj4UuVHyuKU3pPxc7n3VP7bLqjlLc36eEe&#10;WMQU/2D41Sd1aMipc2erA5slbPd5TqgEUZTACNgVgrZ0EkohgDc1/7+g+QEAAP//AwBQSwECLQAU&#10;AAYACAAAACEAtoM4kv4AAADhAQAAEwAAAAAAAAAAAAAAAAAAAAAAW0NvbnRlbnRfVHlwZXNdLnht&#10;bFBLAQItABQABgAIAAAAIQA4/SH/1gAAAJQBAAALAAAAAAAAAAAAAAAAAC8BAABfcmVscy8ucmVs&#10;c1BLAQItABQABgAIAAAAIQARpbaPJgIAAE8EAAAOAAAAAAAAAAAAAAAAAC4CAABkcnMvZTJvRG9j&#10;LnhtbFBLAQItABQABgAIAAAAIQAX5an63QAAAAkBAAAPAAAAAAAAAAAAAAAAAIAEAABkcnMvZG93&#10;bnJldi54bWxQSwUGAAAAAAQABADzAAAAigUAAAAA&#10;" strokeweight=".25pt">
                <v:textbox inset="1pt,1pt,1pt,1pt">
                  <w:txbxContent>
                    <w:p w:rsidR="001B6928" w:rsidRPr="000035AC" w:rsidRDefault="001B6928" w:rsidP="000035AC">
                      <w:pPr>
                        <w:spacing w:before="60" w:after="0"/>
                        <w:ind w:firstLine="0"/>
                        <w:jc w:val="center"/>
                        <w:rPr>
                          <w:rFonts w:ascii="Arial" w:hAnsi="Arial" w:cs="Arial"/>
                          <w:sz w:val="16"/>
                          <w:szCs w:val="16"/>
                          <w:lang w:val="es-ES"/>
                        </w:rPr>
                      </w:pPr>
                      <w:r w:rsidRPr="000035AC">
                        <w:rPr>
                          <w:rFonts w:ascii="Arial" w:hAnsi="Arial" w:cs="Arial"/>
                          <w:sz w:val="16"/>
                          <w:szCs w:val="16"/>
                          <w:lang w:val="es-ES"/>
                        </w:rPr>
                        <w:t>Organismos autónomos: 3</w:t>
                      </w:r>
                    </w:p>
                    <w:p w:rsidR="001B6928" w:rsidRPr="000035AC" w:rsidRDefault="001B6928" w:rsidP="000035AC">
                      <w:pPr>
                        <w:spacing w:after="0"/>
                        <w:ind w:firstLine="0"/>
                        <w:jc w:val="center"/>
                        <w:rPr>
                          <w:rFonts w:ascii="Arial" w:hAnsi="Arial" w:cs="Arial"/>
                          <w:sz w:val="16"/>
                          <w:szCs w:val="16"/>
                          <w:lang w:val="es-ES"/>
                        </w:rPr>
                      </w:pPr>
                      <w:r w:rsidRPr="000035AC">
                        <w:rPr>
                          <w:rFonts w:ascii="Arial" w:hAnsi="Arial" w:cs="Arial"/>
                          <w:sz w:val="16"/>
                          <w:szCs w:val="16"/>
                          <w:lang w:val="es-ES"/>
                        </w:rPr>
                        <w:t>Sociedades mercantiles:</w:t>
                      </w:r>
                      <w:r>
                        <w:rPr>
                          <w:rFonts w:ascii="Arial Narrow" w:hAnsi="Arial Narrow" w:cs="GillSans Light"/>
                          <w:sz w:val="18"/>
                          <w:szCs w:val="18"/>
                        </w:rPr>
                        <w:t xml:space="preserve"> </w:t>
                      </w:r>
                      <w:r w:rsidRPr="000035AC">
                        <w:rPr>
                          <w:rFonts w:ascii="Arial" w:hAnsi="Arial" w:cs="Arial"/>
                          <w:sz w:val="16"/>
                          <w:szCs w:val="16"/>
                          <w:lang w:val="es-ES"/>
                        </w:rPr>
                        <w:t>8</w:t>
                      </w:r>
                    </w:p>
                    <w:p w:rsidR="001B6928" w:rsidRPr="00D05EAF" w:rsidRDefault="001B6928" w:rsidP="001049D6">
                      <w:pPr>
                        <w:spacing w:before="140" w:after="100"/>
                        <w:jc w:val="center"/>
                        <w:rPr>
                          <w:rFonts w:ascii="Gill Sans MT" w:hAnsi="Gill Sans MT" w:cs="GillSans"/>
                          <w:sz w:val="18"/>
                          <w:szCs w:val="18"/>
                        </w:rPr>
                      </w:pPr>
                    </w:p>
                    <w:p w:rsidR="001B6928" w:rsidRPr="00725B83" w:rsidRDefault="001B6928" w:rsidP="001049D6">
                      <w:pPr>
                        <w:spacing w:before="140" w:after="100"/>
                        <w:jc w:val="center"/>
                        <w:rPr>
                          <w:rFonts w:ascii="Gill Sans MT" w:hAnsi="Gill Sans MT" w:cs="GillSans"/>
                          <w:sz w:val="16"/>
                          <w:szCs w:val="16"/>
                        </w:rPr>
                      </w:pPr>
                      <w:proofErr w:type="spellStart"/>
                      <w:r w:rsidRPr="00725B83">
                        <w:rPr>
                          <w:rFonts w:ascii="Gill Sans MT" w:hAnsi="Gill Sans MT" w:cs="GillSans"/>
                          <w:sz w:val="14"/>
                          <w:szCs w:val="14"/>
                        </w:rPr>
                        <w:t>Socied</w:t>
                      </w:r>
                      <w:proofErr w:type="spellEnd"/>
                      <w:r w:rsidRPr="00725B83">
                        <w:rPr>
                          <w:rFonts w:ascii="Gill Sans MT" w:hAnsi="Gill Sans MT" w:cs="GillSans"/>
                          <w:sz w:val="14"/>
                          <w:szCs w:val="14"/>
                        </w:rPr>
                        <w:t>. mercantiles: 5</w:t>
                      </w:r>
                    </w:p>
                  </w:txbxContent>
                </v:textbox>
              </v:rect>
            </w:pict>
          </mc:Fallback>
        </mc:AlternateContent>
      </w:r>
    </w:p>
    <w:p w:rsidR="001049D6" w:rsidRPr="005A760B" w:rsidRDefault="001049D6" w:rsidP="001049D6">
      <w:pPr>
        <w:tabs>
          <w:tab w:val="center" w:pos="2835"/>
          <w:tab w:val="center" w:pos="3969"/>
          <w:tab w:val="center" w:pos="5103"/>
          <w:tab w:val="center" w:pos="6237"/>
          <w:tab w:val="center" w:pos="7371"/>
        </w:tabs>
        <w:suppressAutoHyphens/>
        <w:ind w:left="-378" w:firstLine="284"/>
        <w:rPr>
          <w:rFonts w:ascii="Gill Sans MT" w:hAnsi="Gill Sans MT"/>
          <w:spacing w:val="6"/>
          <w:sz w:val="26"/>
          <w:szCs w:val="24"/>
          <w:highlight w:val="yellow"/>
        </w:rPr>
      </w:pPr>
    </w:p>
    <w:p w:rsidR="001049D6" w:rsidRPr="005A760B" w:rsidRDefault="001049D6" w:rsidP="001049D6">
      <w:pPr>
        <w:tabs>
          <w:tab w:val="center" w:pos="2835"/>
          <w:tab w:val="center" w:pos="3969"/>
          <w:tab w:val="center" w:pos="5103"/>
          <w:tab w:val="center" w:pos="6237"/>
          <w:tab w:val="center" w:pos="7371"/>
        </w:tabs>
        <w:suppressAutoHyphens/>
        <w:spacing w:after="100"/>
        <w:ind w:left="-378" w:firstLine="284"/>
        <w:rPr>
          <w:rFonts w:ascii="Gill Sans MT" w:hAnsi="Gill Sans MT"/>
          <w:spacing w:val="6"/>
          <w:sz w:val="16"/>
          <w:szCs w:val="16"/>
          <w:highlight w:val="yellow"/>
        </w:rPr>
      </w:pPr>
    </w:p>
    <w:p w:rsidR="001049D6" w:rsidRPr="005A760B" w:rsidRDefault="001049D6" w:rsidP="009E29F8">
      <w:pPr>
        <w:spacing w:after="0"/>
        <w:rPr>
          <w:spacing w:val="6"/>
          <w:sz w:val="26"/>
          <w:szCs w:val="24"/>
        </w:rPr>
      </w:pPr>
    </w:p>
    <w:p w:rsidR="001049D6" w:rsidRPr="005A760B" w:rsidRDefault="001049D6" w:rsidP="001049D6">
      <w:pPr>
        <w:pStyle w:val="texto"/>
        <w:spacing w:after="240"/>
      </w:pPr>
      <w:r w:rsidRPr="005A760B">
        <w:t>La población a 1 de enero de 2018 de los 272 municipios de Navarra, 647.554 habitantes según datos del censo oficial, presentaba la siguiente distr</w:t>
      </w:r>
      <w:r w:rsidRPr="005A760B">
        <w:t>i</w:t>
      </w:r>
      <w:r w:rsidRPr="005A760B">
        <w:t>bución:</w:t>
      </w:r>
    </w:p>
    <w:tbl>
      <w:tblPr>
        <w:tblW w:w="5000" w:type="pct"/>
        <w:tblCellMar>
          <w:left w:w="70" w:type="dxa"/>
          <w:right w:w="70" w:type="dxa"/>
        </w:tblCellMar>
        <w:tblLook w:val="04A0" w:firstRow="1" w:lastRow="0" w:firstColumn="1" w:lastColumn="0" w:noHBand="0" w:noVBand="1"/>
      </w:tblPr>
      <w:tblGrid>
        <w:gridCol w:w="3421"/>
        <w:gridCol w:w="1377"/>
        <w:gridCol w:w="1377"/>
        <w:gridCol w:w="1377"/>
        <w:gridCol w:w="1377"/>
      </w:tblGrid>
      <w:tr w:rsidR="001049D6" w:rsidRPr="005A760B" w:rsidTr="009E29F8">
        <w:trPr>
          <w:trHeight w:val="284"/>
        </w:trPr>
        <w:tc>
          <w:tcPr>
            <w:tcW w:w="1915"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9E29F8">
            <w:pPr>
              <w:pStyle w:val="cuadroCabe"/>
              <w:rPr>
                <w:lang w:val="es-ES" w:eastAsia="es-ES"/>
              </w:rPr>
            </w:pPr>
            <w:r w:rsidRPr="005A760B">
              <w:rPr>
                <w:lang w:eastAsia="es-ES"/>
              </w:rPr>
              <w:t>Tramo de población</w:t>
            </w:r>
          </w:p>
        </w:tc>
        <w:tc>
          <w:tcPr>
            <w:tcW w:w="771"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9E29F8">
            <w:pPr>
              <w:pStyle w:val="cuadroCabe"/>
              <w:jc w:val="right"/>
              <w:rPr>
                <w:lang w:val="es-ES" w:eastAsia="es-ES"/>
              </w:rPr>
            </w:pPr>
            <w:r w:rsidRPr="005A760B">
              <w:rPr>
                <w:lang w:eastAsia="es-ES"/>
              </w:rPr>
              <w:t>Número de municipios</w:t>
            </w:r>
          </w:p>
        </w:tc>
        <w:tc>
          <w:tcPr>
            <w:tcW w:w="771"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9E29F8">
            <w:pPr>
              <w:pStyle w:val="cuadroCabe"/>
              <w:jc w:val="right"/>
              <w:rPr>
                <w:lang w:val="es-ES" w:eastAsia="es-ES"/>
              </w:rPr>
            </w:pPr>
            <w:r w:rsidRPr="005A760B">
              <w:rPr>
                <w:lang w:eastAsia="es-ES"/>
              </w:rPr>
              <w:t>% municipios sobre total</w:t>
            </w:r>
          </w:p>
        </w:tc>
        <w:tc>
          <w:tcPr>
            <w:tcW w:w="771"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9E29F8">
            <w:pPr>
              <w:pStyle w:val="cuadroCabe"/>
              <w:jc w:val="right"/>
              <w:rPr>
                <w:lang w:val="es-ES" w:eastAsia="es-ES"/>
              </w:rPr>
            </w:pPr>
            <w:r w:rsidRPr="005A760B">
              <w:rPr>
                <w:lang w:eastAsia="es-ES"/>
              </w:rPr>
              <w:t>Población</w:t>
            </w:r>
          </w:p>
        </w:tc>
        <w:tc>
          <w:tcPr>
            <w:tcW w:w="771"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9E29F8">
            <w:pPr>
              <w:pStyle w:val="cuadroCabe"/>
              <w:jc w:val="right"/>
              <w:rPr>
                <w:lang w:val="es-ES" w:eastAsia="es-ES"/>
              </w:rPr>
            </w:pPr>
            <w:r w:rsidRPr="005A760B">
              <w:rPr>
                <w:lang w:eastAsia="es-ES"/>
              </w:rPr>
              <w:t>% población sobre total</w:t>
            </w:r>
          </w:p>
        </w:tc>
      </w:tr>
      <w:tr w:rsidR="001049D6" w:rsidRPr="005A760B" w:rsidTr="009E259A">
        <w:trPr>
          <w:trHeight w:val="255"/>
        </w:trPr>
        <w:tc>
          <w:tcPr>
            <w:tcW w:w="1915"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rPr>
                <w:lang w:val="es-ES" w:eastAsia="es-ES"/>
              </w:rPr>
            </w:pPr>
            <w:r w:rsidRPr="005A760B">
              <w:rPr>
                <w:lang w:val="es-ES" w:eastAsia="es-ES"/>
              </w:rPr>
              <w:t>&lt;101</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44</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16,2</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2.656</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0,4</w:t>
            </w:r>
          </w:p>
        </w:tc>
      </w:tr>
      <w:tr w:rsidR="001049D6" w:rsidRPr="005A760B" w:rsidTr="009E259A">
        <w:trPr>
          <w:trHeight w:val="255"/>
        </w:trPr>
        <w:tc>
          <w:tcPr>
            <w:tcW w:w="1915"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rPr>
                <w:lang w:val="es-ES" w:eastAsia="es-ES"/>
              </w:rPr>
            </w:pPr>
            <w:r w:rsidRPr="005A760B">
              <w:rPr>
                <w:lang w:val="es-ES" w:eastAsia="es-ES"/>
              </w:rPr>
              <w:t>101-200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51</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18,8</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7.217</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1,1</w:t>
            </w:r>
          </w:p>
        </w:tc>
      </w:tr>
      <w:tr w:rsidR="001049D6" w:rsidRPr="005A760B" w:rsidTr="009E259A">
        <w:trPr>
          <w:trHeight w:val="255"/>
        </w:trPr>
        <w:tc>
          <w:tcPr>
            <w:tcW w:w="1915"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rPr>
                <w:lang w:val="es-ES" w:eastAsia="es-ES"/>
              </w:rPr>
            </w:pPr>
            <w:r w:rsidRPr="005A760B">
              <w:rPr>
                <w:lang w:val="es-ES" w:eastAsia="es-ES"/>
              </w:rPr>
              <w:t>201-500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58</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21,3</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18.700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2,9</w:t>
            </w:r>
          </w:p>
        </w:tc>
      </w:tr>
      <w:tr w:rsidR="001049D6" w:rsidRPr="005A760B" w:rsidTr="009E259A">
        <w:trPr>
          <w:trHeight w:val="255"/>
        </w:trPr>
        <w:tc>
          <w:tcPr>
            <w:tcW w:w="1915"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rPr>
                <w:lang w:val="es-ES" w:eastAsia="es-ES"/>
              </w:rPr>
            </w:pPr>
            <w:r w:rsidRPr="005A760B">
              <w:rPr>
                <w:lang w:val="es-ES" w:eastAsia="es-ES"/>
              </w:rPr>
              <w:t>501-1.000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36</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13,2</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26.270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4,1</w:t>
            </w:r>
          </w:p>
        </w:tc>
      </w:tr>
      <w:tr w:rsidR="001049D6" w:rsidRPr="005A760B" w:rsidTr="009E259A">
        <w:trPr>
          <w:trHeight w:val="255"/>
        </w:trPr>
        <w:tc>
          <w:tcPr>
            <w:tcW w:w="1915"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rPr>
                <w:lang w:val="es-ES" w:eastAsia="es-ES"/>
              </w:rPr>
            </w:pPr>
            <w:r w:rsidRPr="005A760B">
              <w:rPr>
                <w:lang w:val="es-ES" w:eastAsia="es-ES"/>
              </w:rPr>
              <w:t>1.001-2.000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23</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8,5</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32.241</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5,0</w:t>
            </w:r>
          </w:p>
        </w:tc>
      </w:tr>
      <w:tr w:rsidR="001049D6" w:rsidRPr="005A760B" w:rsidTr="009E259A">
        <w:trPr>
          <w:trHeight w:val="255"/>
        </w:trPr>
        <w:tc>
          <w:tcPr>
            <w:tcW w:w="1915"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rPr>
                <w:lang w:val="es-ES" w:eastAsia="es-ES"/>
              </w:rPr>
            </w:pPr>
            <w:r w:rsidRPr="005A760B">
              <w:rPr>
                <w:lang w:val="es-ES" w:eastAsia="es-ES"/>
              </w:rPr>
              <w:t>2.001-3.000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23</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8,5</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57.280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895C77">
            <w:pPr>
              <w:pStyle w:val="cuatexto"/>
              <w:jc w:val="right"/>
              <w:rPr>
                <w:lang w:val="es-ES" w:eastAsia="es-ES"/>
              </w:rPr>
            </w:pPr>
            <w:r w:rsidRPr="005A760B">
              <w:rPr>
                <w:lang w:val="es-ES" w:eastAsia="es-ES"/>
              </w:rPr>
              <w:t>8,</w:t>
            </w:r>
            <w:r w:rsidR="00895C77" w:rsidRPr="005A760B">
              <w:rPr>
                <w:lang w:val="es-ES" w:eastAsia="es-ES"/>
              </w:rPr>
              <w:t>8</w:t>
            </w:r>
          </w:p>
        </w:tc>
      </w:tr>
      <w:tr w:rsidR="001049D6" w:rsidRPr="005A760B" w:rsidTr="009E259A">
        <w:trPr>
          <w:trHeight w:val="255"/>
        </w:trPr>
        <w:tc>
          <w:tcPr>
            <w:tcW w:w="1915"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rPr>
                <w:lang w:val="es-ES" w:eastAsia="es-ES"/>
              </w:rPr>
            </w:pPr>
            <w:r w:rsidRPr="005A760B">
              <w:rPr>
                <w:lang w:val="es-ES" w:eastAsia="es-ES"/>
              </w:rPr>
              <w:t>3.001-5.000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16</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5,9</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63.048</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9,</w:t>
            </w:r>
            <w:r w:rsidR="00895C77" w:rsidRPr="005A760B">
              <w:rPr>
                <w:lang w:val="es-ES" w:eastAsia="es-ES"/>
              </w:rPr>
              <w:t>7</w:t>
            </w:r>
          </w:p>
        </w:tc>
      </w:tr>
      <w:tr w:rsidR="001049D6" w:rsidRPr="005A760B" w:rsidTr="009E259A">
        <w:trPr>
          <w:trHeight w:val="255"/>
        </w:trPr>
        <w:tc>
          <w:tcPr>
            <w:tcW w:w="1915"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rPr>
                <w:lang w:val="es-ES" w:eastAsia="es-ES"/>
              </w:rPr>
            </w:pPr>
            <w:r w:rsidRPr="005A760B">
              <w:rPr>
                <w:lang w:val="es-ES" w:eastAsia="es-ES"/>
              </w:rPr>
              <w:t>5.001-10.000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9</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3,3</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64.999</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10,</w:t>
            </w:r>
            <w:r w:rsidR="00895C77" w:rsidRPr="005A760B">
              <w:rPr>
                <w:lang w:val="es-ES" w:eastAsia="es-ES"/>
              </w:rPr>
              <w:t>0</w:t>
            </w:r>
          </w:p>
        </w:tc>
      </w:tr>
      <w:tr w:rsidR="001049D6" w:rsidRPr="005A760B" w:rsidTr="009E259A">
        <w:trPr>
          <w:trHeight w:val="255"/>
        </w:trPr>
        <w:tc>
          <w:tcPr>
            <w:tcW w:w="1915"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rPr>
                <w:lang w:val="es-ES" w:eastAsia="es-ES"/>
              </w:rPr>
            </w:pPr>
            <w:r w:rsidRPr="005A760B">
              <w:rPr>
                <w:lang w:val="es-ES" w:eastAsia="es-ES"/>
              </w:rPr>
              <w:t>10.001-20.000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8</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2,9</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99.671</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15,</w:t>
            </w:r>
            <w:r w:rsidR="00895C77" w:rsidRPr="005A760B">
              <w:rPr>
                <w:lang w:val="es-ES" w:eastAsia="es-ES"/>
              </w:rPr>
              <w:t>4</w:t>
            </w:r>
          </w:p>
        </w:tc>
      </w:tr>
      <w:tr w:rsidR="001049D6" w:rsidRPr="005A760B" w:rsidTr="009E259A">
        <w:trPr>
          <w:trHeight w:val="255"/>
        </w:trPr>
        <w:tc>
          <w:tcPr>
            <w:tcW w:w="1915"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rPr>
                <w:lang w:val="es-ES" w:eastAsia="es-ES"/>
              </w:rPr>
            </w:pPr>
            <w:r w:rsidRPr="005A760B">
              <w:rPr>
                <w:lang w:val="es-ES" w:eastAsia="es-ES"/>
              </w:rPr>
              <w:t>20.001-30.000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2</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0,7</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40.813</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6,3</w:t>
            </w:r>
          </w:p>
        </w:tc>
      </w:tr>
      <w:tr w:rsidR="001049D6" w:rsidRPr="005A760B" w:rsidTr="009E259A">
        <w:trPr>
          <w:trHeight w:val="255"/>
        </w:trPr>
        <w:tc>
          <w:tcPr>
            <w:tcW w:w="1915"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rPr>
                <w:lang w:val="es-ES" w:eastAsia="es-ES"/>
              </w:rPr>
            </w:pPr>
            <w:r w:rsidRPr="005A760B">
              <w:rPr>
                <w:lang w:val="es-ES" w:eastAsia="es-ES"/>
              </w:rPr>
              <w:t>30.001-50.000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1</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0,4</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35.593</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5,5</w:t>
            </w:r>
          </w:p>
        </w:tc>
      </w:tr>
      <w:tr w:rsidR="001049D6" w:rsidRPr="005A760B" w:rsidTr="009E259A">
        <w:trPr>
          <w:trHeight w:val="255"/>
        </w:trPr>
        <w:tc>
          <w:tcPr>
            <w:tcW w:w="1915"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rPr>
                <w:lang w:val="es-ES" w:eastAsia="es-ES"/>
              </w:rPr>
            </w:pPr>
            <w:r w:rsidRPr="005A760B">
              <w:rPr>
                <w:lang w:val="es-ES" w:eastAsia="es-ES"/>
              </w:rPr>
              <w:t>Más de 50.000</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1</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0,4</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199.066</w:t>
            </w:r>
          </w:p>
        </w:tc>
        <w:tc>
          <w:tcPr>
            <w:tcW w:w="771" w:type="pct"/>
            <w:tcBorders>
              <w:top w:val="nil"/>
              <w:left w:val="nil"/>
              <w:bottom w:val="single" w:sz="4" w:space="0" w:color="auto"/>
              <w:right w:val="nil"/>
            </w:tcBorders>
            <w:shd w:val="clear" w:color="000000" w:fill="FFFFFF"/>
            <w:vAlign w:val="center"/>
            <w:hideMark/>
          </w:tcPr>
          <w:p w:rsidR="001049D6" w:rsidRPr="005A760B" w:rsidRDefault="001049D6" w:rsidP="009E29F8">
            <w:pPr>
              <w:pStyle w:val="cuatexto"/>
              <w:jc w:val="right"/>
              <w:rPr>
                <w:lang w:val="es-ES" w:eastAsia="es-ES"/>
              </w:rPr>
            </w:pPr>
            <w:r w:rsidRPr="005A760B">
              <w:rPr>
                <w:lang w:val="es-ES" w:eastAsia="es-ES"/>
              </w:rPr>
              <w:t>30,</w:t>
            </w:r>
            <w:r w:rsidR="00895C77" w:rsidRPr="005A760B">
              <w:rPr>
                <w:lang w:val="es-ES" w:eastAsia="es-ES"/>
              </w:rPr>
              <w:t>4</w:t>
            </w:r>
          </w:p>
        </w:tc>
      </w:tr>
      <w:tr w:rsidR="001049D6" w:rsidRPr="005A760B" w:rsidTr="009E29F8">
        <w:trPr>
          <w:trHeight w:val="284"/>
        </w:trPr>
        <w:tc>
          <w:tcPr>
            <w:tcW w:w="1915"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9E29F8">
            <w:pPr>
              <w:pStyle w:val="cuatexto"/>
              <w:rPr>
                <w:lang w:val="es-ES" w:eastAsia="es-ES"/>
              </w:rPr>
            </w:pPr>
            <w:r w:rsidRPr="005A760B">
              <w:rPr>
                <w:lang w:eastAsia="es-ES"/>
              </w:rPr>
              <w:t>Total</w:t>
            </w:r>
          </w:p>
        </w:tc>
        <w:tc>
          <w:tcPr>
            <w:tcW w:w="771"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9E29F8">
            <w:pPr>
              <w:pStyle w:val="cuatexto"/>
              <w:jc w:val="right"/>
              <w:rPr>
                <w:lang w:val="es-ES" w:eastAsia="es-ES"/>
              </w:rPr>
            </w:pPr>
            <w:r w:rsidRPr="005A760B">
              <w:rPr>
                <w:lang w:eastAsia="es-ES"/>
              </w:rPr>
              <w:t>272</w:t>
            </w:r>
          </w:p>
        </w:tc>
        <w:tc>
          <w:tcPr>
            <w:tcW w:w="771"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9E29F8">
            <w:pPr>
              <w:pStyle w:val="cuatexto"/>
              <w:jc w:val="right"/>
              <w:rPr>
                <w:lang w:val="es-ES" w:eastAsia="es-ES"/>
              </w:rPr>
            </w:pPr>
            <w:r w:rsidRPr="005A760B">
              <w:rPr>
                <w:lang w:eastAsia="es-ES"/>
              </w:rPr>
              <w:t>100</w:t>
            </w:r>
          </w:p>
        </w:tc>
        <w:tc>
          <w:tcPr>
            <w:tcW w:w="771"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9E29F8">
            <w:pPr>
              <w:pStyle w:val="cuatexto"/>
              <w:jc w:val="right"/>
              <w:rPr>
                <w:lang w:val="es-ES" w:eastAsia="es-ES"/>
              </w:rPr>
            </w:pPr>
            <w:r w:rsidRPr="005A760B">
              <w:rPr>
                <w:lang w:val="es-ES" w:eastAsia="es-ES"/>
              </w:rPr>
              <w:t>647.554</w:t>
            </w:r>
          </w:p>
        </w:tc>
        <w:tc>
          <w:tcPr>
            <w:tcW w:w="771" w:type="pct"/>
            <w:tcBorders>
              <w:top w:val="single" w:sz="4" w:space="0" w:color="auto"/>
              <w:left w:val="nil"/>
              <w:bottom w:val="single" w:sz="4" w:space="0" w:color="auto"/>
              <w:right w:val="nil"/>
            </w:tcBorders>
            <w:shd w:val="clear" w:color="000000" w:fill="FABF8F" w:themeFill="accent6" w:themeFillTint="99"/>
            <w:vAlign w:val="center"/>
            <w:hideMark/>
          </w:tcPr>
          <w:p w:rsidR="001049D6" w:rsidRPr="005A760B" w:rsidRDefault="001049D6" w:rsidP="009E29F8">
            <w:pPr>
              <w:pStyle w:val="cuatexto"/>
              <w:jc w:val="right"/>
              <w:rPr>
                <w:lang w:val="es-ES" w:eastAsia="es-ES"/>
              </w:rPr>
            </w:pPr>
            <w:r w:rsidRPr="005A760B">
              <w:rPr>
                <w:lang w:eastAsia="es-ES"/>
              </w:rPr>
              <w:t>100</w:t>
            </w:r>
          </w:p>
        </w:tc>
      </w:tr>
    </w:tbl>
    <w:p w:rsidR="001049D6" w:rsidRPr="005A760B" w:rsidRDefault="001049D6" w:rsidP="001049D6">
      <w:pPr>
        <w:pStyle w:val="texto"/>
        <w:spacing w:before="240"/>
      </w:pPr>
      <w:r w:rsidRPr="005A760B">
        <w:t xml:space="preserve">De los datos anteriores destacamos que el 70 por ciento de los municipios de Navarra (189 municipios) tiene menos de 1.000 habitantes y representan en conjunto el cuatro por ciento de la población. Asimismo, Pamplona </w:t>
      </w:r>
      <w:r w:rsidR="00ED1F03" w:rsidRPr="005A760B">
        <w:t>y los once</w:t>
      </w:r>
      <w:r w:rsidRPr="005A760B">
        <w:t xml:space="preserve"> ayuntamientos super</w:t>
      </w:r>
      <w:r w:rsidR="00ED1F03" w:rsidRPr="005A760B">
        <w:t>iores a 10.000 habitantes,</w:t>
      </w:r>
      <w:r w:rsidRPr="005A760B">
        <w:t xml:space="preserve"> suponen el 58 por ciento de la población navarra.</w:t>
      </w:r>
    </w:p>
    <w:p w:rsidR="001049D6" w:rsidRPr="005A760B" w:rsidRDefault="001049D6" w:rsidP="009E29F8">
      <w:pPr>
        <w:pStyle w:val="texto"/>
        <w:spacing w:after="240"/>
      </w:pPr>
      <w:r w:rsidRPr="005A760B">
        <w:t>Tal y como viene reiterando esta Cámara en sus informes, la reducida d</w:t>
      </w:r>
      <w:r w:rsidRPr="005A760B">
        <w:t>i</w:t>
      </w:r>
      <w:r w:rsidRPr="005A760B">
        <w:t>mensión poblacional suele conllevar unos recursos limitados, humanos y fina</w:t>
      </w:r>
      <w:r w:rsidRPr="005A760B">
        <w:t>n</w:t>
      </w:r>
      <w:r w:rsidRPr="005A760B">
        <w:t>cieros y la ausencia de una estructura administrativa adecuada y suficiente para la gestión de sus competencias, lo cual dificulta la prestación de servicios con eficiencia, economía, eficacia y calidad.</w:t>
      </w:r>
    </w:p>
    <w:p w:rsidR="001049D6" w:rsidRPr="005A760B" w:rsidRDefault="001049D6" w:rsidP="00714FAB">
      <w:pPr>
        <w:pStyle w:val="atitulo2"/>
        <w:spacing w:after="200"/>
        <w:rPr>
          <w:color w:val="auto"/>
        </w:rPr>
      </w:pPr>
      <w:bookmarkStart w:id="26" w:name="_Toc399916261"/>
      <w:bookmarkStart w:id="27" w:name="_Toc465686684"/>
      <w:bookmarkStart w:id="28" w:name="_Toc529773878"/>
      <w:bookmarkStart w:id="29" w:name="_Toc24100138"/>
      <w:bookmarkStart w:id="30" w:name="_Toc52348286"/>
      <w:bookmarkStart w:id="31" w:name="_Toc54691919"/>
      <w:r w:rsidRPr="005A760B">
        <w:rPr>
          <w:color w:val="auto"/>
        </w:rPr>
        <w:t>II.2. Medidas legislativas planteadas para la racionalización del sector público local</w:t>
      </w:r>
      <w:bookmarkEnd w:id="26"/>
      <w:bookmarkEnd w:id="27"/>
      <w:bookmarkEnd w:id="28"/>
      <w:bookmarkEnd w:id="29"/>
      <w:bookmarkEnd w:id="30"/>
      <w:bookmarkEnd w:id="31"/>
      <w:r w:rsidRPr="005A760B">
        <w:rPr>
          <w:color w:val="auto"/>
        </w:rPr>
        <w:t xml:space="preserve"> </w:t>
      </w:r>
    </w:p>
    <w:p w:rsidR="001049D6" w:rsidRPr="005A760B" w:rsidRDefault="001049D6" w:rsidP="001049D6">
      <w:pPr>
        <w:pStyle w:val="texto"/>
        <w:rPr>
          <w:szCs w:val="26"/>
        </w:rPr>
      </w:pPr>
      <w:r w:rsidRPr="005A760B">
        <w:rPr>
          <w:szCs w:val="26"/>
        </w:rPr>
        <w:t xml:space="preserve">Se mantienen vigentes los antecedentes que sobre esta cuestión se incluían en el informe de esta Cámara sobre el Sector Público Local de 2017 al que nos remitimos. </w:t>
      </w:r>
    </w:p>
    <w:p w:rsidR="001049D6" w:rsidRPr="005A760B" w:rsidRDefault="001049D6" w:rsidP="001049D6">
      <w:pPr>
        <w:pStyle w:val="texto"/>
        <w:rPr>
          <w:szCs w:val="26"/>
        </w:rPr>
      </w:pPr>
      <w:r w:rsidRPr="005A760B">
        <w:rPr>
          <w:szCs w:val="26"/>
        </w:rPr>
        <w:t xml:space="preserve">En febrero de 2019, se aprobó la Ley Foral 4/2019, </w:t>
      </w:r>
      <w:r w:rsidR="00CD3E30" w:rsidRPr="005A760B">
        <w:rPr>
          <w:szCs w:val="26"/>
        </w:rPr>
        <w:t xml:space="preserve">de 4 de febrero, </w:t>
      </w:r>
      <w:r w:rsidRPr="005A760B">
        <w:rPr>
          <w:szCs w:val="26"/>
        </w:rPr>
        <w:t>de R</w:t>
      </w:r>
      <w:r w:rsidRPr="005A760B">
        <w:rPr>
          <w:szCs w:val="26"/>
        </w:rPr>
        <w:t>e</w:t>
      </w:r>
      <w:r w:rsidRPr="005A760B">
        <w:rPr>
          <w:szCs w:val="26"/>
        </w:rPr>
        <w:t>forma de la Administración Local de Navarra.</w:t>
      </w:r>
    </w:p>
    <w:p w:rsidR="001049D6" w:rsidRPr="005A760B" w:rsidRDefault="001049D6" w:rsidP="001049D6">
      <w:pPr>
        <w:pStyle w:val="texto"/>
        <w:rPr>
          <w:szCs w:val="26"/>
        </w:rPr>
      </w:pPr>
      <w:r w:rsidRPr="005A760B">
        <w:rPr>
          <w:szCs w:val="26"/>
        </w:rPr>
        <w:t xml:space="preserve">Dicha ley </w:t>
      </w:r>
      <w:r w:rsidR="00CD3E30" w:rsidRPr="005A760B">
        <w:rPr>
          <w:szCs w:val="26"/>
        </w:rPr>
        <w:t xml:space="preserve">foral </w:t>
      </w:r>
      <w:r w:rsidRPr="005A760B">
        <w:rPr>
          <w:szCs w:val="26"/>
        </w:rPr>
        <w:t>concreta una nueva planta local en la que aparecen nuevos t</w:t>
      </w:r>
      <w:r w:rsidRPr="005A760B">
        <w:rPr>
          <w:szCs w:val="26"/>
        </w:rPr>
        <w:t>i</w:t>
      </w:r>
      <w:r w:rsidRPr="005A760B">
        <w:rPr>
          <w:szCs w:val="26"/>
        </w:rPr>
        <w:t xml:space="preserve">pos de entidades locales y desaparecen otros existentes hasta el momento. En cualquier caso, esta norma </w:t>
      </w:r>
      <w:r w:rsidR="006636B5" w:rsidRPr="005A760B">
        <w:rPr>
          <w:szCs w:val="26"/>
        </w:rPr>
        <w:t>contiene varias disposiciones transitorias y finales que establecen diferentes mandatos para la Administración de la Comunidad Foral, q</w:t>
      </w:r>
      <w:r w:rsidRPr="005A760B">
        <w:rPr>
          <w:szCs w:val="26"/>
        </w:rPr>
        <w:t xml:space="preserve">ue irán concretando la forma definitiva de esta reforma local. </w:t>
      </w:r>
    </w:p>
    <w:p w:rsidR="001049D6" w:rsidRPr="005A760B" w:rsidRDefault="00816E87" w:rsidP="00CB5535">
      <w:pPr>
        <w:pStyle w:val="texto"/>
        <w:spacing w:after="240"/>
        <w:rPr>
          <w:szCs w:val="26"/>
        </w:rPr>
      </w:pPr>
      <w:r w:rsidRPr="005A760B">
        <w:rPr>
          <w:szCs w:val="26"/>
        </w:rPr>
        <w:t>La disposición</w:t>
      </w:r>
      <w:r w:rsidR="001049D6" w:rsidRPr="005A760B">
        <w:rPr>
          <w:szCs w:val="26"/>
        </w:rPr>
        <w:t xml:space="preserve"> que establecía el envío al Parlamento de Navarra de una pr</w:t>
      </w:r>
      <w:r w:rsidR="001049D6" w:rsidRPr="005A760B">
        <w:rPr>
          <w:szCs w:val="26"/>
        </w:rPr>
        <w:t>o</w:t>
      </w:r>
      <w:r w:rsidR="001049D6" w:rsidRPr="005A760B">
        <w:rPr>
          <w:szCs w:val="26"/>
        </w:rPr>
        <w:t>puesta de financiación, a efectos de sustituir progresivamente las actuales su</w:t>
      </w:r>
      <w:r w:rsidR="001049D6" w:rsidRPr="005A760B">
        <w:rPr>
          <w:szCs w:val="26"/>
        </w:rPr>
        <w:t>b</w:t>
      </w:r>
      <w:r w:rsidR="001049D6" w:rsidRPr="005A760B">
        <w:rPr>
          <w:szCs w:val="26"/>
        </w:rPr>
        <w:t>venciones finalistas por los módulos de financiación previstos en el artículo 123 de la Ley Foral de Haciendas Locales, finalizó el 31 de diciembre de 2019 y dicha propuesta de financiación no se ha realizado.</w:t>
      </w:r>
    </w:p>
    <w:p w:rsidR="001049D6" w:rsidRPr="005A760B" w:rsidRDefault="001049D6" w:rsidP="00714FAB">
      <w:pPr>
        <w:pStyle w:val="atitulo2"/>
        <w:spacing w:after="200"/>
        <w:rPr>
          <w:color w:val="auto"/>
        </w:rPr>
      </w:pPr>
      <w:bookmarkStart w:id="32" w:name="_Toc24100139"/>
      <w:bookmarkStart w:id="33" w:name="_Toc52348287"/>
      <w:bookmarkStart w:id="34" w:name="_Toc54691920"/>
      <w:r w:rsidRPr="005A760B">
        <w:rPr>
          <w:color w:val="auto"/>
        </w:rPr>
        <w:t>II.3. Normativa aprobada en 2018</w:t>
      </w:r>
      <w:bookmarkEnd w:id="32"/>
      <w:bookmarkEnd w:id="33"/>
      <w:bookmarkEnd w:id="34"/>
    </w:p>
    <w:p w:rsidR="001049D6" w:rsidRPr="005A760B" w:rsidRDefault="001049D6" w:rsidP="009E29F8">
      <w:pPr>
        <w:pStyle w:val="texto"/>
        <w:rPr>
          <w:szCs w:val="26"/>
        </w:rPr>
      </w:pPr>
      <w:r w:rsidRPr="005A760B">
        <w:rPr>
          <w:szCs w:val="26"/>
        </w:rPr>
        <w:t xml:space="preserve">La normativa aplicable a las entidades que componen el sector público local de Navarra consta en el Anexo 1 que acompaña a este informe. A </w:t>
      </w:r>
      <w:r w:rsidR="009E29F8" w:rsidRPr="005A760B">
        <w:rPr>
          <w:szCs w:val="26"/>
        </w:rPr>
        <w:t>continuación,</w:t>
      </w:r>
      <w:r w:rsidRPr="005A760B">
        <w:rPr>
          <w:szCs w:val="26"/>
        </w:rPr>
        <w:t xml:space="preserve"> detallamos las normas más significativas aprobadas en 2018 aplicables a este sector.</w:t>
      </w:r>
    </w:p>
    <w:p w:rsidR="001049D6" w:rsidRPr="005A760B" w:rsidRDefault="001049D6" w:rsidP="009E29F8">
      <w:pPr>
        <w:pStyle w:val="texto"/>
        <w:numPr>
          <w:ilvl w:val="0"/>
          <w:numId w:val="2"/>
        </w:numPr>
        <w:tabs>
          <w:tab w:val="clear" w:pos="2835"/>
          <w:tab w:val="clear" w:pos="3969"/>
          <w:tab w:val="clear" w:pos="5103"/>
          <w:tab w:val="clear" w:pos="6237"/>
          <w:tab w:val="clear" w:pos="7371"/>
          <w:tab w:val="left" w:pos="480"/>
          <w:tab w:val="num" w:pos="600"/>
          <w:tab w:val="num" w:pos="644"/>
          <w:tab w:val="num" w:pos="720"/>
        </w:tabs>
        <w:spacing w:after="80"/>
        <w:ind w:left="0" w:firstLine="289"/>
        <w:rPr>
          <w:szCs w:val="26"/>
        </w:rPr>
      </w:pPr>
      <w:r w:rsidRPr="005A760B">
        <w:rPr>
          <w:szCs w:val="26"/>
        </w:rPr>
        <w:t>Ley Foral 2/2018, de 13 de abril, de Contratos Públicos.</w:t>
      </w:r>
    </w:p>
    <w:p w:rsidR="001049D6" w:rsidRPr="005A760B" w:rsidRDefault="001049D6" w:rsidP="009E29F8">
      <w:pPr>
        <w:pStyle w:val="texto"/>
        <w:numPr>
          <w:ilvl w:val="0"/>
          <w:numId w:val="2"/>
        </w:numPr>
        <w:tabs>
          <w:tab w:val="clear" w:pos="2835"/>
          <w:tab w:val="clear" w:pos="3969"/>
          <w:tab w:val="clear" w:pos="5103"/>
          <w:tab w:val="clear" w:pos="6237"/>
          <w:tab w:val="clear" w:pos="7371"/>
          <w:tab w:val="left" w:pos="480"/>
          <w:tab w:val="num" w:pos="600"/>
          <w:tab w:val="num" w:pos="644"/>
          <w:tab w:val="num" w:pos="720"/>
        </w:tabs>
        <w:spacing w:after="80"/>
        <w:ind w:left="0" w:firstLine="289"/>
        <w:rPr>
          <w:szCs w:val="26"/>
        </w:rPr>
      </w:pPr>
      <w:r w:rsidRPr="005A760B">
        <w:rPr>
          <w:szCs w:val="26"/>
        </w:rPr>
        <w:t>Ley Foral 5/2018, de 17 de mayo, de Transparencia, Acceso a la Inform</w:t>
      </w:r>
      <w:r w:rsidRPr="005A760B">
        <w:rPr>
          <w:szCs w:val="26"/>
        </w:rPr>
        <w:t>a</w:t>
      </w:r>
      <w:r w:rsidRPr="005A760B">
        <w:rPr>
          <w:szCs w:val="26"/>
        </w:rPr>
        <w:t>ción Pública y Buen Gobierno.</w:t>
      </w:r>
    </w:p>
    <w:p w:rsidR="001049D6" w:rsidRPr="005A760B" w:rsidRDefault="001049D6" w:rsidP="009E29F8">
      <w:pPr>
        <w:pStyle w:val="texto"/>
        <w:numPr>
          <w:ilvl w:val="0"/>
          <w:numId w:val="2"/>
        </w:numPr>
        <w:tabs>
          <w:tab w:val="clear" w:pos="2835"/>
          <w:tab w:val="clear" w:pos="3969"/>
          <w:tab w:val="clear" w:pos="5103"/>
          <w:tab w:val="clear" w:pos="6237"/>
          <w:tab w:val="clear" w:pos="7371"/>
          <w:tab w:val="left" w:pos="480"/>
          <w:tab w:val="num" w:pos="600"/>
          <w:tab w:val="num" w:pos="644"/>
          <w:tab w:val="num" w:pos="720"/>
        </w:tabs>
        <w:spacing w:after="80"/>
        <w:ind w:left="0" w:firstLine="289"/>
        <w:rPr>
          <w:szCs w:val="26"/>
        </w:rPr>
      </w:pPr>
      <w:r w:rsidRPr="005A760B">
        <w:rPr>
          <w:szCs w:val="26"/>
        </w:rPr>
        <w:t xml:space="preserve">Ley Foral 7/2018, de 17 de mayo, de creación de </w:t>
      </w:r>
      <w:smartTag w:uri="urn:schemas-microsoft-com:office:smarttags" w:element="PersonName">
        <w:smartTagPr>
          <w:attr w:name="ProductID" w:val="la Oficina"/>
        </w:smartTagPr>
        <w:r w:rsidRPr="005A760B">
          <w:rPr>
            <w:szCs w:val="26"/>
          </w:rPr>
          <w:t>la Oficina</w:t>
        </w:r>
      </w:smartTag>
      <w:r w:rsidRPr="005A760B">
        <w:rPr>
          <w:szCs w:val="26"/>
        </w:rPr>
        <w:t xml:space="preserve"> de Buenas Prácticas y Anticorrupción de </w:t>
      </w:r>
      <w:smartTag w:uri="urn:schemas-microsoft-com:office:smarttags" w:element="PersonName">
        <w:smartTagPr>
          <w:attr w:name="ProductID" w:val="la Comunidad Foral"/>
        </w:smartTagPr>
        <w:r w:rsidRPr="005A760B">
          <w:rPr>
            <w:szCs w:val="26"/>
          </w:rPr>
          <w:t>la Comunidad Foral</w:t>
        </w:r>
      </w:smartTag>
      <w:r w:rsidRPr="005A760B">
        <w:rPr>
          <w:szCs w:val="26"/>
        </w:rPr>
        <w:t xml:space="preserve"> de Navarra.</w:t>
      </w:r>
    </w:p>
    <w:p w:rsidR="001049D6" w:rsidRPr="005A760B" w:rsidRDefault="001049D6" w:rsidP="009E29F8">
      <w:pPr>
        <w:pStyle w:val="texto"/>
        <w:numPr>
          <w:ilvl w:val="0"/>
          <w:numId w:val="2"/>
        </w:numPr>
        <w:tabs>
          <w:tab w:val="clear" w:pos="2835"/>
          <w:tab w:val="clear" w:pos="3969"/>
          <w:tab w:val="clear" w:pos="5103"/>
          <w:tab w:val="clear" w:pos="6237"/>
          <w:tab w:val="clear" w:pos="7371"/>
          <w:tab w:val="left" w:pos="480"/>
          <w:tab w:val="num" w:pos="600"/>
          <w:tab w:val="num" w:pos="644"/>
          <w:tab w:val="num" w:pos="720"/>
        </w:tabs>
        <w:spacing w:after="80"/>
        <w:ind w:left="0" w:firstLine="289"/>
        <w:rPr>
          <w:szCs w:val="26"/>
        </w:rPr>
      </w:pPr>
      <w:r w:rsidRPr="005A760B">
        <w:rPr>
          <w:szCs w:val="26"/>
        </w:rPr>
        <w:t>Ley Foral 12/2018, de 14 de junio, de Accesibilidad Universal.</w:t>
      </w:r>
    </w:p>
    <w:p w:rsidR="001049D6" w:rsidRPr="005A760B" w:rsidRDefault="001049D6" w:rsidP="009E29F8">
      <w:pPr>
        <w:pStyle w:val="texto"/>
        <w:numPr>
          <w:ilvl w:val="0"/>
          <w:numId w:val="2"/>
        </w:numPr>
        <w:tabs>
          <w:tab w:val="clear" w:pos="2835"/>
          <w:tab w:val="clear" w:pos="3969"/>
          <w:tab w:val="clear" w:pos="5103"/>
          <w:tab w:val="clear" w:pos="6237"/>
          <w:tab w:val="clear" w:pos="7371"/>
          <w:tab w:val="left" w:pos="480"/>
          <w:tab w:val="num" w:pos="600"/>
          <w:tab w:val="num" w:pos="644"/>
          <w:tab w:val="num" w:pos="720"/>
        </w:tabs>
        <w:spacing w:after="80"/>
        <w:ind w:left="0" w:firstLine="289"/>
        <w:rPr>
          <w:szCs w:val="26"/>
        </w:rPr>
      </w:pPr>
      <w:r w:rsidRPr="005A760B">
        <w:rPr>
          <w:szCs w:val="26"/>
        </w:rPr>
        <w:t>Ley Foral 14/2018, de 18 de junio, de Residuos y su Fiscalidad.</w:t>
      </w:r>
    </w:p>
    <w:p w:rsidR="001049D6" w:rsidRPr="005A760B" w:rsidRDefault="001049D6" w:rsidP="009E29F8">
      <w:pPr>
        <w:pStyle w:val="texto"/>
        <w:numPr>
          <w:ilvl w:val="0"/>
          <w:numId w:val="2"/>
        </w:numPr>
        <w:tabs>
          <w:tab w:val="clear" w:pos="2835"/>
          <w:tab w:val="clear" w:pos="3969"/>
          <w:tab w:val="clear" w:pos="5103"/>
          <w:tab w:val="clear" w:pos="6237"/>
          <w:tab w:val="clear" w:pos="7371"/>
          <w:tab w:val="left" w:pos="480"/>
          <w:tab w:val="num" w:pos="600"/>
          <w:tab w:val="num" w:pos="644"/>
          <w:tab w:val="num" w:pos="720"/>
        </w:tabs>
        <w:spacing w:after="80"/>
        <w:ind w:left="0" w:firstLine="289"/>
        <w:rPr>
          <w:szCs w:val="26"/>
        </w:rPr>
      </w:pPr>
      <w:r w:rsidRPr="005A760B">
        <w:rPr>
          <w:szCs w:val="26"/>
        </w:rPr>
        <w:t>Ley Foral 18/2018, de 10 de octubre, de modificación de la Ley Foral 18/2016, de 13 de diciembre, reguladora del Plan de Inversiones Locales 2017-2019.</w:t>
      </w:r>
    </w:p>
    <w:p w:rsidR="001049D6" w:rsidRPr="005A760B" w:rsidRDefault="001049D6" w:rsidP="009E29F8">
      <w:pPr>
        <w:pStyle w:val="texto"/>
        <w:numPr>
          <w:ilvl w:val="0"/>
          <w:numId w:val="2"/>
        </w:numPr>
        <w:tabs>
          <w:tab w:val="clear" w:pos="2835"/>
          <w:tab w:val="clear" w:pos="3969"/>
          <w:tab w:val="clear" w:pos="5103"/>
          <w:tab w:val="clear" w:pos="6237"/>
          <w:tab w:val="clear" w:pos="7371"/>
          <w:tab w:val="left" w:pos="480"/>
          <w:tab w:val="num" w:pos="600"/>
          <w:tab w:val="num" w:pos="644"/>
          <w:tab w:val="num" w:pos="720"/>
        </w:tabs>
        <w:spacing w:after="80"/>
        <w:ind w:left="0" w:firstLine="289"/>
        <w:rPr>
          <w:szCs w:val="26"/>
        </w:rPr>
      </w:pPr>
      <w:r w:rsidRPr="005A760B">
        <w:rPr>
          <w:szCs w:val="26"/>
        </w:rPr>
        <w:t>Ley Foral 22/2018, de 13 de noviembre, de modificación de la Ley Foral 2/1995, de 10 de marzo, de Haciendas Locales de Navarra.</w:t>
      </w:r>
    </w:p>
    <w:p w:rsidR="00CD3E30" w:rsidRPr="005A760B" w:rsidRDefault="00CD3E30" w:rsidP="00816E87">
      <w:pPr>
        <w:pStyle w:val="texto"/>
        <w:numPr>
          <w:ilvl w:val="0"/>
          <w:numId w:val="2"/>
        </w:numPr>
        <w:tabs>
          <w:tab w:val="clear" w:pos="2835"/>
          <w:tab w:val="clear" w:pos="3969"/>
          <w:tab w:val="clear" w:pos="5103"/>
          <w:tab w:val="clear" w:pos="6237"/>
          <w:tab w:val="clear" w:pos="7371"/>
          <w:tab w:val="left" w:pos="480"/>
          <w:tab w:val="num" w:pos="600"/>
          <w:tab w:val="num" w:pos="644"/>
          <w:tab w:val="num" w:pos="720"/>
        </w:tabs>
        <w:spacing w:after="80"/>
        <w:ind w:left="0" w:firstLine="289"/>
        <w:rPr>
          <w:szCs w:val="26"/>
        </w:rPr>
      </w:pPr>
      <w:r w:rsidRPr="005A760B">
        <w:rPr>
          <w:szCs w:val="26"/>
        </w:rPr>
        <w:t>Real Decreto-ley 1/2018, de 23 de marzo, por el que se prorroga para 2018 el destino del superávit de las corporaciones locales para inversiones financi</w:t>
      </w:r>
      <w:r w:rsidRPr="005A760B">
        <w:rPr>
          <w:szCs w:val="26"/>
        </w:rPr>
        <w:t>e</w:t>
      </w:r>
      <w:r w:rsidRPr="005A760B">
        <w:rPr>
          <w:szCs w:val="26"/>
        </w:rPr>
        <w:t>ramente sostenibles y se modifica el ámbito objetivo de éstas.</w:t>
      </w:r>
    </w:p>
    <w:p w:rsidR="001049D6" w:rsidRPr="005A760B" w:rsidRDefault="001049D6" w:rsidP="00816E87">
      <w:pPr>
        <w:pStyle w:val="texto"/>
        <w:numPr>
          <w:ilvl w:val="0"/>
          <w:numId w:val="2"/>
        </w:numPr>
        <w:tabs>
          <w:tab w:val="clear" w:pos="2835"/>
          <w:tab w:val="clear" w:pos="3969"/>
          <w:tab w:val="clear" w:pos="5103"/>
          <w:tab w:val="clear" w:pos="6237"/>
          <w:tab w:val="clear" w:pos="7371"/>
          <w:tab w:val="left" w:pos="480"/>
          <w:tab w:val="num" w:pos="600"/>
          <w:tab w:val="num" w:pos="644"/>
          <w:tab w:val="num" w:pos="720"/>
        </w:tabs>
        <w:spacing w:after="80"/>
        <w:ind w:left="0" w:firstLine="289"/>
        <w:rPr>
          <w:szCs w:val="26"/>
        </w:rPr>
      </w:pPr>
      <w:r w:rsidRPr="005A760B">
        <w:rPr>
          <w:szCs w:val="26"/>
        </w:rPr>
        <w:t>Decreto Foral 5/2018, de 28 de febrero, por el que se establecen los crit</w:t>
      </w:r>
      <w:r w:rsidRPr="005A760B">
        <w:rPr>
          <w:szCs w:val="26"/>
        </w:rPr>
        <w:t>e</w:t>
      </w:r>
      <w:r w:rsidRPr="005A760B">
        <w:rPr>
          <w:szCs w:val="26"/>
        </w:rPr>
        <w:t>rios de uso y de expresión gráfica de las denominaciones de los núcleos de p</w:t>
      </w:r>
      <w:r w:rsidRPr="005A760B">
        <w:rPr>
          <w:szCs w:val="26"/>
        </w:rPr>
        <w:t>o</w:t>
      </w:r>
      <w:r w:rsidRPr="005A760B">
        <w:rPr>
          <w:szCs w:val="26"/>
        </w:rPr>
        <w:t>blación de Navarra.</w:t>
      </w:r>
    </w:p>
    <w:p w:rsidR="001049D6" w:rsidRPr="005A760B" w:rsidRDefault="001049D6" w:rsidP="00816E87">
      <w:pPr>
        <w:pStyle w:val="texto"/>
        <w:numPr>
          <w:ilvl w:val="0"/>
          <w:numId w:val="2"/>
        </w:numPr>
        <w:tabs>
          <w:tab w:val="clear" w:pos="2835"/>
          <w:tab w:val="clear" w:pos="3969"/>
          <w:tab w:val="clear" w:pos="5103"/>
          <w:tab w:val="clear" w:pos="6237"/>
          <w:tab w:val="clear" w:pos="7371"/>
          <w:tab w:val="left" w:pos="480"/>
          <w:tab w:val="num" w:pos="600"/>
          <w:tab w:val="num" w:pos="644"/>
          <w:tab w:val="num" w:pos="720"/>
        </w:tabs>
        <w:spacing w:after="80"/>
        <w:ind w:left="0" w:firstLine="289"/>
        <w:rPr>
          <w:szCs w:val="26"/>
        </w:rPr>
      </w:pPr>
      <w:r w:rsidRPr="005A760B">
        <w:rPr>
          <w:szCs w:val="26"/>
        </w:rPr>
        <w:t>Decreto Foral 32/2018, de 9 de mayo, por el que se actualizan los umbrales europeos de la Ley Foral 2/2018, de 13 de abril, de Contratos Públicos.</w:t>
      </w:r>
    </w:p>
    <w:p w:rsidR="001049D6" w:rsidRPr="005A760B" w:rsidRDefault="001049D6" w:rsidP="001049D6">
      <w:pPr>
        <w:rPr>
          <w:spacing w:val="6"/>
          <w:sz w:val="26"/>
          <w:szCs w:val="26"/>
        </w:rPr>
      </w:pPr>
      <w:r w:rsidRPr="005A760B">
        <w:rPr>
          <w:szCs w:val="26"/>
        </w:rPr>
        <w:br w:type="page"/>
      </w:r>
    </w:p>
    <w:p w:rsidR="001049D6" w:rsidRPr="005A760B" w:rsidRDefault="001049D6" w:rsidP="001049D6">
      <w:pPr>
        <w:pStyle w:val="atitulo1"/>
        <w:rPr>
          <w:color w:val="auto"/>
        </w:rPr>
      </w:pPr>
      <w:bookmarkStart w:id="35" w:name="_Toc217455261"/>
      <w:bookmarkStart w:id="36" w:name="_Toc527634608"/>
      <w:bookmarkStart w:id="37" w:name="_Toc529773875"/>
      <w:bookmarkStart w:id="38" w:name="_Toc531088341"/>
      <w:bookmarkStart w:id="39" w:name="_Toc24100140"/>
      <w:bookmarkStart w:id="40" w:name="_Toc52348288"/>
      <w:bookmarkStart w:id="41" w:name="_Toc54691921"/>
      <w:bookmarkStart w:id="42" w:name="_Toc121292759"/>
      <w:bookmarkStart w:id="43" w:name="_Toc121293082"/>
      <w:bookmarkStart w:id="44" w:name="_Toc291067875"/>
      <w:bookmarkStart w:id="45" w:name="_Toc399916258"/>
      <w:bookmarkStart w:id="46" w:name="_Toc465686681"/>
      <w:r w:rsidRPr="005A760B">
        <w:rPr>
          <w:color w:val="auto"/>
        </w:rPr>
        <w:t>III. Objetivo</w:t>
      </w:r>
      <w:bookmarkEnd w:id="35"/>
      <w:r w:rsidRPr="005A760B">
        <w:rPr>
          <w:color w:val="auto"/>
        </w:rPr>
        <w:t>, alcance y limitaciones</w:t>
      </w:r>
      <w:bookmarkEnd w:id="36"/>
      <w:bookmarkEnd w:id="37"/>
      <w:bookmarkEnd w:id="38"/>
      <w:bookmarkEnd w:id="39"/>
      <w:bookmarkEnd w:id="40"/>
      <w:bookmarkEnd w:id="41"/>
      <w:r w:rsidRPr="005A760B">
        <w:rPr>
          <w:color w:val="auto"/>
        </w:rPr>
        <w:t xml:space="preserve"> </w:t>
      </w:r>
    </w:p>
    <w:p w:rsidR="001049D6" w:rsidRPr="005A760B" w:rsidRDefault="001049D6" w:rsidP="001049D6">
      <w:pPr>
        <w:pStyle w:val="texto"/>
        <w:rPr>
          <w:szCs w:val="26"/>
        </w:rPr>
      </w:pPr>
      <w:r w:rsidRPr="005A760B">
        <w:rPr>
          <w:szCs w:val="26"/>
        </w:rPr>
        <w:t xml:space="preserve">Los objetivos de este trabajo </w:t>
      </w:r>
      <w:r w:rsidR="004C2414" w:rsidRPr="005A760B">
        <w:rPr>
          <w:szCs w:val="26"/>
        </w:rPr>
        <w:t>han sido</w:t>
      </w:r>
      <w:r w:rsidRPr="005A760B">
        <w:rPr>
          <w:szCs w:val="26"/>
        </w:rPr>
        <w:t>:</w:t>
      </w:r>
    </w:p>
    <w:p w:rsidR="001049D6" w:rsidRPr="005A760B" w:rsidRDefault="00ED1F03" w:rsidP="009E29F8">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Presentar un resumen</w:t>
      </w:r>
      <w:r w:rsidR="00FD3D00" w:rsidRPr="005A760B">
        <w:rPr>
          <w:rFonts w:cs="Arial"/>
        </w:rPr>
        <w:t xml:space="preserve"> de</w:t>
      </w:r>
      <w:r w:rsidRPr="005A760B">
        <w:rPr>
          <w:rFonts w:cs="Arial"/>
        </w:rPr>
        <w:t xml:space="preserve"> </w:t>
      </w:r>
      <w:r w:rsidR="001049D6" w:rsidRPr="005A760B">
        <w:rPr>
          <w:rFonts w:cs="Arial"/>
        </w:rPr>
        <w:t>las actuaciones de fiscalización que esta Cámara realizó en el ámbito de las entidades locales de Navarra en relación con el eje</w:t>
      </w:r>
      <w:r w:rsidR="001049D6" w:rsidRPr="005A760B">
        <w:rPr>
          <w:rFonts w:cs="Arial"/>
        </w:rPr>
        <w:t>r</w:t>
      </w:r>
      <w:r w:rsidR="001049D6" w:rsidRPr="005A760B">
        <w:rPr>
          <w:rFonts w:cs="Arial"/>
        </w:rPr>
        <w:t>cicio 2018.</w:t>
      </w:r>
    </w:p>
    <w:p w:rsidR="001049D6" w:rsidRPr="005A760B" w:rsidRDefault="00CD3E30" w:rsidP="009E29F8">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Analizar</w:t>
      </w:r>
      <w:r w:rsidR="001049D6" w:rsidRPr="005A760B">
        <w:rPr>
          <w:rFonts w:cs="Arial"/>
        </w:rPr>
        <w:t xml:space="preserve"> la contratación realizada por las entidades locales de Navarra en 2018.</w:t>
      </w:r>
    </w:p>
    <w:p w:rsidR="001049D6" w:rsidRPr="005A760B" w:rsidRDefault="001049D6" w:rsidP="009E29F8">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Ofrecer al Parlamento, a las Administracion</w:t>
      </w:r>
      <w:r w:rsidR="00816E87" w:rsidRPr="005A760B">
        <w:rPr>
          <w:rFonts w:cs="Arial"/>
        </w:rPr>
        <w:t>es Públicas y a la sociedad</w:t>
      </w:r>
      <w:r w:rsidR="00B81E61" w:rsidRPr="005A760B">
        <w:rPr>
          <w:rFonts w:cs="Arial"/>
        </w:rPr>
        <w:t xml:space="preserve"> </w:t>
      </w:r>
      <w:r w:rsidR="00816E87" w:rsidRPr="005A760B">
        <w:rPr>
          <w:rFonts w:cs="Arial"/>
        </w:rPr>
        <w:t>n</w:t>
      </w:r>
      <w:r w:rsidRPr="005A760B">
        <w:rPr>
          <w:rFonts w:cs="Arial"/>
        </w:rPr>
        <w:t>a</w:t>
      </w:r>
      <w:r w:rsidRPr="005A760B">
        <w:rPr>
          <w:rFonts w:cs="Arial"/>
        </w:rPr>
        <w:t>varra una visión de la organización y de la situación financiera de las entidades locales de Navarra en el año 2018.</w:t>
      </w:r>
    </w:p>
    <w:p w:rsidR="001049D6" w:rsidRPr="005A760B" w:rsidRDefault="001049D6" w:rsidP="009E29F8">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Proponer al Parlamento, al Gobierno y a los entes locales de Navarra r</w:t>
      </w:r>
      <w:r w:rsidRPr="005A760B">
        <w:rPr>
          <w:rFonts w:cs="Arial"/>
        </w:rPr>
        <w:t>e</w:t>
      </w:r>
      <w:r w:rsidRPr="005A760B">
        <w:rPr>
          <w:rFonts w:cs="Arial"/>
        </w:rPr>
        <w:t>comendaciones para mejorar la gestión de las entidades locales.</w:t>
      </w:r>
    </w:p>
    <w:p w:rsidR="001049D6" w:rsidRPr="005A760B" w:rsidRDefault="001049D6" w:rsidP="009E29F8">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Realizar una comparativa por estratos de población de un conjunto de ind</w:t>
      </w:r>
      <w:r w:rsidRPr="005A760B">
        <w:rPr>
          <w:rFonts w:cs="Arial"/>
        </w:rPr>
        <w:t>i</w:t>
      </w:r>
      <w:r w:rsidRPr="005A760B">
        <w:rPr>
          <w:rFonts w:cs="Arial"/>
        </w:rPr>
        <w:t xml:space="preserve">cadores entre los ayuntamientos de Navarra y </w:t>
      </w:r>
      <w:r w:rsidR="00CD3E30" w:rsidRPr="005A760B">
        <w:rPr>
          <w:rFonts w:cs="Arial"/>
        </w:rPr>
        <w:t xml:space="preserve">los </w:t>
      </w:r>
      <w:r w:rsidRPr="005A760B">
        <w:rPr>
          <w:rFonts w:cs="Arial"/>
        </w:rPr>
        <w:t>del conjunto del Estado.</w:t>
      </w:r>
    </w:p>
    <w:p w:rsidR="001049D6" w:rsidRPr="005A760B" w:rsidRDefault="001049D6" w:rsidP="00ED1F03">
      <w:pPr>
        <w:pStyle w:val="texto"/>
        <w:tabs>
          <w:tab w:val="clear" w:pos="2835"/>
          <w:tab w:val="clear" w:pos="3969"/>
          <w:tab w:val="clear" w:pos="5103"/>
          <w:tab w:val="clear" w:pos="6237"/>
          <w:tab w:val="clear" w:pos="7371"/>
          <w:tab w:val="left" w:pos="480"/>
          <w:tab w:val="num" w:pos="644"/>
          <w:tab w:val="num" w:pos="720"/>
          <w:tab w:val="num" w:pos="1320"/>
          <w:tab w:val="num" w:pos="5606"/>
        </w:tabs>
        <w:ind w:firstLine="289"/>
        <w:rPr>
          <w:rFonts w:cs="Arial"/>
        </w:rPr>
      </w:pPr>
      <w:r w:rsidRPr="005A760B">
        <w:rPr>
          <w:rFonts w:cs="Arial"/>
        </w:rPr>
        <w:t>El alcance del trabajo es la Cuenta General del ejercicio 2018 de las entid</w:t>
      </w:r>
      <w:r w:rsidRPr="005A760B">
        <w:rPr>
          <w:rFonts w:cs="Arial"/>
        </w:rPr>
        <w:t>a</w:t>
      </w:r>
      <w:r w:rsidRPr="005A760B">
        <w:rPr>
          <w:rFonts w:cs="Arial"/>
        </w:rPr>
        <w:t xml:space="preserve">des </w:t>
      </w:r>
      <w:r w:rsidR="008F4891" w:rsidRPr="005A760B">
        <w:rPr>
          <w:rFonts w:cs="Arial"/>
        </w:rPr>
        <w:t xml:space="preserve">                          </w:t>
      </w:r>
      <w:r w:rsidRPr="005A760B">
        <w:rPr>
          <w:rFonts w:cs="Arial"/>
        </w:rPr>
        <w:t>locales, integrada por:</w:t>
      </w:r>
    </w:p>
    <w:p w:rsidR="001049D6" w:rsidRPr="005A760B" w:rsidRDefault="001049D6" w:rsidP="00FF7F6B">
      <w:pPr>
        <w:pStyle w:val="texto"/>
        <w:numPr>
          <w:ilvl w:val="0"/>
          <w:numId w:val="21"/>
        </w:numPr>
        <w:tabs>
          <w:tab w:val="clear" w:pos="2835"/>
          <w:tab w:val="clear" w:pos="3969"/>
          <w:tab w:val="clear" w:pos="5103"/>
          <w:tab w:val="clear" w:pos="6237"/>
          <w:tab w:val="clear" w:pos="7371"/>
          <w:tab w:val="left" w:pos="480"/>
          <w:tab w:val="num" w:pos="567"/>
          <w:tab w:val="num" w:pos="1320"/>
          <w:tab w:val="num" w:pos="5606"/>
        </w:tabs>
        <w:ind w:left="0" w:firstLine="289"/>
        <w:rPr>
          <w:rFonts w:cs="Arial"/>
        </w:rPr>
      </w:pPr>
      <w:r w:rsidRPr="005A760B">
        <w:rPr>
          <w:rFonts w:cs="Arial"/>
        </w:rPr>
        <w:t>La de la propia entidad (municipio, concejo o mancomunidad), así como la de sus organismos autónomos.</w:t>
      </w:r>
    </w:p>
    <w:p w:rsidR="001049D6" w:rsidRPr="005A760B" w:rsidRDefault="001049D6" w:rsidP="00FF7F6B">
      <w:pPr>
        <w:pStyle w:val="texto"/>
        <w:numPr>
          <w:ilvl w:val="0"/>
          <w:numId w:val="21"/>
        </w:numPr>
        <w:tabs>
          <w:tab w:val="clear" w:pos="2835"/>
          <w:tab w:val="clear" w:pos="3969"/>
          <w:tab w:val="clear" w:pos="5103"/>
          <w:tab w:val="clear" w:pos="6237"/>
          <w:tab w:val="clear" w:pos="7371"/>
          <w:tab w:val="left" w:pos="480"/>
          <w:tab w:val="num" w:pos="567"/>
          <w:tab w:val="num" w:pos="1320"/>
          <w:tab w:val="num" w:pos="5606"/>
        </w:tabs>
        <w:ind w:left="0" w:firstLine="289"/>
        <w:rPr>
          <w:rFonts w:cs="Arial"/>
        </w:rPr>
      </w:pPr>
      <w:r w:rsidRPr="005A760B">
        <w:rPr>
          <w:rFonts w:cs="Arial"/>
        </w:rPr>
        <w:t>La de las sociedades mercantiles de capital íntegramente propiedad de la entidad local.</w:t>
      </w:r>
    </w:p>
    <w:p w:rsidR="001049D6" w:rsidRPr="005A760B" w:rsidRDefault="00CD3E30" w:rsidP="00CD3E30">
      <w:pPr>
        <w:pStyle w:val="texto"/>
        <w:tabs>
          <w:tab w:val="clear" w:pos="2835"/>
          <w:tab w:val="clear" w:pos="3969"/>
          <w:tab w:val="clear" w:pos="5103"/>
          <w:tab w:val="clear" w:pos="6237"/>
          <w:tab w:val="clear" w:pos="7371"/>
          <w:tab w:val="left" w:pos="480"/>
          <w:tab w:val="num" w:pos="644"/>
          <w:tab w:val="num" w:pos="720"/>
          <w:tab w:val="num" w:pos="1320"/>
          <w:tab w:val="num" w:pos="5606"/>
        </w:tabs>
        <w:ind w:left="289" w:firstLine="0"/>
        <w:rPr>
          <w:rFonts w:cs="Arial"/>
        </w:rPr>
      </w:pPr>
      <w:r w:rsidRPr="005A760B">
        <w:rPr>
          <w:rFonts w:cs="Arial"/>
        </w:rPr>
        <w:t xml:space="preserve">c) </w:t>
      </w:r>
      <w:r w:rsidR="001049D6" w:rsidRPr="005A760B">
        <w:rPr>
          <w:rFonts w:cs="Arial"/>
        </w:rPr>
        <w:t>Los anexos.</w:t>
      </w:r>
    </w:p>
    <w:p w:rsidR="001049D6" w:rsidRPr="005A760B" w:rsidRDefault="009E29F8" w:rsidP="001049D6">
      <w:pPr>
        <w:pStyle w:val="texto"/>
        <w:tabs>
          <w:tab w:val="clear" w:pos="2835"/>
          <w:tab w:val="clear" w:pos="3969"/>
          <w:tab w:val="clear" w:pos="5103"/>
          <w:tab w:val="clear" w:pos="6237"/>
          <w:tab w:val="clear" w:pos="7371"/>
          <w:tab w:val="left" w:pos="851"/>
        </w:tabs>
        <w:spacing w:before="120" w:after="120"/>
        <w:rPr>
          <w:szCs w:val="26"/>
        </w:rPr>
      </w:pPr>
      <w:r w:rsidRPr="005A760B">
        <w:rPr>
          <w:szCs w:val="26"/>
        </w:rPr>
        <w:t>Asimismo,</w:t>
      </w:r>
      <w:r w:rsidR="001049D6" w:rsidRPr="005A760B">
        <w:rPr>
          <w:szCs w:val="26"/>
        </w:rPr>
        <w:t xml:space="preserve"> se revisará el informe sobre la situación financiera elaborado por el Departamento de Cohesión Territorial.</w:t>
      </w:r>
    </w:p>
    <w:p w:rsidR="001049D6" w:rsidRPr="005A760B" w:rsidRDefault="001049D6" w:rsidP="001049D6">
      <w:pPr>
        <w:pStyle w:val="texto"/>
      </w:pPr>
      <w:r w:rsidRPr="005A760B">
        <w:t>En el análisis de la situación financiera del sector público local, ha supuesto una limitación a nuestro trabajo la falta de información económico-financiera y presupuestaria sobre los entes locales que no habían remitido la Cuenta General del ejercicio 2018 a la Dirección General de Administración Local y Despob</w:t>
      </w:r>
      <w:r w:rsidR="00816E87" w:rsidRPr="005A760B">
        <w:t>l</w:t>
      </w:r>
      <w:r w:rsidR="00816E87" w:rsidRPr="005A760B">
        <w:t>a</w:t>
      </w:r>
      <w:r w:rsidR="00816E87" w:rsidRPr="005A760B">
        <w:t>ción a finales de junio de 2020</w:t>
      </w:r>
      <w:r w:rsidRPr="005A760B">
        <w:t>, que son:</w:t>
      </w:r>
    </w:p>
    <w:p w:rsidR="001049D6" w:rsidRPr="005A760B" w:rsidRDefault="001049D6" w:rsidP="009E29F8">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 xml:space="preserve">17 de los 272 municipios: </w:t>
      </w:r>
      <w:proofErr w:type="spellStart"/>
      <w:r w:rsidRPr="005A760B">
        <w:rPr>
          <w:rFonts w:cs="Arial"/>
        </w:rPr>
        <w:t>Abaurr</w:t>
      </w:r>
      <w:r w:rsidR="00816E87" w:rsidRPr="005A760B">
        <w:rPr>
          <w:rFonts w:cs="Arial"/>
        </w:rPr>
        <w:t>e</w:t>
      </w:r>
      <w:r w:rsidRPr="005A760B">
        <w:rPr>
          <w:rFonts w:cs="Arial"/>
        </w:rPr>
        <w:t>a</w:t>
      </w:r>
      <w:proofErr w:type="spellEnd"/>
      <w:r w:rsidRPr="005A760B">
        <w:rPr>
          <w:rFonts w:cs="Arial"/>
        </w:rPr>
        <w:t xml:space="preserve"> Alta, </w:t>
      </w:r>
      <w:proofErr w:type="spellStart"/>
      <w:r w:rsidRPr="005A760B">
        <w:rPr>
          <w:rFonts w:cs="Arial"/>
        </w:rPr>
        <w:t>Abaurrea</w:t>
      </w:r>
      <w:proofErr w:type="spellEnd"/>
      <w:r w:rsidRPr="005A760B">
        <w:rPr>
          <w:rFonts w:cs="Arial"/>
        </w:rPr>
        <w:t xml:space="preserve"> Baja, </w:t>
      </w:r>
      <w:proofErr w:type="spellStart"/>
      <w:r w:rsidRPr="005A760B">
        <w:rPr>
          <w:rFonts w:cs="Arial"/>
        </w:rPr>
        <w:t>Añorbe</w:t>
      </w:r>
      <w:proofErr w:type="spellEnd"/>
      <w:r w:rsidRPr="005A760B">
        <w:rPr>
          <w:rFonts w:cs="Arial"/>
        </w:rPr>
        <w:t xml:space="preserve">, </w:t>
      </w:r>
      <w:proofErr w:type="spellStart"/>
      <w:r w:rsidRPr="005A760B">
        <w:rPr>
          <w:rFonts w:cs="Arial"/>
        </w:rPr>
        <w:t>Azagra</w:t>
      </w:r>
      <w:proofErr w:type="spellEnd"/>
      <w:r w:rsidRPr="005A760B">
        <w:rPr>
          <w:rFonts w:cs="Arial"/>
        </w:rPr>
        <w:t xml:space="preserve">, </w:t>
      </w:r>
      <w:proofErr w:type="spellStart"/>
      <w:r w:rsidRPr="005A760B">
        <w:rPr>
          <w:rFonts w:cs="Arial"/>
        </w:rPr>
        <w:t>Eratsun</w:t>
      </w:r>
      <w:proofErr w:type="spellEnd"/>
      <w:r w:rsidRPr="005A760B">
        <w:rPr>
          <w:rFonts w:cs="Arial"/>
        </w:rPr>
        <w:t xml:space="preserve">, </w:t>
      </w:r>
      <w:proofErr w:type="spellStart"/>
      <w:r w:rsidRPr="005A760B">
        <w:rPr>
          <w:rFonts w:cs="Arial"/>
        </w:rPr>
        <w:t>Ezcároz</w:t>
      </w:r>
      <w:proofErr w:type="spellEnd"/>
      <w:r w:rsidRPr="005A760B">
        <w:rPr>
          <w:rFonts w:cs="Arial"/>
        </w:rPr>
        <w:t xml:space="preserve">, </w:t>
      </w:r>
      <w:proofErr w:type="spellStart"/>
      <w:r w:rsidRPr="005A760B">
        <w:rPr>
          <w:rFonts w:cs="Arial"/>
        </w:rPr>
        <w:t>Ezkurra</w:t>
      </w:r>
      <w:proofErr w:type="spellEnd"/>
      <w:r w:rsidRPr="005A760B">
        <w:rPr>
          <w:rFonts w:cs="Arial"/>
        </w:rPr>
        <w:t xml:space="preserve">, </w:t>
      </w:r>
      <w:proofErr w:type="spellStart"/>
      <w:r w:rsidRPr="005A760B">
        <w:rPr>
          <w:rFonts w:cs="Arial"/>
        </w:rPr>
        <w:t>Fitero</w:t>
      </w:r>
      <w:proofErr w:type="spellEnd"/>
      <w:r w:rsidRPr="005A760B">
        <w:rPr>
          <w:rFonts w:cs="Arial"/>
        </w:rPr>
        <w:t xml:space="preserve">, </w:t>
      </w:r>
      <w:proofErr w:type="spellStart"/>
      <w:r w:rsidRPr="005A760B">
        <w:rPr>
          <w:rFonts w:cs="Arial"/>
        </w:rPr>
        <w:t>Imotz</w:t>
      </w:r>
      <w:proofErr w:type="spellEnd"/>
      <w:r w:rsidRPr="005A760B">
        <w:rPr>
          <w:rFonts w:cs="Arial"/>
        </w:rPr>
        <w:t xml:space="preserve">, </w:t>
      </w:r>
      <w:proofErr w:type="spellStart"/>
      <w:r w:rsidRPr="005A760B">
        <w:rPr>
          <w:rFonts w:cs="Arial"/>
        </w:rPr>
        <w:t>Jaurrieta</w:t>
      </w:r>
      <w:proofErr w:type="spellEnd"/>
      <w:r w:rsidRPr="005A760B">
        <w:rPr>
          <w:rFonts w:cs="Arial"/>
        </w:rPr>
        <w:t xml:space="preserve">, </w:t>
      </w:r>
      <w:proofErr w:type="spellStart"/>
      <w:r w:rsidRPr="005A760B">
        <w:rPr>
          <w:rFonts w:cs="Arial"/>
        </w:rPr>
        <w:t>Mélida</w:t>
      </w:r>
      <w:proofErr w:type="spellEnd"/>
      <w:r w:rsidRPr="005A760B">
        <w:rPr>
          <w:rFonts w:cs="Arial"/>
        </w:rPr>
        <w:t xml:space="preserve">, </w:t>
      </w:r>
      <w:proofErr w:type="spellStart"/>
      <w:r w:rsidRPr="005A760B">
        <w:rPr>
          <w:rFonts w:cs="Arial"/>
        </w:rPr>
        <w:t>Orkoien</w:t>
      </w:r>
      <w:proofErr w:type="spellEnd"/>
      <w:r w:rsidRPr="005A760B">
        <w:rPr>
          <w:rFonts w:cs="Arial"/>
        </w:rPr>
        <w:t xml:space="preserve">, </w:t>
      </w:r>
      <w:proofErr w:type="spellStart"/>
      <w:r w:rsidRPr="005A760B">
        <w:rPr>
          <w:rFonts w:cs="Arial"/>
        </w:rPr>
        <w:t>Oronz</w:t>
      </w:r>
      <w:proofErr w:type="spellEnd"/>
      <w:r w:rsidRPr="005A760B">
        <w:rPr>
          <w:rFonts w:cs="Arial"/>
        </w:rPr>
        <w:t xml:space="preserve">, </w:t>
      </w:r>
      <w:proofErr w:type="spellStart"/>
      <w:r w:rsidRPr="005A760B">
        <w:rPr>
          <w:rFonts w:cs="Arial"/>
        </w:rPr>
        <w:t>Saldías</w:t>
      </w:r>
      <w:proofErr w:type="spellEnd"/>
      <w:r w:rsidRPr="005A760B">
        <w:rPr>
          <w:rFonts w:cs="Arial"/>
        </w:rPr>
        <w:t xml:space="preserve">, Valle de </w:t>
      </w:r>
      <w:proofErr w:type="spellStart"/>
      <w:r w:rsidRPr="005A760B">
        <w:rPr>
          <w:rFonts w:cs="Arial"/>
        </w:rPr>
        <w:t>Ollo</w:t>
      </w:r>
      <w:proofErr w:type="spellEnd"/>
      <w:r w:rsidRPr="005A760B">
        <w:rPr>
          <w:rFonts w:cs="Arial"/>
        </w:rPr>
        <w:t>, Valtierra y Zúñiga. La población de estos municipios asciende a 15.623 habitantes y representa el 2,4 por ciento de la población t</w:t>
      </w:r>
      <w:r w:rsidRPr="005A760B">
        <w:rPr>
          <w:rFonts w:cs="Arial"/>
        </w:rPr>
        <w:t>o</w:t>
      </w:r>
      <w:r w:rsidRPr="005A760B">
        <w:rPr>
          <w:rFonts w:cs="Arial"/>
        </w:rPr>
        <w:t xml:space="preserve">tal. </w:t>
      </w:r>
    </w:p>
    <w:p w:rsidR="001049D6" w:rsidRPr="005A760B" w:rsidRDefault="001049D6" w:rsidP="009E29F8">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Un total de 5</w:t>
      </w:r>
      <w:r w:rsidR="00FD3D00" w:rsidRPr="005A760B">
        <w:rPr>
          <w:rFonts w:cs="Arial"/>
        </w:rPr>
        <w:t>1</w:t>
      </w:r>
      <w:r w:rsidR="00895C77" w:rsidRPr="005A760B">
        <w:rPr>
          <w:rFonts w:cs="Arial"/>
        </w:rPr>
        <w:t xml:space="preserve"> </w:t>
      </w:r>
      <w:r w:rsidRPr="005A760B">
        <w:rPr>
          <w:rFonts w:cs="Arial"/>
        </w:rPr>
        <w:t xml:space="preserve">de los 346 concejos existentes en 2018: </w:t>
      </w:r>
      <w:proofErr w:type="spellStart"/>
      <w:r w:rsidRPr="005A760B">
        <w:rPr>
          <w:rFonts w:cs="Arial"/>
        </w:rPr>
        <w:t>Aizpún</w:t>
      </w:r>
      <w:proofErr w:type="spellEnd"/>
      <w:r w:rsidRPr="005A760B">
        <w:rPr>
          <w:rFonts w:cs="Arial"/>
        </w:rPr>
        <w:t xml:space="preserve">, </w:t>
      </w:r>
      <w:proofErr w:type="spellStart"/>
      <w:r w:rsidRPr="005A760B">
        <w:rPr>
          <w:rFonts w:cs="Arial"/>
        </w:rPr>
        <w:t>Albiasu</w:t>
      </w:r>
      <w:proofErr w:type="spellEnd"/>
      <w:r w:rsidRPr="005A760B">
        <w:rPr>
          <w:rFonts w:cs="Arial"/>
        </w:rPr>
        <w:t xml:space="preserve">, </w:t>
      </w:r>
      <w:proofErr w:type="spellStart"/>
      <w:r w:rsidRPr="005A760B">
        <w:rPr>
          <w:rFonts w:cs="Arial"/>
        </w:rPr>
        <w:t>Ancín</w:t>
      </w:r>
      <w:proofErr w:type="spellEnd"/>
      <w:r w:rsidRPr="005A760B">
        <w:rPr>
          <w:rFonts w:cs="Arial"/>
        </w:rPr>
        <w:t xml:space="preserve">, </w:t>
      </w:r>
      <w:proofErr w:type="spellStart"/>
      <w:r w:rsidRPr="005A760B">
        <w:rPr>
          <w:rFonts w:cs="Arial"/>
        </w:rPr>
        <w:t>Aos</w:t>
      </w:r>
      <w:proofErr w:type="spellEnd"/>
      <w:r w:rsidRPr="005A760B">
        <w:rPr>
          <w:rFonts w:cs="Arial"/>
        </w:rPr>
        <w:t xml:space="preserve">, </w:t>
      </w:r>
      <w:proofErr w:type="spellStart"/>
      <w:r w:rsidRPr="005A760B">
        <w:rPr>
          <w:rFonts w:cs="Arial"/>
        </w:rPr>
        <w:t>Arlegui</w:t>
      </w:r>
      <w:proofErr w:type="spellEnd"/>
      <w:r w:rsidRPr="005A760B">
        <w:rPr>
          <w:rFonts w:cs="Arial"/>
        </w:rPr>
        <w:t xml:space="preserve">, </w:t>
      </w:r>
      <w:proofErr w:type="spellStart"/>
      <w:r w:rsidRPr="005A760B">
        <w:rPr>
          <w:rFonts w:cs="Arial"/>
        </w:rPr>
        <w:t>Arrarats</w:t>
      </w:r>
      <w:proofErr w:type="spellEnd"/>
      <w:r w:rsidRPr="005A760B">
        <w:rPr>
          <w:rFonts w:cs="Arial"/>
        </w:rPr>
        <w:t xml:space="preserve">, Arrieta, </w:t>
      </w:r>
      <w:proofErr w:type="spellStart"/>
      <w:r w:rsidRPr="005A760B">
        <w:rPr>
          <w:rFonts w:cs="Arial"/>
        </w:rPr>
        <w:t>Astráin</w:t>
      </w:r>
      <w:proofErr w:type="spellEnd"/>
      <w:r w:rsidRPr="005A760B">
        <w:rPr>
          <w:rFonts w:cs="Arial"/>
        </w:rPr>
        <w:t xml:space="preserve">, </w:t>
      </w:r>
      <w:proofErr w:type="spellStart"/>
      <w:r w:rsidRPr="005A760B">
        <w:rPr>
          <w:rFonts w:cs="Arial"/>
        </w:rPr>
        <w:t>Bigüezal</w:t>
      </w:r>
      <w:proofErr w:type="spellEnd"/>
      <w:r w:rsidRPr="005A760B">
        <w:rPr>
          <w:rFonts w:cs="Arial"/>
        </w:rPr>
        <w:t xml:space="preserve">, </w:t>
      </w:r>
      <w:proofErr w:type="spellStart"/>
      <w:r w:rsidRPr="005A760B">
        <w:rPr>
          <w:rFonts w:cs="Arial"/>
        </w:rPr>
        <w:t>Cemboráin</w:t>
      </w:r>
      <w:proofErr w:type="spellEnd"/>
      <w:r w:rsidRPr="005A760B">
        <w:rPr>
          <w:rFonts w:cs="Arial"/>
        </w:rPr>
        <w:t xml:space="preserve">, </w:t>
      </w:r>
      <w:proofErr w:type="spellStart"/>
      <w:r w:rsidRPr="005A760B">
        <w:rPr>
          <w:rFonts w:cs="Arial"/>
        </w:rPr>
        <w:t>Cizur</w:t>
      </w:r>
      <w:proofErr w:type="spellEnd"/>
      <w:r w:rsidRPr="005A760B">
        <w:rPr>
          <w:rFonts w:cs="Arial"/>
        </w:rPr>
        <w:t xml:space="preserve"> Menor, </w:t>
      </w:r>
      <w:proofErr w:type="spellStart"/>
      <w:r w:rsidRPr="005A760B">
        <w:rPr>
          <w:rFonts w:cs="Arial"/>
        </w:rPr>
        <w:t>Egüés</w:t>
      </w:r>
      <w:proofErr w:type="spellEnd"/>
      <w:r w:rsidRPr="005A760B">
        <w:rPr>
          <w:rFonts w:cs="Arial"/>
        </w:rPr>
        <w:t xml:space="preserve">, </w:t>
      </w:r>
      <w:proofErr w:type="spellStart"/>
      <w:r w:rsidRPr="005A760B">
        <w:rPr>
          <w:rFonts w:cs="Arial"/>
        </w:rPr>
        <w:t>Etxaleku</w:t>
      </w:r>
      <w:proofErr w:type="spellEnd"/>
      <w:r w:rsidRPr="005A760B">
        <w:rPr>
          <w:rFonts w:cs="Arial"/>
        </w:rPr>
        <w:t xml:space="preserve">, </w:t>
      </w:r>
      <w:proofErr w:type="spellStart"/>
      <w:r w:rsidRPr="005A760B">
        <w:rPr>
          <w:rFonts w:cs="Arial"/>
        </w:rPr>
        <w:t>Galar</w:t>
      </w:r>
      <w:proofErr w:type="spellEnd"/>
      <w:r w:rsidRPr="005A760B">
        <w:rPr>
          <w:rFonts w:cs="Arial"/>
        </w:rPr>
        <w:t xml:space="preserve">, </w:t>
      </w:r>
      <w:proofErr w:type="spellStart"/>
      <w:r w:rsidRPr="005A760B">
        <w:rPr>
          <w:rFonts w:cs="Arial"/>
        </w:rPr>
        <w:t>Gazólaz</w:t>
      </w:r>
      <w:proofErr w:type="spellEnd"/>
      <w:r w:rsidRPr="005A760B">
        <w:rPr>
          <w:rFonts w:cs="Arial"/>
        </w:rPr>
        <w:t xml:space="preserve">, </w:t>
      </w:r>
      <w:proofErr w:type="spellStart"/>
      <w:r w:rsidRPr="005A760B">
        <w:rPr>
          <w:rFonts w:cs="Arial"/>
        </w:rPr>
        <w:t>Goldaratz</w:t>
      </w:r>
      <w:proofErr w:type="spellEnd"/>
      <w:r w:rsidRPr="005A760B">
        <w:rPr>
          <w:rFonts w:cs="Arial"/>
        </w:rPr>
        <w:t xml:space="preserve">, </w:t>
      </w:r>
      <w:proofErr w:type="spellStart"/>
      <w:r w:rsidRPr="005A760B">
        <w:rPr>
          <w:rFonts w:cs="Arial"/>
        </w:rPr>
        <w:t>Guembe</w:t>
      </w:r>
      <w:proofErr w:type="spellEnd"/>
      <w:r w:rsidRPr="005A760B">
        <w:rPr>
          <w:rFonts w:cs="Arial"/>
        </w:rPr>
        <w:t xml:space="preserve">, </w:t>
      </w:r>
      <w:proofErr w:type="spellStart"/>
      <w:r w:rsidRPr="005A760B">
        <w:rPr>
          <w:rFonts w:cs="Arial"/>
        </w:rPr>
        <w:t>Igoa</w:t>
      </w:r>
      <w:proofErr w:type="spellEnd"/>
      <w:r w:rsidRPr="005A760B">
        <w:rPr>
          <w:rFonts w:cs="Arial"/>
        </w:rPr>
        <w:t xml:space="preserve">, </w:t>
      </w:r>
      <w:proofErr w:type="spellStart"/>
      <w:r w:rsidRPr="005A760B">
        <w:rPr>
          <w:rFonts w:cs="Arial"/>
        </w:rPr>
        <w:t>Ihaben</w:t>
      </w:r>
      <w:proofErr w:type="spellEnd"/>
      <w:r w:rsidRPr="005A760B">
        <w:rPr>
          <w:rFonts w:cs="Arial"/>
        </w:rPr>
        <w:t xml:space="preserve">, </w:t>
      </w:r>
      <w:proofErr w:type="spellStart"/>
      <w:r w:rsidRPr="005A760B">
        <w:rPr>
          <w:rFonts w:cs="Arial"/>
        </w:rPr>
        <w:t>I</w:t>
      </w:r>
      <w:r w:rsidRPr="005A760B">
        <w:rPr>
          <w:rFonts w:cs="Arial"/>
        </w:rPr>
        <w:t>n</w:t>
      </w:r>
      <w:r w:rsidRPr="005A760B">
        <w:rPr>
          <w:rFonts w:cs="Arial"/>
        </w:rPr>
        <w:t>buluzketa</w:t>
      </w:r>
      <w:proofErr w:type="spellEnd"/>
      <w:r w:rsidRPr="005A760B">
        <w:rPr>
          <w:rFonts w:cs="Arial"/>
        </w:rPr>
        <w:t xml:space="preserve">, </w:t>
      </w:r>
      <w:proofErr w:type="spellStart"/>
      <w:r w:rsidRPr="005A760B">
        <w:rPr>
          <w:rFonts w:cs="Arial"/>
        </w:rPr>
        <w:t>Iturgoyen</w:t>
      </w:r>
      <w:proofErr w:type="spellEnd"/>
      <w:r w:rsidRPr="005A760B">
        <w:rPr>
          <w:rFonts w:cs="Arial"/>
        </w:rPr>
        <w:t xml:space="preserve">, </w:t>
      </w:r>
      <w:proofErr w:type="spellStart"/>
      <w:r w:rsidRPr="005A760B">
        <w:rPr>
          <w:rFonts w:cs="Arial"/>
        </w:rPr>
        <w:t>Izcue</w:t>
      </w:r>
      <w:proofErr w:type="spellEnd"/>
      <w:r w:rsidRPr="005A760B">
        <w:rPr>
          <w:rFonts w:cs="Arial"/>
        </w:rPr>
        <w:t xml:space="preserve">, </w:t>
      </w:r>
      <w:proofErr w:type="spellStart"/>
      <w:r w:rsidRPr="005A760B">
        <w:rPr>
          <w:rFonts w:cs="Arial"/>
        </w:rPr>
        <w:t>Jauntsarats</w:t>
      </w:r>
      <w:proofErr w:type="spellEnd"/>
      <w:r w:rsidRPr="005A760B">
        <w:rPr>
          <w:rFonts w:cs="Arial"/>
        </w:rPr>
        <w:t xml:space="preserve">, </w:t>
      </w:r>
      <w:proofErr w:type="spellStart"/>
      <w:r w:rsidRPr="005A760B">
        <w:rPr>
          <w:rFonts w:cs="Arial"/>
        </w:rPr>
        <w:t>Labeaga</w:t>
      </w:r>
      <w:proofErr w:type="spellEnd"/>
      <w:r w:rsidRPr="005A760B">
        <w:rPr>
          <w:rFonts w:cs="Arial"/>
        </w:rPr>
        <w:t xml:space="preserve">, </w:t>
      </w:r>
      <w:proofErr w:type="spellStart"/>
      <w:r w:rsidRPr="005A760B">
        <w:rPr>
          <w:rFonts w:cs="Arial"/>
        </w:rPr>
        <w:t>Lapoblación</w:t>
      </w:r>
      <w:proofErr w:type="spellEnd"/>
      <w:r w:rsidRPr="005A760B">
        <w:rPr>
          <w:rFonts w:cs="Arial"/>
        </w:rPr>
        <w:t xml:space="preserve">, Larraya, </w:t>
      </w:r>
      <w:proofErr w:type="spellStart"/>
      <w:r w:rsidRPr="005A760B">
        <w:rPr>
          <w:rFonts w:cs="Arial"/>
        </w:rPr>
        <w:t>L</w:t>
      </w:r>
      <w:r w:rsidRPr="005A760B">
        <w:rPr>
          <w:rFonts w:cs="Arial"/>
        </w:rPr>
        <w:t>a</w:t>
      </w:r>
      <w:r w:rsidRPr="005A760B">
        <w:rPr>
          <w:rFonts w:cs="Arial"/>
        </w:rPr>
        <w:t>rráyoz</w:t>
      </w:r>
      <w:proofErr w:type="spellEnd"/>
      <w:r w:rsidRPr="005A760B">
        <w:rPr>
          <w:rFonts w:cs="Arial"/>
        </w:rPr>
        <w:t xml:space="preserve">, </w:t>
      </w:r>
      <w:proofErr w:type="spellStart"/>
      <w:r w:rsidRPr="005A760B">
        <w:rPr>
          <w:rFonts w:cs="Arial"/>
        </w:rPr>
        <w:t>Latasa</w:t>
      </w:r>
      <w:proofErr w:type="spellEnd"/>
      <w:r w:rsidRPr="005A760B">
        <w:rPr>
          <w:rFonts w:cs="Arial"/>
        </w:rPr>
        <w:t xml:space="preserve">, </w:t>
      </w:r>
      <w:proofErr w:type="spellStart"/>
      <w:r w:rsidRPr="005A760B">
        <w:rPr>
          <w:rFonts w:cs="Arial"/>
        </w:rPr>
        <w:t>Lizaso</w:t>
      </w:r>
      <w:proofErr w:type="spellEnd"/>
      <w:r w:rsidRPr="005A760B">
        <w:rPr>
          <w:rFonts w:cs="Arial"/>
        </w:rPr>
        <w:t xml:space="preserve">, </w:t>
      </w:r>
      <w:proofErr w:type="spellStart"/>
      <w:r w:rsidRPr="005A760B">
        <w:rPr>
          <w:rFonts w:cs="Arial"/>
        </w:rPr>
        <w:t>Mendilibarri</w:t>
      </w:r>
      <w:proofErr w:type="spellEnd"/>
      <w:r w:rsidRPr="005A760B">
        <w:rPr>
          <w:rFonts w:cs="Arial"/>
        </w:rPr>
        <w:t xml:space="preserve">, </w:t>
      </w:r>
      <w:proofErr w:type="spellStart"/>
      <w:r w:rsidRPr="005A760B">
        <w:rPr>
          <w:rFonts w:cs="Arial"/>
        </w:rPr>
        <w:t>Munárriz</w:t>
      </w:r>
      <w:proofErr w:type="spellEnd"/>
      <w:r w:rsidRPr="005A760B">
        <w:rPr>
          <w:rFonts w:cs="Arial"/>
        </w:rPr>
        <w:t xml:space="preserve">, </w:t>
      </w:r>
      <w:proofErr w:type="spellStart"/>
      <w:r w:rsidRPr="005A760B">
        <w:rPr>
          <w:rFonts w:cs="Arial"/>
        </w:rPr>
        <w:t>Muru-Astráin</w:t>
      </w:r>
      <w:proofErr w:type="spellEnd"/>
      <w:r w:rsidRPr="005A760B">
        <w:rPr>
          <w:rFonts w:cs="Arial"/>
        </w:rPr>
        <w:t xml:space="preserve">, </w:t>
      </w:r>
      <w:proofErr w:type="spellStart"/>
      <w:r w:rsidRPr="005A760B">
        <w:rPr>
          <w:rFonts w:cs="Arial"/>
        </w:rPr>
        <w:t>Murugarren</w:t>
      </w:r>
      <w:proofErr w:type="spellEnd"/>
      <w:r w:rsidRPr="005A760B">
        <w:rPr>
          <w:rFonts w:cs="Arial"/>
        </w:rPr>
        <w:t xml:space="preserve">, </w:t>
      </w:r>
      <w:proofErr w:type="spellStart"/>
      <w:r w:rsidRPr="005A760B">
        <w:rPr>
          <w:rFonts w:cs="Arial"/>
        </w:rPr>
        <w:t>Muskitz</w:t>
      </w:r>
      <w:proofErr w:type="spellEnd"/>
      <w:r w:rsidRPr="005A760B">
        <w:rPr>
          <w:rFonts w:cs="Arial"/>
        </w:rPr>
        <w:t xml:space="preserve">, </w:t>
      </w:r>
      <w:proofErr w:type="spellStart"/>
      <w:r w:rsidRPr="005A760B">
        <w:rPr>
          <w:rFonts w:cs="Arial"/>
        </w:rPr>
        <w:t>Olaz</w:t>
      </w:r>
      <w:proofErr w:type="spellEnd"/>
      <w:r w:rsidRPr="005A760B">
        <w:rPr>
          <w:rFonts w:cs="Arial"/>
        </w:rPr>
        <w:t xml:space="preserve">, </w:t>
      </w:r>
      <w:proofErr w:type="spellStart"/>
      <w:r w:rsidRPr="005A760B">
        <w:rPr>
          <w:rFonts w:cs="Arial"/>
        </w:rPr>
        <w:t>Olóriz</w:t>
      </w:r>
      <w:proofErr w:type="spellEnd"/>
      <w:r w:rsidRPr="005A760B">
        <w:rPr>
          <w:rFonts w:cs="Arial"/>
        </w:rPr>
        <w:t xml:space="preserve">, </w:t>
      </w:r>
      <w:proofErr w:type="spellStart"/>
      <w:r w:rsidRPr="005A760B">
        <w:rPr>
          <w:rFonts w:cs="Arial"/>
        </w:rPr>
        <w:t>Osacar</w:t>
      </w:r>
      <w:proofErr w:type="spellEnd"/>
      <w:r w:rsidRPr="005A760B">
        <w:rPr>
          <w:rFonts w:cs="Arial"/>
        </w:rPr>
        <w:t xml:space="preserve">, </w:t>
      </w:r>
      <w:proofErr w:type="spellStart"/>
      <w:r w:rsidRPr="005A760B">
        <w:rPr>
          <w:rFonts w:cs="Arial"/>
        </w:rPr>
        <w:t>Oskotz</w:t>
      </w:r>
      <w:proofErr w:type="spellEnd"/>
      <w:r w:rsidRPr="005A760B">
        <w:rPr>
          <w:rFonts w:cs="Arial"/>
        </w:rPr>
        <w:t xml:space="preserve">, </w:t>
      </w:r>
      <w:proofErr w:type="spellStart"/>
      <w:r w:rsidRPr="005A760B">
        <w:rPr>
          <w:rFonts w:cs="Arial"/>
        </w:rPr>
        <w:t>Paternáin</w:t>
      </w:r>
      <w:proofErr w:type="spellEnd"/>
      <w:r w:rsidRPr="005A760B">
        <w:rPr>
          <w:rFonts w:cs="Arial"/>
        </w:rPr>
        <w:t xml:space="preserve">, </w:t>
      </w:r>
      <w:proofErr w:type="spellStart"/>
      <w:r w:rsidRPr="005A760B">
        <w:rPr>
          <w:rFonts w:cs="Arial"/>
        </w:rPr>
        <w:t>Saigots</w:t>
      </w:r>
      <w:proofErr w:type="spellEnd"/>
      <w:r w:rsidRPr="005A760B">
        <w:rPr>
          <w:rFonts w:cs="Arial"/>
        </w:rPr>
        <w:t xml:space="preserve">, </w:t>
      </w:r>
      <w:proofErr w:type="spellStart"/>
      <w:r w:rsidRPr="005A760B">
        <w:rPr>
          <w:rFonts w:cs="Arial"/>
        </w:rPr>
        <w:t>Saldise</w:t>
      </w:r>
      <w:proofErr w:type="spellEnd"/>
      <w:r w:rsidRPr="005A760B">
        <w:rPr>
          <w:rFonts w:cs="Arial"/>
        </w:rPr>
        <w:t xml:space="preserve">, </w:t>
      </w:r>
      <w:proofErr w:type="spellStart"/>
      <w:r w:rsidRPr="005A760B">
        <w:rPr>
          <w:rFonts w:cs="Arial"/>
        </w:rPr>
        <w:t>Senosiain</w:t>
      </w:r>
      <w:proofErr w:type="spellEnd"/>
      <w:r w:rsidRPr="005A760B">
        <w:rPr>
          <w:rFonts w:cs="Arial"/>
        </w:rPr>
        <w:t xml:space="preserve">, </w:t>
      </w:r>
      <w:proofErr w:type="spellStart"/>
      <w:r w:rsidRPr="005A760B">
        <w:rPr>
          <w:rFonts w:cs="Arial"/>
        </w:rPr>
        <w:t>Undiano</w:t>
      </w:r>
      <w:proofErr w:type="spellEnd"/>
      <w:r w:rsidRPr="005A760B">
        <w:rPr>
          <w:rFonts w:cs="Arial"/>
        </w:rPr>
        <w:t xml:space="preserve">, </w:t>
      </w:r>
      <w:proofErr w:type="spellStart"/>
      <w:r w:rsidRPr="005A760B">
        <w:rPr>
          <w:rFonts w:cs="Arial"/>
        </w:rPr>
        <w:t>Unzu</w:t>
      </w:r>
      <w:proofErr w:type="spellEnd"/>
      <w:r w:rsidRPr="005A760B">
        <w:rPr>
          <w:rFonts w:cs="Arial"/>
        </w:rPr>
        <w:t xml:space="preserve">, </w:t>
      </w:r>
      <w:proofErr w:type="spellStart"/>
      <w:r w:rsidRPr="005A760B">
        <w:rPr>
          <w:rFonts w:cs="Arial"/>
        </w:rPr>
        <w:t>Úriz</w:t>
      </w:r>
      <w:proofErr w:type="spellEnd"/>
      <w:r w:rsidRPr="005A760B">
        <w:rPr>
          <w:rFonts w:cs="Arial"/>
        </w:rPr>
        <w:t xml:space="preserve">, </w:t>
      </w:r>
      <w:proofErr w:type="spellStart"/>
      <w:r w:rsidRPr="005A760B">
        <w:rPr>
          <w:rFonts w:cs="Arial"/>
        </w:rPr>
        <w:t>Urritza</w:t>
      </w:r>
      <w:proofErr w:type="spellEnd"/>
      <w:r w:rsidRPr="005A760B">
        <w:rPr>
          <w:rFonts w:cs="Arial"/>
        </w:rPr>
        <w:t xml:space="preserve">, </w:t>
      </w:r>
      <w:proofErr w:type="spellStart"/>
      <w:r w:rsidRPr="005A760B">
        <w:rPr>
          <w:rFonts w:cs="Arial"/>
        </w:rPr>
        <w:t>Vidaurre</w:t>
      </w:r>
      <w:proofErr w:type="spellEnd"/>
      <w:r w:rsidRPr="005A760B">
        <w:rPr>
          <w:rFonts w:cs="Arial"/>
        </w:rPr>
        <w:t xml:space="preserve">, </w:t>
      </w:r>
      <w:proofErr w:type="spellStart"/>
      <w:r w:rsidRPr="005A760B">
        <w:rPr>
          <w:rFonts w:cs="Arial"/>
        </w:rPr>
        <w:t>Zábal</w:t>
      </w:r>
      <w:proofErr w:type="spellEnd"/>
      <w:r w:rsidRPr="005A760B">
        <w:rPr>
          <w:rFonts w:cs="Arial"/>
        </w:rPr>
        <w:t xml:space="preserve">, </w:t>
      </w:r>
      <w:proofErr w:type="spellStart"/>
      <w:r w:rsidRPr="005A760B">
        <w:rPr>
          <w:rFonts w:cs="Arial"/>
        </w:rPr>
        <w:t>Zariquiegui</w:t>
      </w:r>
      <w:proofErr w:type="spellEnd"/>
      <w:r w:rsidRPr="005A760B">
        <w:rPr>
          <w:rFonts w:cs="Arial"/>
        </w:rPr>
        <w:t xml:space="preserve">, </w:t>
      </w:r>
      <w:proofErr w:type="spellStart"/>
      <w:r w:rsidRPr="005A760B">
        <w:rPr>
          <w:rFonts w:cs="Arial"/>
        </w:rPr>
        <w:t>Zarrantz</w:t>
      </w:r>
      <w:proofErr w:type="spellEnd"/>
      <w:r w:rsidRPr="005A760B">
        <w:rPr>
          <w:rFonts w:cs="Arial"/>
        </w:rPr>
        <w:t xml:space="preserve"> y </w:t>
      </w:r>
      <w:proofErr w:type="spellStart"/>
      <w:r w:rsidRPr="005A760B">
        <w:rPr>
          <w:rFonts w:cs="Arial"/>
        </w:rPr>
        <w:t>Zubiri</w:t>
      </w:r>
      <w:proofErr w:type="spellEnd"/>
      <w:r w:rsidRPr="005A760B">
        <w:rPr>
          <w:rFonts w:cs="Arial"/>
        </w:rPr>
        <w:t xml:space="preserve">. La población de estos concejos es de 7.655 personas y representa el </w:t>
      </w:r>
      <w:r w:rsidR="00656810" w:rsidRPr="005A760B">
        <w:rPr>
          <w:rFonts w:cs="Arial"/>
        </w:rPr>
        <w:t>19</w:t>
      </w:r>
      <w:r w:rsidRPr="005A760B">
        <w:rPr>
          <w:rFonts w:cs="Arial"/>
        </w:rPr>
        <w:t xml:space="preserve"> por ciento de la población </w:t>
      </w:r>
      <w:r w:rsidR="00656810" w:rsidRPr="005A760B">
        <w:rPr>
          <w:rFonts w:cs="Arial"/>
        </w:rPr>
        <w:t xml:space="preserve">de los concejos </w:t>
      </w:r>
      <w:r w:rsidRPr="005A760B">
        <w:rPr>
          <w:rFonts w:cs="Arial"/>
        </w:rPr>
        <w:t>de Navarra.</w:t>
      </w:r>
    </w:p>
    <w:p w:rsidR="001049D6" w:rsidRPr="005A760B" w:rsidRDefault="001049D6" w:rsidP="009E29F8">
      <w:pPr>
        <w:pStyle w:val="texto"/>
        <w:tabs>
          <w:tab w:val="clear" w:pos="2835"/>
          <w:tab w:val="clear" w:pos="3969"/>
          <w:tab w:val="clear" w:pos="5103"/>
          <w:tab w:val="clear" w:pos="6237"/>
          <w:tab w:val="clear" w:pos="7371"/>
          <w:tab w:val="left" w:pos="480"/>
          <w:tab w:val="num" w:pos="644"/>
          <w:tab w:val="num" w:pos="720"/>
          <w:tab w:val="num" w:pos="1320"/>
        </w:tabs>
        <w:rPr>
          <w:rFonts w:cs="Arial"/>
        </w:rPr>
      </w:pPr>
      <w:r w:rsidRPr="005A760B">
        <w:rPr>
          <w:rFonts w:cs="Arial"/>
        </w:rPr>
        <w:t xml:space="preserve">Destaca la falta de rendición de cuentas de los ocho concejos de </w:t>
      </w:r>
      <w:r w:rsidR="001A21D9" w:rsidRPr="005A760B">
        <w:rPr>
          <w:rFonts w:cs="Arial"/>
        </w:rPr>
        <w:t xml:space="preserve">la </w:t>
      </w:r>
      <w:proofErr w:type="spellStart"/>
      <w:r w:rsidR="001A21D9" w:rsidRPr="005A760B">
        <w:rPr>
          <w:rFonts w:cs="Arial"/>
        </w:rPr>
        <w:t>Cendea</w:t>
      </w:r>
      <w:proofErr w:type="spellEnd"/>
      <w:r w:rsidR="001A21D9" w:rsidRPr="005A760B">
        <w:rPr>
          <w:rFonts w:cs="Arial"/>
        </w:rPr>
        <w:t xml:space="preserve"> de </w:t>
      </w:r>
      <w:proofErr w:type="spellStart"/>
      <w:r w:rsidR="001A21D9" w:rsidRPr="005A760B">
        <w:rPr>
          <w:rFonts w:cs="Arial"/>
        </w:rPr>
        <w:t>Cizur</w:t>
      </w:r>
      <w:proofErr w:type="spellEnd"/>
      <w:r w:rsidRPr="005A760B">
        <w:rPr>
          <w:rFonts w:cs="Arial"/>
        </w:rPr>
        <w:t xml:space="preserve">, cuya población asciende a 3.850 habitantes y la de siete de los ocho concejos del Valle de </w:t>
      </w:r>
      <w:proofErr w:type="spellStart"/>
      <w:r w:rsidRPr="005A760B">
        <w:rPr>
          <w:rFonts w:cs="Arial"/>
        </w:rPr>
        <w:t>Imotz</w:t>
      </w:r>
      <w:proofErr w:type="spellEnd"/>
      <w:r w:rsidRPr="005A760B">
        <w:rPr>
          <w:rFonts w:cs="Arial"/>
        </w:rPr>
        <w:t xml:space="preserve"> cuyas poblaciones suman 388 habitantes.</w:t>
      </w:r>
      <w:r w:rsidR="00656810" w:rsidRPr="005A760B">
        <w:rPr>
          <w:rFonts w:cs="Arial"/>
        </w:rPr>
        <w:t xml:space="preserve"> Estos concejos representan el 55 por ciento del total de población de los concejos que no presentan cuentas.</w:t>
      </w:r>
    </w:p>
    <w:p w:rsidR="001049D6" w:rsidRPr="005A760B" w:rsidRDefault="00656810" w:rsidP="009E29F8">
      <w:pPr>
        <w:pStyle w:val="texto"/>
        <w:numPr>
          <w:ilvl w:val="0"/>
          <w:numId w:val="12"/>
        </w:numPr>
        <w:tabs>
          <w:tab w:val="clear" w:pos="2835"/>
          <w:tab w:val="clear" w:pos="3969"/>
          <w:tab w:val="clear" w:pos="5103"/>
          <w:tab w:val="clear" w:pos="6237"/>
          <w:tab w:val="clear" w:pos="7371"/>
          <w:tab w:val="left" w:pos="480"/>
          <w:tab w:val="num" w:pos="720"/>
          <w:tab w:val="num" w:pos="1320"/>
        </w:tabs>
        <w:ind w:left="0" w:firstLine="426"/>
        <w:rPr>
          <w:rFonts w:cs="Arial"/>
        </w:rPr>
      </w:pPr>
      <w:r w:rsidRPr="005A760B">
        <w:rPr>
          <w:rFonts w:cs="Arial"/>
        </w:rPr>
        <w:t>14 entidades de</w:t>
      </w:r>
      <w:r w:rsidR="001049D6" w:rsidRPr="005A760B">
        <w:rPr>
          <w:rFonts w:cs="Arial"/>
        </w:rPr>
        <w:t xml:space="preserve"> un total de 84 mancomunidades y agrupaciones: Agrup</w:t>
      </w:r>
      <w:r w:rsidR="001049D6" w:rsidRPr="005A760B">
        <w:rPr>
          <w:rFonts w:cs="Arial"/>
        </w:rPr>
        <w:t>a</w:t>
      </w:r>
      <w:r w:rsidR="001049D6" w:rsidRPr="005A760B">
        <w:rPr>
          <w:rFonts w:cs="Arial"/>
        </w:rPr>
        <w:t xml:space="preserve">ción de Ayuntamientos de </w:t>
      </w:r>
      <w:proofErr w:type="spellStart"/>
      <w:r w:rsidR="001049D6" w:rsidRPr="005A760B">
        <w:rPr>
          <w:rFonts w:cs="Arial"/>
        </w:rPr>
        <w:t>Burgui</w:t>
      </w:r>
      <w:proofErr w:type="spellEnd"/>
      <w:r w:rsidR="001049D6" w:rsidRPr="005A760B">
        <w:rPr>
          <w:rFonts w:cs="Arial"/>
        </w:rPr>
        <w:t xml:space="preserve">, </w:t>
      </w:r>
      <w:proofErr w:type="spellStart"/>
      <w:r w:rsidR="001049D6" w:rsidRPr="005A760B">
        <w:rPr>
          <w:rFonts w:cs="Arial"/>
        </w:rPr>
        <w:t>V</w:t>
      </w:r>
      <w:r w:rsidR="005F216E" w:rsidRPr="005A760B">
        <w:rPr>
          <w:rFonts w:cs="Arial"/>
        </w:rPr>
        <w:t>idángoz</w:t>
      </w:r>
      <w:proofErr w:type="spellEnd"/>
      <w:r w:rsidR="005F216E" w:rsidRPr="005A760B">
        <w:rPr>
          <w:rFonts w:cs="Arial"/>
        </w:rPr>
        <w:t xml:space="preserve"> y </w:t>
      </w:r>
      <w:proofErr w:type="spellStart"/>
      <w:r w:rsidR="005F216E" w:rsidRPr="005A760B">
        <w:rPr>
          <w:rFonts w:cs="Arial"/>
        </w:rPr>
        <w:t>Garde</w:t>
      </w:r>
      <w:proofErr w:type="spellEnd"/>
      <w:r w:rsidR="005F216E" w:rsidRPr="005A760B">
        <w:rPr>
          <w:rFonts w:cs="Arial"/>
        </w:rPr>
        <w:t>, Agrupación de Servicios A</w:t>
      </w:r>
      <w:r w:rsidR="001049D6" w:rsidRPr="005A760B">
        <w:rPr>
          <w:rFonts w:cs="Arial"/>
        </w:rPr>
        <w:t xml:space="preserve">dministrativos de Falces y Miranda de Arga, Junta de </w:t>
      </w:r>
      <w:proofErr w:type="spellStart"/>
      <w:r w:rsidR="001049D6" w:rsidRPr="005A760B">
        <w:rPr>
          <w:rFonts w:cs="Arial"/>
        </w:rPr>
        <w:t>Erreguerena</w:t>
      </w:r>
      <w:proofErr w:type="spellEnd"/>
      <w:r w:rsidR="001049D6" w:rsidRPr="005A760B">
        <w:rPr>
          <w:rFonts w:cs="Arial"/>
        </w:rPr>
        <w:t>, Manc</w:t>
      </w:r>
      <w:r w:rsidR="001049D6" w:rsidRPr="005A760B">
        <w:rPr>
          <w:rFonts w:cs="Arial"/>
        </w:rPr>
        <w:t>o</w:t>
      </w:r>
      <w:r w:rsidR="001049D6" w:rsidRPr="005A760B">
        <w:rPr>
          <w:rFonts w:cs="Arial"/>
        </w:rPr>
        <w:t>munidad de Servicios de la Comarc</w:t>
      </w:r>
      <w:r w:rsidR="005F216E" w:rsidRPr="005A760B">
        <w:rPr>
          <w:rFonts w:cs="Arial"/>
        </w:rPr>
        <w:t>a de Sangüesa, Mancomunidad de Servicios G</w:t>
      </w:r>
      <w:r w:rsidR="001049D6" w:rsidRPr="005A760B">
        <w:rPr>
          <w:rFonts w:cs="Arial"/>
        </w:rPr>
        <w:t xml:space="preserve">enerales de </w:t>
      </w:r>
      <w:proofErr w:type="spellStart"/>
      <w:r w:rsidR="001049D6" w:rsidRPr="005A760B">
        <w:rPr>
          <w:rFonts w:cs="Arial"/>
        </w:rPr>
        <w:t>Malerreka</w:t>
      </w:r>
      <w:proofErr w:type="spellEnd"/>
      <w:r w:rsidR="001049D6" w:rsidRPr="005A760B">
        <w:rPr>
          <w:rFonts w:cs="Arial"/>
        </w:rPr>
        <w:t xml:space="preserve">, Mancomunidad de Servicios Sociales de Base de la Zona de Los Arcos, Mancomunidad de Servicios Sociales de Base de </w:t>
      </w:r>
      <w:proofErr w:type="spellStart"/>
      <w:r w:rsidR="001049D6" w:rsidRPr="005A760B">
        <w:rPr>
          <w:rFonts w:cs="Arial"/>
        </w:rPr>
        <w:t>Olite</w:t>
      </w:r>
      <w:proofErr w:type="spellEnd"/>
      <w:r w:rsidR="001049D6" w:rsidRPr="005A760B">
        <w:rPr>
          <w:rFonts w:cs="Arial"/>
        </w:rPr>
        <w:t xml:space="preserve">, Mancomunidad de Servicios Sociales de Base de </w:t>
      </w:r>
      <w:proofErr w:type="spellStart"/>
      <w:r w:rsidR="001049D6" w:rsidRPr="005A760B">
        <w:rPr>
          <w:rFonts w:cs="Arial"/>
        </w:rPr>
        <w:t>Carcastillo</w:t>
      </w:r>
      <w:proofErr w:type="spellEnd"/>
      <w:r w:rsidR="001049D6" w:rsidRPr="005A760B">
        <w:rPr>
          <w:rFonts w:cs="Arial"/>
        </w:rPr>
        <w:t xml:space="preserve">, Mancomunidad de Servicios Sociales de Base y Deportes de </w:t>
      </w:r>
      <w:proofErr w:type="spellStart"/>
      <w:r w:rsidR="001049D6" w:rsidRPr="005A760B">
        <w:rPr>
          <w:rFonts w:cs="Arial"/>
        </w:rPr>
        <w:t>Valdizarb</w:t>
      </w:r>
      <w:r w:rsidR="00895C77" w:rsidRPr="005A760B">
        <w:rPr>
          <w:rFonts w:cs="Arial"/>
        </w:rPr>
        <w:t>e</w:t>
      </w:r>
      <w:proofErr w:type="spellEnd"/>
      <w:r w:rsidR="00895C77" w:rsidRPr="005A760B">
        <w:rPr>
          <w:rFonts w:cs="Arial"/>
        </w:rPr>
        <w:t xml:space="preserve">, Mancomunidad del Alto </w:t>
      </w:r>
      <w:proofErr w:type="spellStart"/>
      <w:r w:rsidR="00895C77" w:rsidRPr="005A760B">
        <w:rPr>
          <w:rFonts w:cs="Arial"/>
        </w:rPr>
        <w:t>Araxes</w:t>
      </w:r>
      <w:proofErr w:type="spellEnd"/>
      <w:r w:rsidR="00895C77" w:rsidRPr="005A760B">
        <w:rPr>
          <w:rFonts w:cs="Arial"/>
        </w:rPr>
        <w:t xml:space="preserve">, </w:t>
      </w:r>
      <w:r w:rsidR="005F216E" w:rsidRPr="005A760B">
        <w:rPr>
          <w:rFonts w:cs="Arial"/>
        </w:rPr>
        <w:t>Mancomunidad del E</w:t>
      </w:r>
      <w:r w:rsidR="00FE586D" w:rsidRPr="005A760B">
        <w:rPr>
          <w:rFonts w:cs="Arial"/>
        </w:rPr>
        <w:t xml:space="preserve">uskara de </w:t>
      </w:r>
      <w:proofErr w:type="spellStart"/>
      <w:r w:rsidR="00FE586D" w:rsidRPr="005A760B">
        <w:rPr>
          <w:rFonts w:cs="Arial"/>
        </w:rPr>
        <w:t>Bortziriak</w:t>
      </w:r>
      <w:proofErr w:type="spellEnd"/>
      <w:r w:rsidR="00FE586D" w:rsidRPr="005A760B">
        <w:rPr>
          <w:rFonts w:cs="Arial"/>
        </w:rPr>
        <w:t>, Mancomunidad Depo</w:t>
      </w:r>
      <w:r w:rsidR="005F216E" w:rsidRPr="005A760B">
        <w:rPr>
          <w:rFonts w:cs="Arial"/>
        </w:rPr>
        <w:t>r</w:t>
      </w:r>
      <w:r w:rsidR="005F216E" w:rsidRPr="005A760B">
        <w:rPr>
          <w:rFonts w:cs="Arial"/>
        </w:rPr>
        <w:t xml:space="preserve">tiva </w:t>
      </w:r>
      <w:proofErr w:type="spellStart"/>
      <w:r w:rsidR="005F216E" w:rsidRPr="005A760B">
        <w:rPr>
          <w:rFonts w:cs="Arial"/>
        </w:rPr>
        <w:t>Orreaga</w:t>
      </w:r>
      <w:proofErr w:type="spellEnd"/>
      <w:r w:rsidR="005F216E" w:rsidRPr="005A760B">
        <w:rPr>
          <w:rFonts w:cs="Arial"/>
        </w:rPr>
        <w:t>, Mancomunidad de P</w:t>
      </w:r>
      <w:r w:rsidR="00FE586D" w:rsidRPr="005A760B">
        <w:rPr>
          <w:rFonts w:cs="Arial"/>
        </w:rPr>
        <w:t xml:space="preserve">ersonal de </w:t>
      </w:r>
      <w:proofErr w:type="spellStart"/>
      <w:r w:rsidR="00FE586D" w:rsidRPr="005A760B">
        <w:rPr>
          <w:rFonts w:cs="Arial"/>
        </w:rPr>
        <w:t>Ezcabarte-Olaibar</w:t>
      </w:r>
      <w:proofErr w:type="spellEnd"/>
      <w:r w:rsidR="00FE586D" w:rsidRPr="005A760B">
        <w:rPr>
          <w:rFonts w:cs="Arial"/>
        </w:rPr>
        <w:t xml:space="preserve"> </w:t>
      </w:r>
      <w:r w:rsidR="001049D6" w:rsidRPr="005A760B">
        <w:rPr>
          <w:rFonts w:cs="Arial"/>
        </w:rPr>
        <w:t>y Mancomun</w:t>
      </w:r>
      <w:r w:rsidR="001049D6" w:rsidRPr="005A760B">
        <w:rPr>
          <w:rFonts w:cs="Arial"/>
        </w:rPr>
        <w:t>i</w:t>
      </w:r>
      <w:r w:rsidR="001049D6" w:rsidRPr="005A760B">
        <w:rPr>
          <w:rFonts w:cs="Arial"/>
        </w:rPr>
        <w:t xml:space="preserve">dad Deportiva </w:t>
      </w:r>
      <w:proofErr w:type="spellStart"/>
      <w:r w:rsidR="001049D6" w:rsidRPr="005A760B">
        <w:rPr>
          <w:rFonts w:cs="Arial"/>
        </w:rPr>
        <w:t>Araitz</w:t>
      </w:r>
      <w:proofErr w:type="spellEnd"/>
      <w:r w:rsidR="001049D6" w:rsidRPr="005A760B">
        <w:rPr>
          <w:rFonts w:cs="Arial"/>
        </w:rPr>
        <w:t xml:space="preserve">, </w:t>
      </w:r>
      <w:proofErr w:type="spellStart"/>
      <w:r w:rsidR="001049D6" w:rsidRPr="005A760B">
        <w:rPr>
          <w:rFonts w:cs="Arial"/>
        </w:rPr>
        <w:t>Areso</w:t>
      </w:r>
      <w:proofErr w:type="spellEnd"/>
      <w:r w:rsidR="001049D6" w:rsidRPr="005A760B">
        <w:rPr>
          <w:rFonts w:cs="Arial"/>
        </w:rPr>
        <w:t xml:space="preserve">, </w:t>
      </w:r>
      <w:proofErr w:type="spellStart"/>
      <w:r w:rsidR="001049D6" w:rsidRPr="005A760B">
        <w:rPr>
          <w:rFonts w:cs="Arial"/>
        </w:rPr>
        <w:t>Betelu</w:t>
      </w:r>
      <w:proofErr w:type="spellEnd"/>
      <w:r w:rsidR="001049D6" w:rsidRPr="005A760B">
        <w:rPr>
          <w:rFonts w:cs="Arial"/>
        </w:rPr>
        <w:t xml:space="preserve">, </w:t>
      </w:r>
      <w:proofErr w:type="spellStart"/>
      <w:r w:rsidR="001049D6" w:rsidRPr="005A760B">
        <w:rPr>
          <w:rFonts w:cs="Arial"/>
        </w:rPr>
        <w:t>Larraun</w:t>
      </w:r>
      <w:proofErr w:type="spellEnd"/>
      <w:r w:rsidR="001049D6" w:rsidRPr="005A760B">
        <w:rPr>
          <w:rFonts w:cs="Arial"/>
        </w:rPr>
        <w:t xml:space="preserve"> y </w:t>
      </w:r>
      <w:proofErr w:type="spellStart"/>
      <w:r w:rsidR="001049D6" w:rsidRPr="005A760B">
        <w:rPr>
          <w:rFonts w:cs="Arial"/>
        </w:rPr>
        <w:t>Lekunberri</w:t>
      </w:r>
      <w:proofErr w:type="spellEnd"/>
      <w:r w:rsidR="001049D6" w:rsidRPr="005A760B">
        <w:rPr>
          <w:rFonts w:cs="Arial"/>
        </w:rPr>
        <w:t xml:space="preserve">. </w:t>
      </w:r>
    </w:p>
    <w:p w:rsidR="001049D6" w:rsidRPr="005A760B" w:rsidRDefault="001049D6" w:rsidP="009E29F8">
      <w:pPr>
        <w:pStyle w:val="texto"/>
      </w:pPr>
      <w:r w:rsidRPr="005A760B">
        <w:t>Por otra parte, conviene precisar que el citado análisis de la situación fina</w:t>
      </w:r>
      <w:r w:rsidRPr="005A760B">
        <w:t>n</w:t>
      </w:r>
      <w:r w:rsidRPr="005A760B">
        <w:t>ciera se elabora con los datos presupuestarios consolidados de las entidades l</w:t>
      </w:r>
      <w:r w:rsidRPr="005A760B">
        <w:t>o</w:t>
      </w:r>
      <w:r w:rsidRPr="005A760B">
        <w:t>cales y sus organismos autónomos. No se incluye información sobre las soci</w:t>
      </w:r>
      <w:r w:rsidRPr="005A760B">
        <w:t>e</w:t>
      </w:r>
      <w:r w:rsidRPr="005A760B">
        <w:t>dades públicas, las fundaciones públicas y los consorcios, excepto en el análisis del endeudamiento, donde sí se incluyen los datos correspondientes a las soci</w:t>
      </w:r>
      <w:r w:rsidRPr="005A760B">
        <w:t>e</w:t>
      </w:r>
      <w:r w:rsidRPr="005A760B">
        <w:t>dades dependientes de municipios y mancomunidades.</w:t>
      </w:r>
    </w:p>
    <w:p w:rsidR="001049D6" w:rsidRPr="005A760B" w:rsidRDefault="001049D6" w:rsidP="009E29F8">
      <w:pPr>
        <w:pStyle w:val="texto"/>
      </w:pPr>
      <w:r w:rsidRPr="005A760B">
        <w:t>Si bien ha existido esta limitación al alcance por falta de información, cons</w:t>
      </w:r>
      <w:r w:rsidRPr="005A760B">
        <w:t>i</w:t>
      </w:r>
      <w:r w:rsidRPr="005A760B">
        <w:t>deramos que las conclusiones alcanzadas en nuestro trabajo, en caso de haber dispuesto de esos datos, no habrían variado significativamente.</w:t>
      </w:r>
    </w:p>
    <w:p w:rsidR="001049D6" w:rsidRPr="005A760B" w:rsidRDefault="001049D6" w:rsidP="001049D6">
      <w:pPr>
        <w:rPr>
          <w:rFonts w:cs="Arial"/>
          <w:spacing w:val="6"/>
          <w:sz w:val="26"/>
          <w:szCs w:val="24"/>
        </w:rPr>
      </w:pPr>
      <w:r w:rsidRPr="005A760B">
        <w:br w:type="page"/>
      </w:r>
      <w:bookmarkEnd w:id="42"/>
      <w:bookmarkEnd w:id="43"/>
      <w:bookmarkEnd w:id="44"/>
      <w:bookmarkEnd w:id="45"/>
      <w:bookmarkEnd w:id="46"/>
    </w:p>
    <w:p w:rsidR="001049D6" w:rsidRPr="005A760B" w:rsidRDefault="001049D6" w:rsidP="001049D6">
      <w:pPr>
        <w:pStyle w:val="atitulo1"/>
        <w:rPr>
          <w:color w:val="auto"/>
        </w:rPr>
      </w:pPr>
      <w:bookmarkStart w:id="47" w:name="_Toc399916263"/>
      <w:bookmarkStart w:id="48" w:name="_Toc465686686"/>
      <w:bookmarkStart w:id="49" w:name="_Toc529773880"/>
      <w:bookmarkStart w:id="50" w:name="_Toc24100141"/>
      <w:bookmarkStart w:id="51" w:name="_Toc52348289"/>
      <w:bookmarkStart w:id="52" w:name="_Toc54691922"/>
      <w:r w:rsidRPr="005A760B">
        <w:rPr>
          <w:color w:val="auto"/>
        </w:rPr>
        <w:t>IV. Memoria-resumen de las actuaciones de fiscalización de entes locales</w:t>
      </w:r>
      <w:bookmarkEnd w:id="47"/>
      <w:bookmarkEnd w:id="48"/>
      <w:bookmarkEnd w:id="49"/>
      <w:bookmarkEnd w:id="50"/>
      <w:bookmarkEnd w:id="51"/>
      <w:bookmarkEnd w:id="52"/>
    </w:p>
    <w:p w:rsidR="001049D6" w:rsidRPr="005A760B" w:rsidRDefault="001049D6" w:rsidP="001049D6">
      <w:pPr>
        <w:pStyle w:val="texto"/>
        <w:rPr>
          <w:lang w:val="es-ES"/>
        </w:rPr>
      </w:pPr>
      <w:r w:rsidRPr="005A760B">
        <w:t>La Cámara de Comptos realizó la fiscalización de regularidad (fi</w:t>
      </w:r>
      <w:r w:rsidR="005F216E" w:rsidRPr="005A760B">
        <w:t>nanciera y de legalidad) de la C</w:t>
      </w:r>
      <w:r w:rsidRPr="005A760B">
        <w:t xml:space="preserve">uenta </w:t>
      </w:r>
      <w:r w:rsidR="005F216E" w:rsidRPr="005A760B">
        <w:t>G</w:t>
      </w:r>
      <w:r w:rsidRPr="005A760B">
        <w:t>eneral del año 2018 de los siguientes siete ayunt</w:t>
      </w:r>
      <w:r w:rsidRPr="005A760B">
        <w:t>a</w:t>
      </w:r>
      <w:r w:rsidRPr="005A760B">
        <w:t xml:space="preserve">mientos: Pamplona, Burlada, </w:t>
      </w:r>
      <w:r w:rsidR="00996AFB" w:rsidRPr="005A760B">
        <w:t xml:space="preserve">Viana, </w:t>
      </w:r>
      <w:r w:rsidRPr="005A760B">
        <w:t xml:space="preserve">Castejón, </w:t>
      </w:r>
      <w:proofErr w:type="spellStart"/>
      <w:r w:rsidR="00996AFB" w:rsidRPr="005A760B">
        <w:t>Murchante</w:t>
      </w:r>
      <w:proofErr w:type="spellEnd"/>
      <w:r w:rsidR="00996AFB" w:rsidRPr="005A760B">
        <w:t xml:space="preserve">, </w:t>
      </w:r>
      <w:proofErr w:type="spellStart"/>
      <w:r w:rsidR="00996AFB" w:rsidRPr="005A760B">
        <w:t>Olite</w:t>
      </w:r>
      <w:proofErr w:type="spellEnd"/>
      <w:r w:rsidR="00996AFB" w:rsidRPr="005A760B">
        <w:t xml:space="preserve"> y </w:t>
      </w:r>
      <w:r w:rsidR="00CB5535" w:rsidRPr="005A760B">
        <w:t>Marcilla. Adem</w:t>
      </w:r>
      <w:r w:rsidR="00943C8C">
        <w:t>á</w:t>
      </w:r>
      <w:r w:rsidRPr="005A760B">
        <w:t xml:space="preserve">s se </w:t>
      </w:r>
      <w:r w:rsidR="004C2414" w:rsidRPr="005A760B">
        <w:t>fiscalizó</w:t>
      </w:r>
      <w:r w:rsidRPr="005A760B">
        <w:t xml:space="preserve"> el Concejo de </w:t>
      </w:r>
      <w:proofErr w:type="spellStart"/>
      <w:r w:rsidRPr="005A760B">
        <w:t>Figarol</w:t>
      </w:r>
      <w:proofErr w:type="spellEnd"/>
      <w:r w:rsidRPr="005A760B">
        <w:t xml:space="preserve"> y el Consorcio de Desarrollo de la Zona Media de Navarra.</w:t>
      </w:r>
    </w:p>
    <w:p w:rsidR="001049D6" w:rsidRPr="005A760B" w:rsidRDefault="001049D6" w:rsidP="001049D6">
      <w:pPr>
        <w:pStyle w:val="texto"/>
        <w:spacing w:after="240"/>
      </w:pPr>
      <w:r w:rsidRPr="005A760B">
        <w:t>A continuación se muestran algunos datos de estos entes locales:</w:t>
      </w:r>
    </w:p>
    <w:tbl>
      <w:tblPr>
        <w:tblW w:w="5127" w:type="pct"/>
        <w:jc w:val="center"/>
        <w:tblCellMar>
          <w:left w:w="70" w:type="dxa"/>
          <w:right w:w="70" w:type="dxa"/>
        </w:tblCellMar>
        <w:tblLook w:val="04A0" w:firstRow="1" w:lastRow="0" w:firstColumn="1" w:lastColumn="0" w:noHBand="0" w:noVBand="1"/>
      </w:tblPr>
      <w:tblGrid>
        <w:gridCol w:w="2033"/>
        <w:gridCol w:w="792"/>
        <w:gridCol w:w="114"/>
        <w:gridCol w:w="895"/>
        <w:gridCol w:w="90"/>
        <w:gridCol w:w="1112"/>
        <w:gridCol w:w="98"/>
        <w:gridCol w:w="1007"/>
        <w:gridCol w:w="109"/>
        <w:gridCol w:w="914"/>
        <w:gridCol w:w="88"/>
        <w:gridCol w:w="7"/>
        <w:gridCol w:w="508"/>
        <w:gridCol w:w="632"/>
        <w:gridCol w:w="100"/>
        <w:gridCol w:w="636"/>
        <w:gridCol w:w="21"/>
      </w:tblGrid>
      <w:tr w:rsidR="00D70274" w:rsidRPr="005A760B" w:rsidTr="0054090E">
        <w:trPr>
          <w:trHeight w:val="375"/>
          <w:jc w:val="center"/>
        </w:trPr>
        <w:tc>
          <w:tcPr>
            <w:tcW w:w="1115" w:type="pct"/>
            <w:vMerge w:val="restart"/>
            <w:tcBorders>
              <w:top w:val="single" w:sz="4" w:space="0" w:color="auto"/>
              <w:left w:val="nil"/>
              <w:bottom w:val="single" w:sz="4" w:space="0" w:color="auto"/>
              <w:right w:val="nil"/>
            </w:tcBorders>
            <w:shd w:val="clear" w:color="000000" w:fill="FABF8F"/>
            <w:vAlign w:val="center"/>
            <w:hideMark/>
          </w:tcPr>
          <w:p w:rsidR="001049D6" w:rsidRPr="00943C8C" w:rsidRDefault="001049D6" w:rsidP="009E29F8">
            <w:pPr>
              <w:pStyle w:val="cuadroCabe"/>
              <w:rPr>
                <w:sz w:val="16"/>
                <w:szCs w:val="16"/>
                <w:lang w:val="es-ES" w:eastAsia="es-ES"/>
              </w:rPr>
            </w:pPr>
            <w:r w:rsidRPr="00943C8C">
              <w:rPr>
                <w:sz w:val="16"/>
                <w:szCs w:val="16"/>
                <w:lang w:val="es-ES" w:eastAsia="es-ES"/>
              </w:rPr>
              <w:t>Entidad local</w:t>
            </w:r>
          </w:p>
        </w:tc>
        <w:tc>
          <w:tcPr>
            <w:tcW w:w="437" w:type="pct"/>
            <w:vMerge w:val="restart"/>
            <w:tcBorders>
              <w:top w:val="single" w:sz="4" w:space="0" w:color="auto"/>
              <w:left w:val="nil"/>
              <w:bottom w:val="single" w:sz="4" w:space="0" w:color="auto"/>
              <w:right w:val="nil"/>
            </w:tcBorders>
            <w:shd w:val="clear" w:color="000000" w:fill="FABF8F"/>
            <w:vAlign w:val="center"/>
            <w:hideMark/>
          </w:tcPr>
          <w:p w:rsidR="001049D6" w:rsidRPr="00943C8C" w:rsidRDefault="009E29F8" w:rsidP="0054090E">
            <w:pPr>
              <w:pStyle w:val="cuadroCabe"/>
              <w:jc w:val="right"/>
              <w:rPr>
                <w:sz w:val="16"/>
                <w:szCs w:val="16"/>
                <w:lang w:val="es-ES" w:eastAsia="es-ES"/>
              </w:rPr>
            </w:pPr>
            <w:r w:rsidRPr="00943C8C">
              <w:rPr>
                <w:sz w:val="16"/>
                <w:szCs w:val="16"/>
                <w:lang w:val="es-ES" w:eastAsia="es-ES"/>
              </w:rPr>
              <w:t>Fecha em</w:t>
            </w:r>
            <w:r w:rsidR="007C161D" w:rsidRPr="00943C8C">
              <w:rPr>
                <w:sz w:val="16"/>
                <w:szCs w:val="16"/>
                <w:lang w:val="es-ES" w:eastAsia="es-ES"/>
              </w:rPr>
              <w:t>isión</w:t>
            </w:r>
            <w:r w:rsidR="002932E3" w:rsidRPr="00943C8C">
              <w:rPr>
                <w:sz w:val="16"/>
                <w:szCs w:val="16"/>
                <w:lang w:val="es-ES" w:eastAsia="es-ES"/>
              </w:rPr>
              <w:t xml:space="preserve"> i</w:t>
            </w:r>
            <w:r w:rsidR="001049D6" w:rsidRPr="00943C8C">
              <w:rPr>
                <w:sz w:val="16"/>
                <w:szCs w:val="16"/>
                <w:lang w:val="es-ES" w:eastAsia="es-ES"/>
              </w:rPr>
              <w:t>nforme</w:t>
            </w:r>
          </w:p>
        </w:tc>
        <w:tc>
          <w:tcPr>
            <w:tcW w:w="559" w:type="pct"/>
            <w:gridSpan w:val="2"/>
            <w:vMerge w:val="restart"/>
            <w:tcBorders>
              <w:top w:val="single" w:sz="4" w:space="0" w:color="auto"/>
              <w:left w:val="nil"/>
              <w:bottom w:val="single" w:sz="4" w:space="0" w:color="auto"/>
              <w:right w:val="nil"/>
            </w:tcBorders>
            <w:shd w:val="clear" w:color="000000" w:fill="FABF8F"/>
            <w:vAlign w:val="center"/>
            <w:hideMark/>
          </w:tcPr>
          <w:p w:rsidR="001049D6" w:rsidRPr="00943C8C" w:rsidRDefault="009E29F8" w:rsidP="0054090E">
            <w:pPr>
              <w:pStyle w:val="cuadroCabe"/>
              <w:jc w:val="right"/>
              <w:rPr>
                <w:sz w:val="16"/>
                <w:szCs w:val="16"/>
                <w:lang w:val="es-ES" w:eastAsia="es-ES"/>
              </w:rPr>
            </w:pPr>
            <w:r w:rsidRPr="00943C8C">
              <w:rPr>
                <w:sz w:val="16"/>
                <w:szCs w:val="16"/>
                <w:lang w:val="es-ES" w:eastAsia="es-ES"/>
              </w:rPr>
              <w:t xml:space="preserve">Población </w:t>
            </w:r>
            <w:r w:rsidR="001049D6" w:rsidRPr="00943C8C">
              <w:rPr>
                <w:sz w:val="16"/>
                <w:szCs w:val="16"/>
                <w:lang w:val="es-ES" w:eastAsia="es-ES"/>
              </w:rPr>
              <w:t xml:space="preserve"> 01/01/2018</w:t>
            </w:r>
          </w:p>
        </w:tc>
        <w:tc>
          <w:tcPr>
            <w:tcW w:w="664" w:type="pct"/>
            <w:gridSpan w:val="2"/>
            <w:vMerge w:val="restart"/>
            <w:tcBorders>
              <w:top w:val="single" w:sz="4" w:space="0" w:color="auto"/>
              <w:left w:val="nil"/>
              <w:bottom w:val="single" w:sz="4" w:space="0" w:color="auto"/>
              <w:right w:val="nil"/>
            </w:tcBorders>
            <w:shd w:val="clear" w:color="000000" w:fill="FABF8F"/>
            <w:vAlign w:val="center"/>
            <w:hideMark/>
          </w:tcPr>
          <w:p w:rsidR="001049D6" w:rsidRPr="00943C8C" w:rsidRDefault="001049D6" w:rsidP="0054090E">
            <w:pPr>
              <w:pStyle w:val="cuadroCabe"/>
              <w:jc w:val="right"/>
              <w:rPr>
                <w:sz w:val="16"/>
                <w:szCs w:val="16"/>
                <w:lang w:val="es-ES" w:eastAsia="es-ES"/>
              </w:rPr>
            </w:pPr>
            <w:r w:rsidRPr="00943C8C">
              <w:rPr>
                <w:sz w:val="16"/>
                <w:szCs w:val="16"/>
                <w:lang w:val="es-ES" w:eastAsia="es-ES"/>
              </w:rPr>
              <w:t>Obligaciones</w:t>
            </w:r>
            <w:r w:rsidR="0054090E">
              <w:rPr>
                <w:sz w:val="16"/>
                <w:szCs w:val="16"/>
                <w:lang w:val="es-ES" w:eastAsia="es-ES"/>
              </w:rPr>
              <w:t xml:space="preserve"> </w:t>
            </w:r>
            <w:r w:rsidRPr="00943C8C">
              <w:rPr>
                <w:sz w:val="16"/>
                <w:szCs w:val="16"/>
                <w:lang w:val="es-ES" w:eastAsia="es-ES"/>
              </w:rPr>
              <w:t>reconocidas</w:t>
            </w:r>
          </w:p>
        </w:tc>
        <w:tc>
          <w:tcPr>
            <w:tcW w:w="611" w:type="pct"/>
            <w:gridSpan w:val="2"/>
            <w:vMerge w:val="restart"/>
            <w:tcBorders>
              <w:top w:val="single" w:sz="4" w:space="0" w:color="auto"/>
              <w:left w:val="nil"/>
              <w:bottom w:val="single" w:sz="4" w:space="0" w:color="auto"/>
              <w:right w:val="nil"/>
            </w:tcBorders>
            <w:shd w:val="clear" w:color="000000" w:fill="FABF8F"/>
            <w:vAlign w:val="center"/>
            <w:hideMark/>
          </w:tcPr>
          <w:p w:rsidR="001049D6" w:rsidRPr="00943C8C" w:rsidRDefault="001049D6" w:rsidP="0054090E">
            <w:pPr>
              <w:pStyle w:val="cuadroCabe"/>
              <w:jc w:val="right"/>
              <w:rPr>
                <w:sz w:val="16"/>
                <w:szCs w:val="16"/>
                <w:lang w:val="es-ES" w:eastAsia="es-ES"/>
              </w:rPr>
            </w:pPr>
            <w:r w:rsidRPr="00943C8C">
              <w:rPr>
                <w:sz w:val="16"/>
                <w:szCs w:val="16"/>
                <w:lang w:val="es-ES" w:eastAsia="es-ES"/>
              </w:rPr>
              <w:t>Derechos</w:t>
            </w:r>
            <w:r w:rsidR="009E29F8" w:rsidRPr="00943C8C">
              <w:rPr>
                <w:sz w:val="16"/>
                <w:szCs w:val="16"/>
                <w:lang w:val="es-ES" w:eastAsia="es-ES"/>
              </w:rPr>
              <w:t xml:space="preserve"> </w:t>
            </w:r>
            <w:r w:rsidRPr="00943C8C">
              <w:rPr>
                <w:sz w:val="16"/>
                <w:szCs w:val="16"/>
                <w:lang w:val="es-ES" w:eastAsia="es-ES"/>
              </w:rPr>
              <w:t xml:space="preserve"> </w:t>
            </w:r>
            <w:r w:rsidR="009E29F8" w:rsidRPr="00943C8C">
              <w:rPr>
                <w:sz w:val="16"/>
                <w:szCs w:val="16"/>
                <w:lang w:val="es-ES" w:eastAsia="es-ES"/>
              </w:rPr>
              <w:t xml:space="preserve">  re</w:t>
            </w:r>
            <w:r w:rsidRPr="00943C8C">
              <w:rPr>
                <w:sz w:val="16"/>
                <w:szCs w:val="16"/>
                <w:lang w:val="es-ES" w:eastAsia="es-ES"/>
              </w:rPr>
              <w:t>conocidos</w:t>
            </w:r>
          </w:p>
        </w:tc>
        <w:tc>
          <w:tcPr>
            <w:tcW w:w="566" w:type="pct"/>
            <w:gridSpan w:val="2"/>
            <w:vMerge w:val="restart"/>
            <w:tcBorders>
              <w:top w:val="single" w:sz="4" w:space="0" w:color="auto"/>
              <w:left w:val="nil"/>
              <w:bottom w:val="single" w:sz="4" w:space="0" w:color="auto"/>
              <w:right w:val="nil"/>
            </w:tcBorders>
            <w:shd w:val="clear" w:color="000000" w:fill="FABF8F"/>
            <w:vAlign w:val="center"/>
            <w:hideMark/>
          </w:tcPr>
          <w:p w:rsidR="001049D6" w:rsidRPr="00943C8C" w:rsidRDefault="001049D6" w:rsidP="0054090E">
            <w:pPr>
              <w:pStyle w:val="cuadroCabe"/>
              <w:jc w:val="right"/>
              <w:rPr>
                <w:sz w:val="16"/>
                <w:szCs w:val="16"/>
                <w:lang w:val="es-ES" w:eastAsia="es-ES"/>
              </w:rPr>
            </w:pPr>
            <w:r w:rsidRPr="00943C8C">
              <w:rPr>
                <w:sz w:val="16"/>
                <w:szCs w:val="16"/>
                <w:lang w:val="es-ES" w:eastAsia="es-ES"/>
              </w:rPr>
              <w:t>Personal a 31/12/2018</w:t>
            </w:r>
          </w:p>
        </w:tc>
        <w:tc>
          <w:tcPr>
            <w:tcW w:w="1047" w:type="pct"/>
            <w:gridSpan w:val="7"/>
            <w:tcBorders>
              <w:top w:val="single" w:sz="4" w:space="0" w:color="auto"/>
              <w:left w:val="nil"/>
              <w:bottom w:val="single" w:sz="4" w:space="0" w:color="auto"/>
              <w:right w:val="nil"/>
            </w:tcBorders>
            <w:shd w:val="clear" w:color="000000" w:fill="FABF8F"/>
            <w:vAlign w:val="center"/>
            <w:hideMark/>
          </w:tcPr>
          <w:p w:rsidR="001049D6" w:rsidRPr="00943C8C" w:rsidRDefault="001049D6" w:rsidP="00943C8C">
            <w:pPr>
              <w:pStyle w:val="cuadroCabe"/>
              <w:jc w:val="center"/>
              <w:rPr>
                <w:sz w:val="16"/>
                <w:szCs w:val="16"/>
                <w:lang w:val="es-ES" w:eastAsia="es-ES"/>
              </w:rPr>
            </w:pPr>
            <w:r w:rsidRPr="00943C8C">
              <w:rPr>
                <w:sz w:val="16"/>
                <w:szCs w:val="16"/>
                <w:lang w:val="es-ES" w:eastAsia="es-ES"/>
              </w:rPr>
              <w:t>Entes dependientes</w:t>
            </w:r>
          </w:p>
        </w:tc>
      </w:tr>
      <w:tr w:rsidR="00D70274" w:rsidRPr="005A760B" w:rsidTr="0054090E">
        <w:trPr>
          <w:trHeight w:val="337"/>
          <w:jc w:val="center"/>
        </w:trPr>
        <w:tc>
          <w:tcPr>
            <w:tcW w:w="1115" w:type="pct"/>
            <w:vMerge/>
            <w:tcBorders>
              <w:top w:val="single" w:sz="4" w:space="0" w:color="auto"/>
              <w:left w:val="nil"/>
              <w:bottom w:val="single" w:sz="4" w:space="0" w:color="auto"/>
              <w:right w:val="nil"/>
            </w:tcBorders>
            <w:vAlign w:val="center"/>
            <w:hideMark/>
          </w:tcPr>
          <w:p w:rsidR="001049D6" w:rsidRPr="00943C8C" w:rsidRDefault="001049D6" w:rsidP="009E29F8">
            <w:pPr>
              <w:pStyle w:val="cuatexto"/>
              <w:rPr>
                <w:sz w:val="16"/>
                <w:szCs w:val="16"/>
                <w:lang w:val="es-ES" w:eastAsia="es-ES"/>
              </w:rPr>
            </w:pPr>
          </w:p>
        </w:tc>
        <w:tc>
          <w:tcPr>
            <w:tcW w:w="437" w:type="pct"/>
            <w:vMerge/>
            <w:tcBorders>
              <w:top w:val="single" w:sz="4" w:space="0" w:color="auto"/>
              <w:left w:val="nil"/>
              <w:bottom w:val="single" w:sz="4" w:space="0" w:color="auto"/>
              <w:right w:val="nil"/>
            </w:tcBorders>
            <w:vAlign w:val="center"/>
            <w:hideMark/>
          </w:tcPr>
          <w:p w:rsidR="001049D6" w:rsidRPr="00943C8C" w:rsidRDefault="001049D6" w:rsidP="009E29F8">
            <w:pPr>
              <w:pStyle w:val="cuatexto"/>
              <w:jc w:val="right"/>
              <w:rPr>
                <w:sz w:val="16"/>
                <w:szCs w:val="16"/>
                <w:lang w:val="es-ES" w:eastAsia="es-ES"/>
              </w:rPr>
            </w:pPr>
          </w:p>
        </w:tc>
        <w:tc>
          <w:tcPr>
            <w:tcW w:w="559" w:type="pct"/>
            <w:gridSpan w:val="2"/>
            <w:vMerge/>
            <w:tcBorders>
              <w:top w:val="single" w:sz="4" w:space="0" w:color="auto"/>
              <w:left w:val="nil"/>
              <w:bottom w:val="single" w:sz="4" w:space="0" w:color="auto"/>
              <w:right w:val="nil"/>
            </w:tcBorders>
            <w:vAlign w:val="center"/>
            <w:hideMark/>
          </w:tcPr>
          <w:p w:rsidR="001049D6" w:rsidRPr="00943C8C" w:rsidRDefault="001049D6" w:rsidP="009E29F8">
            <w:pPr>
              <w:pStyle w:val="cuatexto"/>
              <w:jc w:val="right"/>
              <w:rPr>
                <w:sz w:val="16"/>
                <w:szCs w:val="16"/>
                <w:lang w:val="es-ES" w:eastAsia="es-ES"/>
              </w:rPr>
            </w:pPr>
          </w:p>
        </w:tc>
        <w:tc>
          <w:tcPr>
            <w:tcW w:w="664" w:type="pct"/>
            <w:gridSpan w:val="2"/>
            <w:vMerge/>
            <w:tcBorders>
              <w:top w:val="single" w:sz="4" w:space="0" w:color="auto"/>
              <w:left w:val="nil"/>
              <w:bottom w:val="single" w:sz="4" w:space="0" w:color="auto"/>
              <w:right w:val="nil"/>
            </w:tcBorders>
            <w:vAlign w:val="center"/>
            <w:hideMark/>
          </w:tcPr>
          <w:p w:rsidR="001049D6" w:rsidRPr="00943C8C" w:rsidRDefault="001049D6" w:rsidP="009E29F8">
            <w:pPr>
              <w:pStyle w:val="cuatexto"/>
              <w:jc w:val="right"/>
              <w:rPr>
                <w:sz w:val="16"/>
                <w:szCs w:val="16"/>
                <w:lang w:val="es-ES" w:eastAsia="es-ES"/>
              </w:rPr>
            </w:pPr>
          </w:p>
        </w:tc>
        <w:tc>
          <w:tcPr>
            <w:tcW w:w="611" w:type="pct"/>
            <w:gridSpan w:val="2"/>
            <w:vMerge/>
            <w:tcBorders>
              <w:top w:val="single" w:sz="4" w:space="0" w:color="auto"/>
              <w:left w:val="nil"/>
              <w:bottom w:val="single" w:sz="4" w:space="0" w:color="auto"/>
              <w:right w:val="nil"/>
            </w:tcBorders>
            <w:vAlign w:val="center"/>
            <w:hideMark/>
          </w:tcPr>
          <w:p w:rsidR="001049D6" w:rsidRPr="00943C8C" w:rsidRDefault="001049D6" w:rsidP="009E29F8">
            <w:pPr>
              <w:pStyle w:val="cuatexto"/>
              <w:jc w:val="right"/>
              <w:rPr>
                <w:sz w:val="16"/>
                <w:szCs w:val="16"/>
                <w:lang w:val="es-ES" w:eastAsia="es-ES"/>
              </w:rPr>
            </w:pPr>
          </w:p>
        </w:tc>
        <w:tc>
          <w:tcPr>
            <w:tcW w:w="566" w:type="pct"/>
            <w:gridSpan w:val="2"/>
            <w:vMerge/>
            <w:tcBorders>
              <w:top w:val="single" w:sz="4" w:space="0" w:color="auto"/>
              <w:left w:val="nil"/>
              <w:bottom w:val="single" w:sz="4" w:space="0" w:color="auto"/>
              <w:right w:val="nil"/>
            </w:tcBorders>
            <w:vAlign w:val="center"/>
            <w:hideMark/>
          </w:tcPr>
          <w:p w:rsidR="001049D6" w:rsidRPr="00943C8C" w:rsidRDefault="001049D6" w:rsidP="009E29F8">
            <w:pPr>
              <w:pStyle w:val="cuatexto"/>
              <w:jc w:val="right"/>
              <w:rPr>
                <w:sz w:val="16"/>
                <w:szCs w:val="16"/>
                <w:lang w:val="es-ES" w:eastAsia="es-ES"/>
              </w:rPr>
            </w:pPr>
          </w:p>
        </w:tc>
        <w:tc>
          <w:tcPr>
            <w:tcW w:w="336" w:type="pct"/>
            <w:gridSpan w:val="3"/>
            <w:tcBorders>
              <w:top w:val="nil"/>
              <w:left w:val="nil"/>
              <w:bottom w:val="single" w:sz="4" w:space="0" w:color="auto"/>
              <w:right w:val="nil"/>
            </w:tcBorders>
            <w:shd w:val="clear" w:color="000000" w:fill="FABF8F"/>
            <w:vAlign w:val="center"/>
            <w:hideMark/>
          </w:tcPr>
          <w:p w:rsidR="001049D6" w:rsidRPr="00943C8C" w:rsidRDefault="001049D6" w:rsidP="009E29F8">
            <w:pPr>
              <w:pStyle w:val="cuatexto"/>
              <w:jc w:val="right"/>
              <w:rPr>
                <w:sz w:val="16"/>
                <w:szCs w:val="16"/>
                <w:lang w:val="es-ES" w:eastAsia="es-ES"/>
              </w:rPr>
            </w:pPr>
            <w:r w:rsidRPr="00943C8C">
              <w:rPr>
                <w:sz w:val="16"/>
                <w:szCs w:val="16"/>
                <w:lang w:val="es-ES" w:eastAsia="es-ES"/>
              </w:rPr>
              <w:t>OOAA</w:t>
            </w:r>
          </w:p>
        </w:tc>
        <w:tc>
          <w:tcPr>
            <w:tcW w:w="407" w:type="pct"/>
            <w:gridSpan w:val="2"/>
            <w:tcBorders>
              <w:top w:val="nil"/>
              <w:left w:val="nil"/>
              <w:bottom w:val="single" w:sz="4" w:space="0" w:color="auto"/>
              <w:right w:val="nil"/>
            </w:tcBorders>
            <w:shd w:val="clear" w:color="000000" w:fill="FABF8F"/>
            <w:vAlign w:val="center"/>
            <w:hideMark/>
          </w:tcPr>
          <w:p w:rsidR="001049D6" w:rsidRPr="00943C8C" w:rsidRDefault="001049D6" w:rsidP="00943C8C">
            <w:pPr>
              <w:pStyle w:val="cuatexto"/>
              <w:jc w:val="right"/>
              <w:rPr>
                <w:sz w:val="16"/>
                <w:szCs w:val="16"/>
                <w:lang w:val="es-ES" w:eastAsia="es-ES"/>
              </w:rPr>
            </w:pPr>
            <w:r w:rsidRPr="00943C8C">
              <w:rPr>
                <w:sz w:val="16"/>
                <w:szCs w:val="16"/>
                <w:lang w:val="es-ES" w:eastAsia="es-ES"/>
              </w:rPr>
              <w:t>Empresa</w:t>
            </w:r>
          </w:p>
        </w:tc>
        <w:tc>
          <w:tcPr>
            <w:tcW w:w="304" w:type="pct"/>
            <w:gridSpan w:val="2"/>
            <w:tcBorders>
              <w:top w:val="nil"/>
              <w:left w:val="nil"/>
              <w:bottom w:val="single" w:sz="4" w:space="0" w:color="auto"/>
              <w:right w:val="nil"/>
            </w:tcBorders>
            <w:shd w:val="clear" w:color="000000" w:fill="FABF8F"/>
            <w:vAlign w:val="center"/>
            <w:hideMark/>
          </w:tcPr>
          <w:p w:rsidR="001049D6" w:rsidRPr="00943C8C" w:rsidRDefault="001049D6" w:rsidP="00943C8C">
            <w:pPr>
              <w:pStyle w:val="cuatexto"/>
              <w:jc w:val="right"/>
              <w:rPr>
                <w:sz w:val="16"/>
                <w:szCs w:val="16"/>
                <w:lang w:val="es-ES" w:eastAsia="es-ES"/>
              </w:rPr>
            </w:pPr>
            <w:proofErr w:type="spellStart"/>
            <w:r w:rsidRPr="00943C8C">
              <w:rPr>
                <w:sz w:val="16"/>
                <w:szCs w:val="16"/>
                <w:lang w:val="es-ES" w:eastAsia="es-ES"/>
              </w:rPr>
              <w:t>Fundac</w:t>
            </w:r>
            <w:proofErr w:type="spellEnd"/>
            <w:r w:rsidRPr="00943C8C">
              <w:rPr>
                <w:sz w:val="16"/>
                <w:szCs w:val="16"/>
                <w:lang w:val="es-ES" w:eastAsia="es-ES"/>
              </w:rPr>
              <w:t>.</w:t>
            </w:r>
          </w:p>
        </w:tc>
      </w:tr>
      <w:tr w:rsidR="00D70274" w:rsidRPr="005A760B" w:rsidTr="0054090E">
        <w:trPr>
          <w:gridAfter w:val="1"/>
          <w:wAfter w:w="10" w:type="pct"/>
          <w:trHeight w:val="300"/>
          <w:jc w:val="center"/>
        </w:trPr>
        <w:tc>
          <w:tcPr>
            <w:tcW w:w="1115" w:type="pct"/>
            <w:tcBorders>
              <w:top w:val="nil"/>
              <w:left w:val="nil"/>
              <w:bottom w:val="single" w:sz="4" w:space="0" w:color="auto"/>
              <w:right w:val="nil"/>
            </w:tcBorders>
            <w:shd w:val="clear" w:color="auto" w:fill="auto"/>
            <w:vAlign w:val="center"/>
            <w:hideMark/>
          </w:tcPr>
          <w:p w:rsidR="001049D6" w:rsidRPr="005A760B" w:rsidRDefault="001049D6" w:rsidP="009E29F8">
            <w:pPr>
              <w:pStyle w:val="cuatexto"/>
              <w:rPr>
                <w:sz w:val="18"/>
                <w:szCs w:val="18"/>
                <w:lang w:val="es-ES" w:eastAsia="es-ES"/>
              </w:rPr>
            </w:pPr>
            <w:r w:rsidRPr="005A760B">
              <w:rPr>
                <w:sz w:val="18"/>
                <w:szCs w:val="18"/>
                <w:lang w:val="es-ES" w:eastAsia="es-ES"/>
              </w:rPr>
              <w:t>Pamplona</w:t>
            </w:r>
          </w:p>
        </w:tc>
        <w:tc>
          <w:tcPr>
            <w:tcW w:w="500"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6"/>
                <w:szCs w:val="16"/>
                <w:lang w:val="es-ES" w:eastAsia="es-ES"/>
              </w:rPr>
            </w:pPr>
            <w:r w:rsidRPr="005A760B">
              <w:rPr>
                <w:sz w:val="16"/>
                <w:szCs w:val="16"/>
                <w:lang w:val="es-ES" w:eastAsia="es-ES"/>
              </w:rPr>
              <w:t>04/12/2019</w:t>
            </w:r>
          </w:p>
        </w:tc>
        <w:tc>
          <w:tcPr>
            <w:tcW w:w="548"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199.066</w:t>
            </w:r>
          </w:p>
        </w:tc>
        <w:tc>
          <w:tcPr>
            <w:tcW w:w="668"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203.986.998</w:t>
            </w:r>
          </w:p>
        </w:tc>
        <w:tc>
          <w:tcPr>
            <w:tcW w:w="616" w:type="pct"/>
            <w:gridSpan w:val="2"/>
            <w:tcBorders>
              <w:top w:val="nil"/>
              <w:left w:val="nil"/>
              <w:bottom w:val="single" w:sz="4" w:space="0" w:color="auto"/>
              <w:right w:val="nil"/>
            </w:tcBorders>
            <w:shd w:val="clear" w:color="auto" w:fill="auto"/>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213.322.712</w:t>
            </w:r>
          </w:p>
        </w:tc>
        <w:tc>
          <w:tcPr>
            <w:tcW w:w="561" w:type="pct"/>
            <w:gridSpan w:val="3"/>
            <w:tcBorders>
              <w:top w:val="nil"/>
              <w:left w:val="nil"/>
              <w:bottom w:val="single" w:sz="4" w:space="0" w:color="auto"/>
              <w:right w:val="nil"/>
            </w:tcBorders>
            <w:shd w:val="clear" w:color="auto" w:fill="auto"/>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1.867</w:t>
            </w:r>
          </w:p>
        </w:tc>
        <w:tc>
          <w:tcPr>
            <w:tcW w:w="281" w:type="pct"/>
            <w:tcBorders>
              <w:top w:val="nil"/>
              <w:left w:val="nil"/>
              <w:bottom w:val="single" w:sz="4" w:space="0" w:color="auto"/>
              <w:right w:val="nil"/>
            </w:tcBorders>
            <w:shd w:val="clear" w:color="auto" w:fill="auto"/>
            <w:vAlign w:val="center"/>
            <w:hideMark/>
          </w:tcPr>
          <w:p w:rsidR="001049D6" w:rsidRPr="005A760B" w:rsidRDefault="001049D6" w:rsidP="00943C8C">
            <w:pPr>
              <w:pStyle w:val="cuatexto"/>
              <w:jc w:val="right"/>
              <w:rPr>
                <w:sz w:val="18"/>
                <w:szCs w:val="18"/>
                <w:lang w:val="es-ES" w:eastAsia="es-ES"/>
              </w:rPr>
            </w:pPr>
            <w:r w:rsidRPr="005A760B">
              <w:rPr>
                <w:sz w:val="18"/>
                <w:szCs w:val="18"/>
                <w:lang w:val="es-ES" w:eastAsia="es-ES"/>
              </w:rPr>
              <w:t>2</w:t>
            </w:r>
          </w:p>
        </w:tc>
        <w:tc>
          <w:tcPr>
            <w:tcW w:w="349" w:type="pct"/>
            <w:tcBorders>
              <w:top w:val="nil"/>
              <w:left w:val="nil"/>
              <w:bottom w:val="single" w:sz="4" w:space="0" w:color="auto"/>
              <w:right w:val="nil"/>
            </w:tcBorders>
            <w:shd w:val="clear" w:color="auto" w:fill="auto"/>
            <w:vAlign w:val="center"/>
            <w:hideMark/>
          </w:tcPr>
          <w:p w:rsidR="001049D6" w:rsidRPr="005A760B" w:rsidRDefault="001049D6" w:rsidP="00943C8C">
            <w:pPr>
              <w:pStyle w:val="cuatexto"/>
              <w:jc w:val="right"/>
              <w:rPr>
                <w:sz w:val="18"/>
                <w:szCs w:val="18"/>
                <w:lang w:val="es-ES" w:eastAsia="es-ES"/>
              </w:rPr>
            </w:pPr>
            <w:r w:rsidRPr="005A760B">
              <w:rPr>
                <w:sz w:val="18"/>
                <w:szCs w:val="18"/>
                <w:lang w:val="es-ES" w:eastAsia="es-ES"/>
              </w:rPr>
              <w:t>5</w:t>
            </w:r>
          </w:p>
        </w:tc>
        <w:tc>
          <w:tcPr>
            <w:tcW w:w="352" w:type="pct"/>
            <w:gridSpan w:val="2"/>
            <w:tcBorders>
              <w:top w:val="nil"/>
              <w:left w:val="nil"/>
              <w:bottom w:val="single" w:sz="4" w:space="0" w:color="auto"/>
              <w:right w:val="nil"/>
            </w:tcBorders>
            <w:shd w:val="clear" w:color="auto" w:fill="auto"/>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1</w:t>
            </w:r>
          </w:p>
        </w:tc>
      </w:tr>
      <w:tr w:rsidR="00D70274" w:rsidRPr="005A760B" w:rsidTr="0054090E">
        <w:trPr>
          <w:gridAfter w:val="1"/>
          <w:wAfter w:w="10" w:type="pct"/>
          <w:trHeight w:val="300"/>
          <w:jc w:val="center"/>
        </w:trPr>
        <w:tc>
          <w:tcPr>
            <w:tcW w:w="1115" w:type="pct"/>
            <w:tcBorders>
              <w:top w:val="nil"/>
              <w:left w:val="nil"/>
              <w:bottom w:val="single" w:sz="4" w:space="0" w:color="auto"/>
              <w:right w:val="nil"/>
            </w:tcBorders>
            <w:shd w:val="clear" w:color="auto" w:fill="auto"/>
            <w:vAlign w:val="center"/>
            <w:hideMark/>
          </w:tcPr>
          <w:p w:rsidR="001049D6" w:rsidRPr="005A760B" w:rsidRDefault="001049D6" w:rsidP="009E29F8">
            <w:pPr>
              <w:pStyle w:val="cuatexto"/>
              <w:rPr>
                <w:sz w:val="18"/>
                <w:szCs w:val="18"/>
                <w:lang w:val="es-ES" w:eastAsia="es-ES"/>
              </w:rPr>
            </w:pPr>
            <w:r w:rsidRPr="005A760B">
              <w:rPr>
                <w:sz w:val="18"/>
                <w:szCs w:val="18"/>
                <w:lang w:val="es-ES" w:eastAsia="es-ES"/>
              </w:rPr>
              <w:t>Burlada</w:t>
            </w:r>
          </w:p>
        </w:tc>
        <w:tc>
          <w:tcPr>
            <w:tcW w:w="500"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6"/>
                <w:szCs w:val="16"/>
                <w:lang w:val="es-ES" w:eastAsia="es-ES"/>
              </w:rPr>
            </w:pPr>
            <w:r w:rsidRPr="005A760B">
              <w:rPr>
                <w:sz w:val="16"/>
                <w:szCs w:val="16"/>
                <w:lang w:val="es-ES" w:eastAsia="es-ES"/>
              </w:rPr>
              <w:t>15/04/2020</w:t>
            </w:r>
          </w:p>
        </w:tc>
        <w:tc>
          <w:tcPr>
            <w:tcW w:w="548"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18.934</w:t>
            </w:r>
          </w:p>
        </w:tc>
        <w:tc>
          <w:tcPr>
            <w:tcW w:w="668"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15.926.256</w:t>
            </w:r>
          </w:p>
        </w:tc>
        <w:tc>
          <w:tcPr>
            <w:tcW w:w="616"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20.675.614</w:t>
            </w:r>
          </w:p>
        </w:tc>
        <w:tc>
          <w:tcPr>
            <w:tcW w:w="561" w:type="pct"/>
            <w:gridSpan w:val="3"/>
            <w:tcBorders>
              <w:top w:val="nil"/>
              <w:left w:val="nil"/>
              <w:bottom w:val="single" w:sz="4" w:space="0" w:color="auto"/>
              <w:right w:val="nil"/>
            </w:tcBorders>
            <w:shd w:val="clear" w:color="auto" w:fill="auto"/>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180</w:t>
            </w:r>
          </w:p>
        </w:tc>
        <w:tc>
          <w:tcPr>
            <w:tcW w:w="281" w:type="pct"/>
            <w:tcBorders>
              <w:top w:val="nil"/>
              <w:left w:val="nil"/>
              <w:bottom w:val="single" w:sz="4" w:space="0" w:color="auto"/>
              <w:right w:val="nil"/>
            </w:tcBorders>
            <w:shd w:val="clear" w:color="auto" w:fill="auto"/>
            <w:vAlign w:val="center"/>
            <w:hideMark/>
          </w:tcPr>
          <w:p w:rsidR="001049D6" w:rsidRPr="005A760B" w:rsidRDefault="001049D6" w:rsidP="00943C8C">
            <w:pPr>
              <w:pStyle w:val="cuatexto"/>
              <w:jc w:val="right"/>
              <w:rPr>
                <w:sz w:val="18"/>
                <w:szCs w:val="18"/>
                <w:lang w:val="es-ES" w:eastAsia="es-ES"/>
              </w:rPr>
            </w:pPr>
            <w:r w:rsidRPr="005A760B">
              <w:rPr>
                <w:sz w:val="18"/>
                <w:szCs w:val="18"/>
                <w:lang w:val="es-ES" w:eastAsia="es-ES"/>
              </w:rPr>
              <w:t>2</w:t>
            </w:r>
          </w:p>
        </w:tc>
        <w:tc>
          <w:tcPr>
            <w:tcW w:w="349" w:type="pct"/>
            <w:tcBorders>
              <w:top w:val="nil"/>
              <w:left w:val="nil"/>
              <w:bottom w:val="single" w:sz="4" w:space="0" w:color="auto"/>
              <w:right w:val="nil"/>
            </w:tcBorders>
            <w:shd w:val="clear" w:color="auto" w:fill="auto"/>
            <w:vAlign w:val="center"/>
            <w:hideMark/>
          </w:tcPr>
          <w:p w:rsidR="001049D6" w:rsidRPr="005A760B" w:rsidRDefault="001049D6" w:rsidP="00943C8C">
            <w:pPr>
              <w:pStyle w:val="cuatexto"/>
              <w:jc w:val="right"/>
              <w:rPr>
                <w:sz w:val="18"/>
                <w:szCs w:val="18"/>
                <w:lang w:val="es-ES" w:eastAsia="es-ES"/>
              </w:rPr>
            </w:pPr>
            <w:r w:rsidRPr="005A760B">
              <w:rPr>
                <w:sz w:val="18"/>
                <w:szCs w:val="18"/>
                <w:lang w:val="es-ES" w:eastAsia="es-ES"/>
              </w:rPr>
              <w:t>3</w:t>
            </w:r>
          </w:p>
        </w:tc>
        <w:tc>
          <w:tcPr>
            <w:tcW w:w="352" w:type="pct"/>
            <w:gridSpan w:val="2"/>
            <w:tcBorders>
              <w:top w:val="nil"/>
              <w:left w:val="nil"/>
              <w:bottom w:val="single" w:sz="4" w:space="0" w:color="auto"/>
              <w:right w:val="nil"/>
            </w:tcBorders>
            <w:shd w:val="clear" w:color="auto" w:fill="auto"/>
            <w:vAlign w:val="center"/>
            <w:hideMark/>
          </w:tcPr>
          <w:p w:rsidR="001049D6" w:rsidRPr="005A760B" w:rsidRDefault="005F216E" w:rsidP="009E29F8">
            <w:pPr>
              <w:pStyle w:val="cuatexto"/>
              <w:jc w:val="right"/>
              <w:rPr>
                <w:sz w:val="18"/>
                <w:szCs w:val="18"/>
                <w:lang w:val="es-ES" w:eastAsia="es-ES"/>
              </w:rPr>
            </w:pPr>
            <w:r w:rsidRPr="005A760B">
              <w:rPr>
                <w:sz w:val="18"/>
                <w:szCs w:val="18"/>
                <w:lang w:val="es-ES" w:eastAsia="es-ES"/>
              </w:rPr>
              <w:t>-</w:t>
            </w:r>
          </w:p>
        </w:tc>
      </w:tr>
      <w:tr w:rsidR="00D70274" w:rsidRPr="005A760B" w:rsidTr="0054090E">
        <w:trPr>
          <w:gridAfter w:val="1"/>
          <w:wAfter w:w="10" w:type="pct"/>
          <w:trHeight w:val="300"/>
          <w:jc w:val="center"/>
        </w:trPr>
        <w:tc>
          <w:tcPr>
            <w:tcW w:w="1115" w:type="pct"/>
            <w:tcBorders>
              <w:top w:val="nil"/>
              <w:left w:val="nil"/>
              <w:bottom w:val="single" w:sz="4" w:space="0" w:color="auto"/>
              <w:right w:val="nil"/>
            </w:tcBorders>
            <w:shd w:val="clear" w:color="auto" w:fill="auto"/>
            <w:vAlign w:val="center"/>
            <w:hideMark/>
          </w:tcPr>
          <w:p w:rsidR="005F216E" w:rsidRPr="005A760B" w:rsidRDefault="005F216E" w:rsidP="001A21D9">
            <w:pPr>
              <w:pStyle w:val="cuatexto"/>
              <w:rPr>
                <w:sz w:val="18"/>
                <w:szCs w:val="18"/>
                <w:lang w:val="es-ES" w:eastAsia="es-ES"/>
              </w:rPr>
            </w:pPr>
            <w:r w:rsidRPr="005A760B">
              <w:rPr>
                <w:sz w:val="18"/>
                <w:szCs w:val="18"/>
                <w:lang w:val="es-ES" w:eastAsia="es-ES"/>
              </w:rPr>
              <w:t>Viana</w:t>
            </w:r>
          </w:p>
        </w:tc>
        <w:tc>
          <w:tcPr>
            <w:tcW w:w="500" w:type="pct"/>
            <w:gridSpan w:val="2"/>
            <w:tcBorders>
              <w:top w:val="nil"/>
              <w:left w:val="nil"/>
              <w:bottom w:val="single" w:sz="4" w:space="0" w:color="auto"/>
              <w:right w:val="nil"/>
            </w:tcBorders>
            <w:shd w:val="clear" w:color="auto" w:fill="auto"/>
            <w:noWrap/>
            <w:vAlign w:val="center"/>
            <w:hideMark/>
          </w:tcPr>
          <w:p w:rsidR="005F216E" w:rsidRPr="005A760B" w:rsidRDefault="005F216E" w:rsidP="001A21D9">
            <w:pPr>
              <w:pStyle w:val="cuatexto"/>
              <w:jc w:val="right"/>
              <w:rPr>
                <w:sz w:val="16"/>
                <w:szCs w:val="16"/>
                <w:lang w:val="es-ES" w:eastAsia="es-ES"/>
              </w:rPr>
            </w:pPr>
            <w:r w:rsidRPr="005A760B">
              <w:rPr>
                <w:sz w:val="16"/>
                <w:szCs w:val="16"/>
                <w:lang w:val="es-ES" w:eastAsia="es-ES"/>
              </w:rPr>
              <w:t>18/12/2019</w:t>
            </w:r>
          </w:p>
        </w:tc>
        <w:tc>
          <w:tcPr>
            <w:tcW w:w="548" w:type="pct"/>
            <w:gridSpan w:val="2"/>
            <w:tcBorders>
              <w:top w:val="nil"/>
              <w:left w:val="nil"/>
              <w:bottom w:val="single" w:sz="4" w:space="0" w:color="auto"/>
              <w:right w:val="nil"/>
            </w:tcBorders>
            <w:shd w:val="clear" w:color="auto" w:fill="auto"/>
            <w:noWrap/>
            <w:vAlign w:val="center"/>
            <w:hideMark/>
          </w:tcPr>
          <w:p w:rsidR="005F216E" w:rsidRPr="005A760B" w:rsidRDefault="005F216E" w:rsidP="001A21D9">
            <w:pPr>
              <w:pStyle w:val="cuatexto"/>
              <w:jc w:val="right"/>
              <w:rPr>
                <w:sz w:val="18"/>
                <w:szCs w:val="18"/>
                <w:lang w:val="es-ES" w:eastAsia="es-ES"/>
              </w:rPr>
            </w:pPr>
            <w:r w:rsidRPr="005A760B">
              <w:rPr>
                <w:sz w:val="18"/>
                <w:szCs w:val="18"/>
                <w:lang w:val="es-ES" w:eastAsia="es-ES"/>
              </w:rPr>
              <w:t>4.156</w:t>
            </w:r>
          </w:p>
        </w:tc>
        <w:tc>
          <w:tcPr>
            <w:tcW w:w="668" w:type="pct"/>
            <w:gridSpan w:val="2"/>
            <w:tcBorders>
              <w:top w:val="nil"/>
              <w:left w:val="nil"/>
              <w:bottom w:val="single" w:sz="4" w:space="0" w:color="auto"/>
              <w:right w:val="nil"/>
            </w:tcBorders>
            <w:shd w:val="clear" w:color="auto" w:fill="auto"/>
            <w:noWrap/>
            <w:vAlign w:val="center"/>
            <w:hideMark/>
          </w:tcPr>
          <w:p w:rsidR="005F216E" w:rsidRPr="005A760B" w:rsidRDefault="005F216E" w:rsidP="001A21D9">
            <w:pPr>
              <w:pStyle w:val="cuatexto"/>
              <w:jc w:val="right"/>
              <w:rPr>
                <w:sz w:val="18"/>
                <w:szCs w:val="18"/>
                <w:lang w:val="es-ES" w:eastAsia="es-ES"/>
              </w:rPr>
            </w:pPr>
            <w:r w:rsidRPr="005A760B">
              <w:rPr>
                <w:sz w:val="18"/>
                <w:szCs w:val="18"/>
                <w:lang w:val="es-ES" w:eastAsia="es-ES"/>
              </w:rPr>
              <w:t>4.425.422</w:t>
            </w:r>
          </w:p>
        </w:tc>
        <w:tc>
          <w:tcPr>
            <w:tcW w:w="616" w:type="pct"/>
            <w:gridSpan w:val="2"/>
            <w:tcBorders>
              <w:top w:val="nil"/>
              <w:left w:val="nil"/>
              <w:bottom w:val="single" w:sz="4" w:space="0" w:color="auto"/>
              <w:right w:val="nil"/>
            </w:tcBorders>
            <w:shd w:val="clear" w:color="auto" w:fill="auto"/>
            <w:vAlign w:val="center"/>
            <w:hideMark/>
          </w:tcPr>
          <w:p w:rsidR="005F216E" w:rsidRPr="005A760B" w:rsidRDefault="005F216E" w:rsidP="001A21D9">
            <w:pPr>
              <w:pStyle w:val="cuatexto"/>
              <w:jc w:val="right"/>
              <w:rPr>
                <w:sz w:val="18"/>
                <w:szCs w:val="18"/>
                <w:lang w:val="es-ES" w:eastAsia="es-ES"/>
              </w:rPr>
            </w:pPr>
            <w:r w:rsidRPr="005A760B">
              <w:rPr>
                <w:sz w:val="18"/>
                <w:szCs w:val="18"/>
                <w:lang w:val="es-ES" w:eastAsia="es-ES"/>
              </w:rPr>
              <w:t>5.232.552</w:t>
            </w:r>
          </w:p>
        </w:tc>
        <w:tc>
          <w:tcPr>
            <w:tcW w:w="561" w:type="pct"/>
            <w:gridSpan w:val="3"/>
            <w:tcBorders>
              <w:top w:val="nil"/>
              <w:left w:val="nil"/>
              <w:bottom w:val="single" w:sz="4" w:space="0" w:color="auto"/>
              <w:right w:val="nil"/>
            </w:tcBorders>
            <w:shd w:val="clear" w:color="auto" w:fill="auto"/>
            <w:vAlign w:val="center"/>
            <w:hideMark/>
          </w:tcPr>
          <w:p w:rsidR="005F216E" w:rsidRPr="005A760B" w:rsidRDefault="005F216E" w:rsidP="001A21D9">
            <w:pPr>
              <w:pStyle w:val="cuatexto"/>
              <w:jc w:val="right"/>
              <w:rPr>
                <w:sz w:val="18"/>
                <w:szCs w:val="18"/>
                <w:lang w:val="es-ES" w:eastAsia="es-ES"/>
              </w:rPr>
            </w:pPr>
            <w:r w:rsidRPr="005A760B">
              <w:rPr>
                <w:sz w:val="18"/>
                <w:szCs w:val="18"/>
                <w:lang w:val="es-ES" w:eastAsia="es-ES"/>
              </w:rPr>
              <w:t>39</w:t>
            </w:r>
          </w:p>
        </w:tc>
        <w:tc>
          <w:tcPr>
            <w:tcW w:w="281" w:type="pct"/>
            <w:tcBorders>
              <w:top w:val="nil"/>
              <w:left w:val="nil"/>
              <w:bottom w:val="single" w:sz="4" w:space="0" w:color="auto"/>
              <w:right w:val="nil"/>
            </w:tcBorders>
            <w:shd w:val="clear" w:color="auto" w:fill="auto"/>
            <w:vAlign w:val="center"/>
            <w:hideMark/>
          </w:tcPr>
          <w:p w:rsidR="005F216E" w:rsidRPr="005A760B" w:rsidRDefault="005F216E" w:rsidP="00943C8C">
            <w:pPr>
              <w:pStyle w:val="cuatexto"/>
              <w:jc w:val="right"/>
              <w:rPr>
                <w:sz w:val="18"/>
                <w:szCs w:val="18"/>
                <w:lang w:val="es-ES" w:eastAsia="es-ES"/>
              </w:rPr>
            </w:pPr>
            <w:r w:rsidRPr="005A760B">
              <w:rPr>
                <w:sz w:val="18"/>
                <w:szCs w:val="18"/>
                <w:lang w:val="es-ES" w:eastAsia="es-ES"/>
              </w:rPr>
              <w:t>-</w:t>
            </w:r>
          </w:p>
        </w:tc>
        <w:tc>
          <w:tcPr>
            <w:tcW w:w="349" w:type="pct"/>
            <w:tcBorders>
              <w:top w:val="nil"/>
              <w:left w:val="nil"/>
              <w:bottom w:val="single" w:sz="4" w:space="0" w:color="auto"/>
              <w:right w:val="nil"/>
            </w:tcBorders>
            <w:shd w:val="clear" w:color="auto" w:fill="auto"/>
            <w:vAlign w:val="center"/>
            <w:hideMark/>
          </w:tcPr>
          <w:p w:rsidR="005F216E" w:rsidRPr="005A760B" w:rsidRDefault="005F216E" w:rsidP="00943C8C">
            <w:pPr>
              <w:pStyle w:val="cuatexto"/>
              <w:jc w:val="right"/>
              <w:rPr>
                <w:sz w:val="18"/>
                <w:szCs w:val="18"/>
                <w:lang w:val="es-ES" w:eastAsia="es-ES"/>
              </w:rPr>
            </w:pPr>
            <w:r w:rsidRPr="005A760B">
              <w:rPr>
                <w:sz w:val="18"/>
                <w:szCs w:val="18"/>
                <w:lang w:val="es-ES" w:eastAsia="es-ES"/>
              </w:rPr>
              <w:t>-</w:t>
            </w:r>
          </w:p>
        </w:tc>
        <w:tc>
          <w:tcPr>
            <w:tcW w:w="352" w:type="pct"/>
            <w:gridSpan w:val="2"/>
            <w:tcBorders>
              <w:top w:val="nil"/>
              <w:left w:val="nil"/>
              <w:bottom w:val="single" w:sz="4" w:space="0" w:color="auto"/>
              <w:right w:val="nil"/>
            </w:tcBorders>
            <w:shd w:val="clear" w:color="auto" w:fill="auto"/>
            <w:vAlign w:val="center"/>
            <w:hideMark/>
          </w:tcPr>
          <w:p w:rsidR="005F216E" w:rsidRPr="005A760B" w:rsidRDefault="005F216E" w:rsidP="001A21D9">
            <w:pPr>
              <w:pStyle w:val="cuatexto"/>
              <w:jc w:val="right"/>
              <w:rPr>
                <w:sz w:val="18"/>
                <w:szCs w:val="18"/>
                <w:lang w:val="es-ES" w:eastAsia="es-ES"/>
              </w:rPr>
            </w:pPr>
            <w:r w:rsidRPr="005A760B">
              <w:rPr>
                <w:sz w:val="18"/>
                <w:szCs w:val="18"/>
                <w:lang w:val="es-ES" w:eastAsia="es-ES"/>
              </w:rPr>
              <w:t>1</w:t>
            </w:r>
          </w:p>
        </w:tc>
      </w:tr>
      <w:tr w:rsidR="00D70274" w:rsidRPr="005A760B" w:rsidTr="0054090E">
        <w:trPr>
          <w:gridAfter w:val="1"/>
          <w:wAfter w:w="10" w:type="pct"/>
          <w:trHeight w:val="300"/>
          <w:jc w:val="center"/>
        </w:trPr>
        <w:tc>
          <w:tcPr>
            <w:tcW w:w="1115" w:type="pct"/>
            <w:tcBorders>
              <w:top w:val="nil"/>
              <w:left w:val="nil"/>
              <w:bottom w:val="single" w:sz="4" w:space="0" w:color="auto"/>
              <w:right w:val="nil"/>
            </w:tcBorders>
            <w:shd w:val="clear" w:color="auto" w:fill="auto"/>
            <w:vAlign w:val="center"/>
            <w:hideMark/>
          </w:tcPr>
          <w:p w:rsidR="001049D6" w:rsidRPr="005A760B" w:rsidRDefault="001049D6" w:rsidP="009E29F8">
            <w:pPr>
              <w:pStyle w:val="cuatexto"/>
              <w:rPr>
                <w:sz w:val="18"/>
                <w:szCs w:val="18"/>
                <w:lang w:val="es-ES" w:eastAsia="es-ES"/>
              </w:rPr>
            </w:pPr>
            <w:r w:rsidRPr="005A760B">
              <w:rPr>
                <w:sz w:val="18"/>
                <w:szCs w:val="18"/>
                <w:lang w:val="es-ES" w:eastAsia="es-ES"/>
              </w:rPr>
              <w:t>Castejón</w:t>
            </w:r>
          </w:p>
        </w:tc>
        <w:tc>
          <w:tcPr>
            <w:tcW w:w="500"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6"/>
                <w:szCs w:val="16"/>
                <w:lang w:val="es-ES" w:eastAsia="es-ES"/>
              </w:rPr>
            </w:pPr>
            <w:r w:rsidRPr="005A760B">
              <w:rPr>
                <w:sz w:val="16"/>
                <w:szCs w:val="16"/>
                <w:lang w:val="es-ES" w:eastAsia="es-ES"/>
              </w:rPr>
              <w:t>18/02/2020</w:t>
            </w:r>
          </w:p>
        </w:tc>
        <w:tc>
          <w:tcPr>
            <w:tcW w:w="548"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4.109</w:t>
            </w:r>
          </w:p>
        </w:tc>
        <w:tc>
          <w:tcPr>
            <w:tcW w:w="668"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5.914.919</w:t>
            </w:r>
          </w:p>
        </w:tc>
        <w:tc>
          <w:tcPr>
            <w:tcW w:w="616"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6.194.245</w:t>
            </w:r>
          </w:p>
        </w:tc>
        <w:tc>
          <w:tcPr>
            <w:tcW w:w="561" w:type="pct"/>
            <w:gridSpan w:val="3"/>
            <w:tcBorders>
              <w:top w:val="nil"/>
              <w:left w:val="nil"/>
              <w:bottom w:val="single" w:sz="4" w:space="0" w:color="auto"/>
              <w:right w:val="nil"/>
            </w:tcBorders>
            <w:shd w:val="clear" w:color="auto" w:fill="auto"/>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86</w:t>
            </w:r>
          </w:p>
        </w:tc>
        <w:tc>
          <w:tcPr>
            <w:tcW w:w="281" w:type="pct"/>
            <w:tcBorders>
              <w:top w:val="nil"/>
              <w:left w:val="nil"/>
              <w:bottom w:val="single" w:sz="4" w:space="0" w:color="auto"/>
              <w:right w:val="nil"/>
            </w:tcBorders>
            <w:shd w:val="clear" w:color="auto" w:fill="auto"/>
            <w:vAlign w:val="center"/>
            <w:hideMark/>
          </w:tcPr>
          <w:p w:rsidR="001049D6" w:rsidRPr="005A760B" w:rsidRDefault="001049D6" w:rsidP="00943C8C">
            <w:pPr>
              <w:pStyle w:val="cuatexto"/>
              <w:jc w:val="right"/>
              <w:rPr>
                <w:sz w:val="18"/>
                <w:szCs w:val="18"/>
                <w:lang w:val="es-ES" w:eastAsia="es-ES"/>
              </w:rPr>
            </w:pPr>
            <w:r w:rsidRPr="005A760B">
              <w:rPr>
                <w:sz w:val="18"/>
                <w:szCs w:val="18"/>
                <w:lang w:val="es-ES" w:eastAsia="es-ES"/>
              </w:rPr>
              <w:t>1</w:t>
            </w:r>
          </w:p>
        </w:tc>
        <w:tc>
          <w:tcPr>
            <w:tcW w:w="349" w:type="pct"/>
            <w:tcBorders>
              <w:top w:val="nil"/>
              <w:left w:val="nil"/>
              <w:bottom w:val="single" w:sz="4" w:space="0" w:color="auto"/>
              <w:right w:val="nil"/>
            </w:tcBorders>
            <w:shd w:val="clear" w:color="auto" w:fill="auto"/>
            <w:vAlign w:val="center"/>
            <w:hideMark/>
          </w:tcPr>
          <w:p w:rsidR="001049D6" w:rsidRPr="005A760B" w:rsidRDefault="005F216E" w:rsidP="00943C8C">
            <w:pPr>
              <w:pStyle w:val="cuatexto"/>
              <w:jc w:val="right"/>
              <w:rPr>
                <w:sz w:val="18"/>
                <w:szCs w:val="18"/>
                <w:lang w:val="es-ES" w:eastAsia="es-ES"/>
              </w:rPr>
            </w:pPr>
            <w:r w:rsidRPr="005A760B">
              <w:rPr>
                <w:sz w:val="18"/>
                <w:szCs w:val="18"/>
                <w:lang w:val="es-ES" w:eastAsia="es-ES"/>
              </w:rPr>
              <w:t>-</w:t>
            </w:r>
          </w:p>
        </w:tc>
        <w:tc>
          <w:tcPr>
            <w:tcW w:w="352" w:type="pct"/>
            <w:gridSpan w:val="2"/>
            <w:tcBorders>
              <w:top w:val="nil"/>
              <w:left w:val="nil"/>
              <w:bottom w:val="single" w:sz="4" w:space="0" w:color="auto"/>
              <w:right w:val="nil"/>
            </w:tcBorders>
            <w:shd w:val="clear" w:color="auto" w:fill="auto"/>
            <w:vAlign w:val="center"/>
            <w:hideMark/>
          </w:tcPr>
          <w:p w:rsidR="001049D6" w:rsidRPr="005A760B" w:rsidRDefault="005F216E" w:rsidP="009E29F8">
            <w:pPr>
              <w:pStyle w:val="cuatexto"/>
              <w:jc w:val="right"/>
              <w:rPr>
                <w:sz w:val="18"/>
                <w:szCs w:val="18"/>
                <w:lang w:val="es-ES" w:eastAsia="es-ES"/>
              </w:rPr>
            </w:pPr>
            <w:r w:rsidRPr="005A760B">
              <w:rPr>
                <w:sz w:val="18"/>
                <w:szCs w:val="18"/>
                <w:lang w:val="es-ES" w:eastAsia="es-ES"/>
              </w:rPr>
              <w:t>-</w:t>
            </w:r>
          </w:p>
        </w:tc>
      </w:tr>
      <w:tr w:rsidR="00D70274" w:rsidRPr="005A760B" w:rsidTr="0054090E">
        <w:trPr>
          <w:gridAfter w:val="1"/>
          <w:wAfter w:w="10" w:type="pct"/>
          <w:trHeight w:val="300"/>
          <w:jc w:val="center"/>
        </w:trPr>
        <w:tc>
          <w:tcPr>
            <w:tcW w:w="1115" w:type="pct"/>
            <w:tcBorders>
              <w:top w:val="nil"/>
              <w:left w:val="nil"/>
              <w:bottom w:val="single" w:sz="4" w:space="0" w:color="auto"/>
              <w:right w:val="nil"/>
            </w:tcBorders>
            <w:shd w:val="clear" w:color="auto" w:fill="auto"/>
            <w:vAlign w:val="center"/>
            <w:hideMark/>
          </w:tcPr>
          <w:p w:rsidR="005F216E" w:rsidRPr="005A760B" w:rsidRDefault="005F216E" w:rsidP="001A21D9">
            <w:pPr>
              <w:pStyle w:val="cuatexto"/>
              <w:rPr>
                <w:sz w:val="18"/>
                <w:szCs w:val="18"/>
                <w:lang w:val="es-ES" w:eastAsia="es-ES"/>
              </w:rPr>
            </w:pPr>
            <w:proofErr w:type="spellStart"/>
            <w:r w:rsidRPr="005A760B">
              <w:rPr>
                <w:sz w:val="18"/>
                <w:szCs w:val="18"/>
                <w:lang w:val="es-ES" w:eastAsia="es-ES"/>
              </w:rPr>
              <w:t>Murchante</w:t>
            </w:r>
            <w:proofErr w:type="spellEnd"/>
          </w:p>
        </w:tc>
        <w:tc>
          <w:tcPr>
            <w:tcW w:w="500" w:type="pct"/>
            <w:gridSpan w:val="2"/>
            <w:tcBorders>
              <w:top w:val="nil"/>
              <w:left w:val="nil"/>
              <w:bottom w:val="single" w:sz="4" w:space="0" w:color="auto"/>
              <w:right w:val="nil"/>
            </w:tcBorders>
            <w:shd w:val="clear" w:color="auto" w:fill="auto"/>
            <w:noWrap/>
            <w:vAlign w:val="center"/>
            <w:hideMark/>
          </w:tcPr>
          <w:p w:rsidR="005F216E" w:rsidRPr="005A760B" w:rsidRDefault="005F216E" w:rsidP="001A21D9">
            <w:pPr>
              <w:pStyle w:val="cuatexto"/>
              <w:jc w:val="right"/>
              <w:rPr>
                <w:sz w:val="16"/>
                <w:szCs w:val="16"/>
                <w:lang w:val="es-ES" w:eastAsia="es-ES"/>
              </w:rPr>
            </w:pPr>
            <w:r w:rsidRPr="005A760B">
              <w:rPr>
                <w:sz w:val="16"/>
                <w:szCs w:val="16"/>
                <w:lang w:val="es-ES" w:eastAsia="es-ES"/>
              </w:rPr>
              <w:t>27/12/2019</w:t>
            </w:r>
          </w:p>
        </w:tc>
        <w:tc>
          <w:tcPr>
            <w:tcW w:w="548" w:type="pct"/>
            <w:gridSpan w:val="2"/>
            <w:tcBorders>
              <w:top w:val="nil"/>
              <w:left w:val="nil"/>
              <w:bottom w:val="single" w:sz="4" w:space="0" w:color="auto"/>
              <w:right w:val="nil"/>
            </w:tcBorders>
            <w:shd w:val="clear" w:color="auto" w:fill="auto"/>
            <w:noWrap/>
            <w:vAlign w:val="center"/>
            <w:hideMark/>
          </w:tcPr>
          <w:p w:rsidR="005F216E" w:rsidRPr="005A760B" w:rsidRDefault="005F216E" w:rsidP="001A21D9">
            <w:pPr>
              <w:pStyle w:val="cuatexto"/>
              <w:jc w:val="right"/>
              <w:rPr>
                <w:sz w:val="18"/>
                <w:szCs w:val="18"/>
                <w:lang w:val="es-ES" w:eastAsia="es-ES"/>
              </w:rPr>
            </w:pPr>
            <w:r w:rsidRPr="005A760B">
              <w:rPr>
                <w:sz w:val="18"/>
                <w:szCs w:val="18"/>
                <w:lang w:val="es-ES" w:eastAsia="es-ES"/>
              </w:rPr>
              <w:t>4.088</w:t>
            </w:r>
          </w:p>
        </w:tc>
        <w:tc>
          <w:tcPr>
            <w:tcW w:w="668" w:type="pct"/>
            <w:gridSpan w:val="2"/>
            <w:tcBorders>
              <w:top w:val="nil"/>
              <w:left w:val="nil"/>
              <w:bottom w:val="single" w:sz="4" w:space="0" w:color="auto"/>
              <w:right w:val="nil"/>
            </w:tcBorders>
            <w:shd w:val="clear" w:color="auto" w:fill="auto"/>
            <w:noWrap/>
            <w:vAlign w:val="center"/>
            <w:hideMark/>
          </w:tcPr>
          <w:p w:rsidR="005F216E" w:rsidRPr="005A760B" w:rsidRDefault="005F216E" w:rsidP="001A21D9">
            <w:pPr>
              <w:pStyle w:val="cuatexto"/>
              <w:jc w:val="right"/>
              <w:rPr>
                <w:sz w:val="18"/>
                <w:szCs w:val="18"/>
                <w:lang w:val="es-ES" w:eastAsia="es-ES"/>
              </w:rPr>
            </w:pPr>
            <w:r w:rsidRPr="005A760B">
              <w:rPr>
                <w:sz w:val="18"/>
                <w:szCs w:val="18"/>
                <w:lang w:val="es-ES" w:eastAsia="es-ES"/>
              </w:rPr>
              <w:t>3.184.091</w:t>
            </w:r>
          </w:p>
        </w:tc>
        <w:tc>
          <w:tcPr>
            <w:tcW w:w="616" w:type="pct"/>
            <w:gridSpan w:val="2"/>
            <w:tcBorders>
              <w:top w:val="nil"/>
              <w:left w:val="nil"/>
              <w:bottom w:val="single" w:sz="4" w:space="0" w:color="auto"/>
              <w:right w:val="nil"/>
            </w:tcBorders>
            <w:shd w:val="clear" w:color="auto" w:fill="auto"/>
            <w:noWrap/>
            <w:vAlign w:val="center"/>
            <w:hideMark/>
          </w:tcPr>
          <w:p w:rsidR="005F216E" w:rsidRPr="005A760B" w:rsidRDefault="005F216E" w:rsidP="001A21D9">
            <w:pPr>
              <w:pStyle w:val="cuatexto"/>
              <w:jc w:val="right"/>
              <w:rPr>
                <w:sz w:val="18"/>
                <w:szCs w:val="18"/>
                <w:lang w:val="es-ES" w:eastAsia="es-ES"/>
              </w:rPr>
            </w:pPr>
            <w:r w:rsidRPr="005A760B">
              <w:rPr>
                <w:sz w:val="18"/>
                <w:szCs w:val="18"/>
                <w:lang w:val="es-ES" w:eastAsia="es-ES"/>
              </w:rPr>
              <w:t>3.516.049</w:t>
            </w:r>
          </w:p>
        </w:tc>
        <w:tc>
          <w:tcPr>
            <w:tcW w:w="561" w:type="pct"/>
            <w:gridSpan w:val="3"/>
            <w:tcBorders>
              <w:top w:val="nil"/>
              <w:left w:val="nil"/>
              <w:bottom w:val="single" w:sz="4" w:space="0" w:color="auto"/>
              <w:right w:val="nil"/>
            </w:tcBorders>
            <w:shd w:val="clear" w:color="auto" w:fill="auto"/>
            <w:vAlign w:val="center"/>
            <w:hideMark/>
          </w:tcPr>
          <w:p w:rsidR="005F216E" w:rsidRPr="005A760B" w:rsidRDefault="005F216E" w:rsidP="001A21D9">
            <w:pPr>
              <w:pStyle w:val="cuatexto"/>
              <w:jc w:val="right"/>
              <w:rPr>
                <w:sz w:val="18"/>
                <w:szCs w:val="18"/>
                <w:lang w:val="es-ES" w:eastAsia="es-ES"/>
              </w:rPr>
            </w:pPr>
            <w:r w:rsidRPr="005A760B">
              <w:rPr>
                <w:sz w:val="18"/>
                <w:szCs w:val="18"/>
                <w:lang w:val="es-ES" w:eastAsia="es-ES"/>
              </w:rPr>
              <w:t>30</w:t>
            </w:r>
          </w:p>
        </w:tc>
        <w:tc>
          <w:tcPr>
            <w:tcW w:w="281" w:type="pct"/>
            <w:tcBorders>
              <w:top w:val="nil"/>
              <w:left w:val="nil"/>
              <w:bottom w:val="single" w:sz="4" w:space="0" w:color="auto"/>
              <w:right w:val="nil"/>
            </w:tcBorders>
            <w:shd w:val="clear" w:color="auto" w:fill="auto"/>
            <w:vAlign w:val="center"/>
            <w:hideMark/>
          </w:tcPr>
          <w:p w:rsidR="005F216E" w:rsidRPr="005A760B" w:rsidRDefault="005F216E" w:rsidP="00943C8C">
            <w:pPr>
              <w:pStyle w:val="cuatexto"/>
              <w:jc w:val="right"/>
              <w:rPr>
                <w:sz w:val="18"/>
                <w:szCs w:val="18"/>
                <w:lang w:val="es-ES" w:eastAsia="es-ES"/>
              </w:rPr>
            </w:pPr>
            <w:r w:rsidRPr="005A760B">
              <w:rPr>
                <w:sz w:val="18"/>
                <w:szCs w:val="18"/>
                <w:lang w:val="es-ES" w:eastAsia="es-ES"/>
              </w:rPr>
              <w:t>-</w:t>
            </w:r>
          </w:p>
        </w:tc>
        <w:tc>
          <w:tcPr>
            <w:tcW w:w="349" w:type="pct"/>
            <w:tcBorders>
              <w:top w:val="nil"/>
              <w:left w:val="nil"/>
              <w:bottom w:val="single" w:sz="4" w:space="0" w:color="auto"/>
              <w:right w:val="nil"/>
            </w:tcBorders>
            <w:shd w:val="clear" w:color="auto" w:fill="auto"/>
            <w:vAlign w:val="center"/>
            <w:hideMark/>
          </w:tcPr>
          <w:p w:rsidR="005F216E" w:rsidRPr="005A760B" w:rsidRDefault="005F216E" w:rsidP="00943C8C">
            <w:pPr>
              <w:pStyle w:val="cuatexto"/>
              <w:jc w:val="right"/>
              <w:rPr>
                <w:sz w:val="18"/>
                <w:szCs w:val="18"/>
                <w:lang w:val="es-ES" w:eastAsia="es-ES"/>
              </w:rPr>
            </w:pPr>
            <w:r w:rsidRPr="005A760B">
              <w:rPr>
                <w:sz w:val="18"/>
                <w:szCs w:val="18"/>
                <w:lang w:val="es-ES" w:eastAsia="es-ES"/>
              </w:rPr>
              <w:t>-</w:t>
            </w:r>
          </w:p>
        </w:tc>
        <w:tc>
          <w:tcPr>
            <w:tcW w:w="352" w:type="pct"/>
            <w:gridSpan w:val="2"/>
            <w:tcBorders>
              <w:top w:val="nil"/>
              <w:left w:val="nil"/>
              <w:bottom w:val="single" w:sz="4" w:space="0" w:color="auto"/>
              <w:right w:val="nil"/>
            </w:tcBorders>
            <w:shd w:val="clear" w:color="auto" w:fill="auto"/>
            <w:vAlign w:val="center"/>
            <w:hideMark/>
          </w:tcPr>
          <w:p w:rsidR="005F216E" w:rsidRPr="005A760B" w:rsidRDefault="005F216E" w:rsidP="001A21D9">
            <w:pPr>
              <w:pStyle w:val="cuatexto"/>
              <w:jc w:val="right"/>
              <w:rPr>
                <w:sz w:val="18"/>
                <w:szCs w:val="18"/>
                <w:lang w:val="es-ES" w:eastAsia="es-ES"/>
              </w:rPr>
            </w:pPr>
            <w:r w:rsidRPr="005A760B">
              <w:rPr>
                <w:sz w:val="18"/>
                <w:szCs w:val="18"/>
                <w:lang w:val="es-ES" w:eastAsia="es-ES"/>
              </w:rPr>
              <w:t>-</w:t>
            </w:r>
          </w:p>
        </w:tc>
      </w:tr>
      <w:tr w:rsidR="00D70274" w:rsidRPr="005A760B" w:rsidTr="0054090E">
        <w:trPr>
          <w:gridAfter w:val="1"/>
          <w:wAfter w:w="10" w:type="pct"/>
          <w:trHeight w:val="300"/>
          <w:jc w:val="center"/>
        </w:trPr>
        <w:tc>
          <w:tcPr>
            <w:tcW w:w="1115" w:type="pct"/>
            <w:tcBorders>
              <w:top w:val="nil"/>
              <w:left w:val="nil"/>
              <w:bottom w:val="single" w:sz="4" w:space="0" w:color="auto"/>
              <w:right w:val="nil"/>
            </w:tcBorders>
            <w:shd w:val="clear" w:color="auto" w:fill="auto"/>
            <w:vAlign w:val="center"/>
            <w:hideMark/>
          </w:tcPr>
          <w:p w:rsidR="005F216E" w:rsidRPr="005A760B" w:rsidRDefault="005F216E" w:rsidP="001A21D9">
            <w:pPr>
              <w:pStyle w:val="cuatexto"/>
              <w:rPr>
                <w:sz w:val="18"/>
                <w:szCs w:val="18"/>
                <w:lang w:val="es-ES" w:eastAsia="es-ES"/>
              </w:rPr>
            </w:pPr>
            <w:proofErr w:type="spellStart"/>
            <w:r w:rsidRPr="005A760B">
              <w:rPr>
                <w:sz w:val="18"/>
                <w:szCs w:val="18"/>
                <w:lang w:val="es-ES" w:eastAsia="es-ES"/>
              </w:rPr>
              <w:t>Olite</w:t>
            </w:r>
            <w:proofErr w:type="spellEnd"/>
          </w:p>
        </w:tc>
        <w:tc>
          <w:tcPr>
            <w:tcW w:w="500" w:type="pct"/>
            <w:gridSpan w:val="2"/>
            <w:tcBorders>
              <w:top w:val="nil"/>
              <w:left w:val="nil"/>
              <w:bottom w:val="single" w:sz="4" w:space="0" w:color="auto"/>
              <w:right w:val="nil"/>
            </w:tcBorders>
            <w:shd w:val="clear" w:color="auto" w:fill="auto"/>
            <w:noWrap/>
            <w:vAlign w:val="center"/>
            <w:hideMark/>
          </w:tcPr>
          <w:p w:rsidR="005F216E" w:rsidRPr="005A760B" w:rsidRDefault="005F216E" w:rsidP="001A21D9">
            <w:pPr>
              <w:pStyle w:val="cuatexto"/>
              <w:jc w:val="right"/>
              <w:rPr>
                <w:sz w:val="16"/>
                <w:szCs w:val="16"/>
                <w:lang w:val="es-ES" w:eastAsia="es-ES"/>
              </w:rPr>
            </w:pPr>
            <w:r w:rsidRPr="005A760B">
              <w:rPr>
                <w:sz w:val="16"/>
                <w:szCs w:val="16"/>
                <w:lang w:val="es-ES" w:eastAsia="es-ES"/>
              </w:rPr>
              <w:t>18/12/2019</w:t>
            </w:r>
          </w:p>
        </w:tc>
        <w:tc>
          <w:tcPr>
            <w:tcW w:w="548" w:type="pct"/>
            <w:gridSpan w:val="2"/>
            <w:tcBorders>
              <w:top w:val="nil"/>
              <w:left w:val="nil"/>
              <w:bottom w:val="single" w:sz="4" w:space="0" w:color="auto"/>
              <w:right w:val="nil"/>
            </w:tcBorders>
            <w:shd w:val="clear" w:color="auto" w:fill="auto"/>
            <w:noWrap/>
            <w:vAlign w:val="center"/>
            <w:hideMark/>
          </w:tcPr>
          <w:p w:rsidR="005F216E" w:rsidRPr="005A760B" w:rsidRDefault="005F216E" w:rsidP="001A21D9">
            <w:pPr>
              <w:pStyle w:val="cuatexto"/>
              <w:jc w:val="right"/>
              <w:rPr>
                <w:sz w:val="18"/>
                <w:szCs w:val="18"/>
                <w:lang w:val="es-ES" w:eastAsia="es-ES"/>
              </w:rPr>
            </w:pPr>
            <w:r w:rsidRPr="005A760B">
              <w:rPr>
                <w:sz w:val="18"/>
                <w:szCs w:val="18"/>
                <w:lang w:val="es-ES" w:eastAsia="es-ES"/>
              </w:rPr>
              <w:t>3.931</w:t>
            </w:r>
          </w:p>
        </w:tc>
        <w:tc>
          <w:tcPr>
            <w:tcW w:w="668" w:type="pct"/>
            <w:gridSpan w:val="2"/>
            <w:tcBorders>
              <w:top w:val="nil"/>
              <w:left w:val="nil"/>
              <w:bottom w:val="single" w:sz="4" w:space="0" w:color="auto"/>
              <w:right w:val="nil"/>
            </w:tcBorders>
            <w:shd w:val="clear" w:color="auto" w:fill="auto"/>
            <w:noWrap/>
            <w:vAlign w:val="center"/>
            <w:hideMark/>
          </w:tcPr>
          <w:p w:rsidR="005F216E" w:rsidRPr="005A760B" w:rsidRDefault="005F216E" w:rsidP="001A21D9">
            <w:pPr>
              <w:pStyle w:val="cuatexto"/>
              <w:jc w:val="right"/>
              <w:rPr>
                <w:sz w:val="18"/>
                <w:szCs w:val="18"/>
                <w:lang w:val="es-ES" w:eastAsia="es-ES"/>
              </w:rPr>
            </w:pPr>
            <w:r w:rsidRPr="005A760B">
              <w:rPr>
                <w:sz w:val="18"/>
                <w:szCs w:val="18"/>
                <w:lang w:val="es-ES" w:eastAsia="es-ES"/>
              </w:rPr>
              <w:t>3.721.680</w:t>
            </w:r>
          </w:p>
        </w:tc>
        <w:tc>
          <w:tcPr>
            <w:tcW w:w="616" w:type="pct"/>
            <w:gridSpan w:val="2"/>
            <w:tcBorders>
              <w:top w:val="nil"/>
              <w:left w:val="nil"/>
              <w:bottom w:val="single" w:sz="4" w:space="0" w:color="auto"/>
              <w:right w:val="nil"/>
            </w:tcBorders>
            <w:shd w:val="clear" w:color="auto" w:fill="auto"/>
            <w:vAlign w:val="center"/>
            <w:hideMark/>
          </w:tcPr>
          <w:p w:rsidR="005F216E" w:rsidRPr="005A760B" w:rsidRDefault="005F216E" w:rsidP="001A21D9">
            <w:pPr>
              <w:pStyle w:val="cuatexto"/>
              <w:jc w:val="right"/>
              <w:rPr>
                <w:sz w:val="18"/>
                <w:szCs w:val="18"/>
                <w:lang w:val="es-ES" w:eastAsia="es-ES"/>
              </w:rPr>
            </w:pPr>
            <w:r w:rsidRPr="005A760B">
              <w:rPr>
                <w:sz w:val="18"/>
                <w:szCs w:val="18"/>
                <w:lang w:val="es-ES" w:eastAsia="es-ES"/>
              </w:rPr>
              <w:t>4.213.573</w:t>
            </w:r>
          </w:p>
        </w:tc>
        <w:tc>
          <w:tcPr>
            <w:tcW w:w="561" w:type="pct"/>
            <w:gridSpan w:val="3"/>
            <w:tcBorders>
              <w:top w:val="nil"/>
              <w:left w:val="nil"/>
              <w:bottom w:val="single" w:sz="4" w:space="0" w:color="auto"/>
              <w:right w:val="nil"/>
            </w:tcBorders>
            <w:shd w:val="clear" w:color="auto" w:fill="auto"/>
            <w:vAlign w:val="center"/>
            <w:hideMark/>
          </w:tcPr>
          <w:p w:rsidR="005F216E" w:rsidRPr="005A760B" w:rsidRDefault="005F216E" w:rsidP="001A21D9">
            <w:pPr>
              <w:pStyle w:val="cuatexto"/>
              <w:jc w:val="right"/>
              <w:rPr>
                <w:sz w:val="18"/>
                <w:szCs w:val="18"/>
                <w:lang w:val="es-ES" w:eastAsia="es-ES"/>
              </w:rPr>
            </w:pPr>
            <w:r w:rsidRPr="005A760B">
              <w:rPr>
                <w:sz w:val="18"/>
                <w:szCs w:val="18"/>
                <w:lang w:val="es-ES" w:eastAsia="es-ES"/>
              </w:rPr>
              <w:t>32</w:t>
            </w:r>
          </w:p>
        </w:tc>
        <w:tc>
          <w:tcPr>
            <w:tcW w:w="281" w:type="pct"/>
            <w:tcBorders>
              <w:top w:val="nil"/>
              <w:left w:val="nil"/>
              <w:bottom w:val="single" w:sz="4" w:space="0" w:color="auto"/>
              <w:right w:val="nil"/>
            </w:tcBorders>
            <w:shd w:val="clear" w:color="auto" w:fill="auto"/>
            <w:vAlign w:val="center"/>
            <w:hideMark/>
          </w:tcPr>
          <w:p w:rsidR="005F216E" w:rsidRPr="005A760B" w:rsidRDefault="005F216E" w:rsidP="00943C8C">
            <w:pPr>
              <w:pStyle w:val="cuatexto"/>
              <w:jc w:val="right"/>
              <w:rPr>
                <w:sz w:val="18"/>
                <w:szCs w:val="18"/>
                <w:lang w:val="es-ES" w:eastAsia="es-ES"/>
              </w:rPr>
            </w:pPr>
            <w:r w:rsidRPr="005A760B">
              <w:rPr>
                <w:sz w:val="18"/>
                <w:szCs w:val="18"/>
                <w:lang w:val="es-ES" w:eastAsia="es-ES"/>
              </w:rPr>
              <w:t>0</w:t>
            </w:r>
          </w:p>
        </w:tc>
        <w:tc>
          <w:tcPr>
            <w:tcW w:w="349" w:type="pct"/>
            <w:tcBorders>
              <w:top w:val="nil"/>
              <w:left w:val="nil"/>
              <w:bottom w:val="single" w:sz="4" w:space="0" w:color="auto"/>
              <w:right w:val="nil"/>
            </w:tcBorders>
            <w:shd w:val="clear" w:color="auto" w:fill="auto"/>
            <w:vAlign w:val="center"/>
            <w:hideMark/>
          </w:tcPr>
          <w:p w:rsidR="005F216E" w:rsidRPr="005A760B" w:rsidRDefault="005F216E" w:rsidP="00943C8C">
            <w:pPr>
              <w:pStyle w:val="cuatexto"/>
              <w:jc w:val="right"/>
              <w:rPr>
                <w:sz w:val="18"/>
                <w:szCs w:val="18"/>
                <w:lang w:val="es-ES" w:eastAsia="es-ES"/>
              </w:rPr>
            </w:pPr>
            <w:r w:rsidRPr="005A760B">
              <w:rPr>
                <w:sz w:val="18"/>
                <w:szCs w:val="18"/>
                <w:lang w:val="es-ES" w:eastAsia="es-ES"/>
              </w:rPr>
              <w:t>-</w:t>
            </w:r>
          </w:p>
        </w:tc>
        <w:tc>
          <w:tcPr>
            <w:tcW w:w="352" w:type="pct"/>
            <w:gridSpan w:val="2"/>
            <w:tcBorders>
              <w:top w:val="nil"/>
              <w:left w:val="nil"/>
              <w:bottom w:val="single" w:sz="4" w:space="0" w:color="auto"/>
              <w:right w:val="nil"/>
            </w:tcBorders>
            <w:shd w:val="clear" w:color="auto" w:fill="auto"/>
            <w:vAlign w:val="center"/>
            <w:hideMark/>
          </w:tcPr>
          <w:p w:rsidR="005F216E" w:rsidRPr="005A760B" w:rsidRDefault="005F216E" w:rsidP="001A21D9">
            <w:pPr>
              <w:pStyle w:val="cuatexto"/>
              <w:jc w:val="right"/>
              <w:rPr>
                <w:sz w:val="18"/>
                <w:szCs w:val="18"/>
                <w:lang w:val="es-ES" w:eastAsia="es-ES"/>
              </w:rPr>
            </w:pPr>
            <w:r w:rsidRPr="005A760B">
              <w:rPr>
                <w:sz w:val="18"/>
                <w:szCs w:val="18"/>
                <w:lang w:val="es-ES" w:eastAsia="es-ES"/>
              </w:rPr>
              <w:t>-</w:t>
            </w:r>
          </w:p>
        </w:tc>
      </w:tr>
      <w:tr w:rsidR="00D70274" w:rsidRPr="005A760B" w:rsidTr="0054090E">
        <w:trPr>
          <w:gridAfter w:val="1"/>
          <w:wAfter w:w="10" w:type="pct"/>
          <w:trHeight w:val="300"/>
          <w:jc w:val="center"/>
        </w:trPr>
        <w:tc>
          <w:tcPr>
            <w:tcW w:w="1115" w:type="pct"/>
            <w:tcBorders>
              <w:top w:val="nil"/>
              <w:left w:val="nil"/>
              <w:bottom w:val="single" w:sz="4" w:space="0" w:color="auto"/>
              <w:right w:val="nil"/>
            </w:tcBorders>
            <w:shd w:val="clear" w:color="auto" w:fill="auto"/>
            <w:vAlign w:val="center"/>
            <w:hideMark/>
          </w:tcPr>
          <w:p w:rsidR="001049D6" w:rsidRPr="005A760B" w:rsidRDefault="001049D6" w:rsidP="009E29F8">
            <w:pPr>
              <w:pStyle w:val="cuatexto"/>
              <w:rPr>
                <w:sz w:val="18"/>
                <w:szCs w:val="18"/>
                <w:lang w:val="es-ES" w:eastAsia="es-ES"/>
              </w:rPr>
            </w:pPr>
            <w:r w:rsidRPr="005A760B">
              <w:rPr>
                <w:sz w:val="18"/>
                <w:szCs w:val="18"/>
                <w:lang w:val="es-ES" w:eastAsia="es-ES"/>
              </w:rPr>
              <w:t>Marcilla</w:t>
            </w:r>
          </w:p>
        </w:tc>
        <w:tc>
          <w:tcPr>
            <w:tcW w:w="500"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6"/>
                <w:szCs w:val="16"/>
                <w:lang w:val="es-ES" w:eastAsia="es-ES"/>
              </w:rPr>
            </w:pPr>
            <w:r w:rsidRPr="005A760B">
              <w:rPr>
                <w:sz w:val="16"/>
                <w:szCs w:val="16"/>
                <w:lang w:val="es-ES" w:eastAsia="es-ES"/>
              </w:rPr>
              <w:t>30/12/2019</w:t>
            </w:r>
          </w:p>
        </w:tc>
        <w:tc>
          <w:tcPr>
            <w:tcW w:w="548"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2.862</w:t>
            </w:r>
          </w:p>
        </w:tc>
        <w:tc>
          <w:tcPr>
            <w:tcW w:w="668"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3.975.046</w:t>
            </w:r>
          </w:p>
        </w:tc>
        <w:tc>
          <w:tcPr>
            <w:tcW w:w="616"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4.468.552</w:t>
            </w:r>
          </w:p>
        </w:tc>
        <w:tc>
          <w:tcPr>
            <w:tcW w:w="561" w:type="pct"/>
            <w:gridSpan w:val="3"/>
            <w:tcBorders>
              <w:top w:val="nil"/>
              <w:left w:val="nil"/>
              <w:bottom w:val="single" w:sz="4" w:space="0" w:color="auto"/>
              <w:right w:val="nil"/>
            </w:tcBorders>
            <w:shd w:val="clear" w:color="auto" w:fill="auto"/>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66</w:t>
            </w:r>
          </w:p>
        </w:tc>
        <w:tc>
          <w:tcPr>
            <w:tcW w:w="281" w:type="pct"/>
            <w:tcBorders>
              <w:top w:val="nil"/>
              <w:left w:val="nil"/>
              <w:bottom w:val="single" w:sz="4" w:space="0" w:color="auto"/>
              <w:right w:val="nil"/>
            </w:tcBorders>
            <w:shd w:val="clear" w:color="auto" w:fill="auto"/>
            <w:vAlign w:val="center"/>
            <w:hideMark/>
          </w:tcPr>
          <w:p w:rsidR="001049D6" w:rsidRPr="005A760B" w:rsidRDefault="001049D6" w:rsidP="00943C8C">
            <w:pPr>
              <w:pStyle w:val="cuatexto"/>
              <w:jc w:val="right"/>
              <w:rPr>
                <w:sz w:val="18"/>
                <w:szCs w:val="18"/>
                <w:lang w:val="es-ES" w:eastAsia="es-ES"/>
              </w:rPr>
            </w:pPr>
            <w:r w:rsidRPr="005A760B">
              <w:rPr>
                <w:sz w:val="18"/>
                <w:szCs w:val="18"/>
                <w:lang w:val="es-ES" w:eastAsia="es-ES"/>
              </w:rPr>
              <w:t>2</w:t>
            </w:r>
          </w:p>
        </w:tc>
        <w:tc>
          <w:tcPr>
            <w:tcW w:w="349" w:type="pct"/>
            <w:tcBorders>
              <w:top w:val="nil"/>
              <w:left w:val="nil"/>
              <w:bottom w:val="single" w:sz="4" w:space="0" w:color="auto"/>
              <w:right w:val="nil"/>
            </w:tcBorders>
            <w:shd w:val="clear" w:color="auto" w:fill="auto"/>
            <w:vAlign w:val="center"/>
            <w:hideMark/>
          </w:tcPr>
          <w:p w:rsidR="001049D6" w:rsidRPr="005A760B" w:rsidRDefault="005F216E" w:rsidP="00943C8C">
            <w:pPr>
              <w:pStyle w:val="cuatexto"/>
              <w:jc w:val="right"/>
              <w:rPr>
                <w:sz w:val="18"/>
                <w:szCs w:val="18"/>
                <w:lang w:val="es-ES" w:eastAsia="es-ES"/>
              </w:rPr>
            </w:pPr>
            <w:r w:rsidRPr="005A760B">
              <w:rPr>
                <w:sz w:val="18"/>
                <w:szCs w:val="18"/>
                <w:lang w:val="es-ES" w:eastAsia="es-ES"/>
              </w:rPr>
              <w:t>-</w:t>
            </w:r>
          </w:p>
        </w:tc>
        <w:tc>
          <w:tcPr>
            <w:tcW w:w="352" w:type="pct"/>
            <w:gridSpan w:val="2"/>
            <w:tcBorders>
              <w:top w:val="nil"/>
              <w:left w:val="nil"/>
              <w:bottom w:val="single" w:sz="4" w:space="0" w:color="auto"/>
              <w:right w:val="nil"/>
            </w:tcBorders>
            <w:shd w:val="clear" w:color="auto" w:fill="auto"/>
            <w:vAlign w:val="center"/>
            <w:hideMark/>
          </w:tcPr>
          <w:p w:rsidR="001049D6" w:rsidRPr="005A760B" w:rsidRDefault="005F216E" w:rsidP="009E29F8">
            <w:pPr>
              <w:pStyle w:val="cuatexto"/>
              <w:jc w:val="right"/>
              <w:rPr>
                <w:sz w:val="18"/>
                <w:szCs w:val="18"/>
                <w:lang w:val="es-ES" w:eastAsia="es-ES"/>
              </w:rPr>
            </w:pPr>
            <w:r w:rsidRPr="005A760B">
              <w:rPr>
                <w:sz w:val="18"/>
                <w:szCs w:val="18"/>
                <w:lang w:val="es-ES" w:eastAsia="es-ES"/>
              </w:rPr>
              <w:t>-</w:t>
            </w:r>
          </w:p>
        </w:tc>
      </w:tr>
      <w:tr w:rsidR="00D70274" w:rsidRPr="005A760B" w:rsidTr="0054090E">
        <w:trPr>
          <w:gridAfter w:val="1"/>
          <w:wAfter w:w="10" w:type="pct"/>
          <w:trHeight w:val="300"/>
          <w:jc w:val="center"/>
        </w:trPr>
        <w:tc>
          <w:tcPr>
            <w:tcW w:w="1115" w:type="pct"/>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rPr>
                <w:sz w:val="18"/>
                <w:szCs w:val="18"/>
                <w:lang w:val="es-ES" w:eastAsia="es-ES"/>
              </w:rPr>
            </w:pPr>
            <w:r w:rsidRPr="005A760B">
              <w:rPr>
                <w:sz w:val="18"/>
                <w:szCs w:val="18"/>
                <w:lang w:val="es-ES" w:eastAsia="es-ES"/>
              </w:rPr>
              <w:t xml:space="preserve">Concejo de </w:t>
            </w:r>
            <w:proofErr w:type="spellStart"/>
            <w:r w:rsidRPr="005A760B">
              <w:rPr>
                <w:sz w:val="18"/>
                <w:szCs w:val="18"/>
                <w:lang w:val="es-ES" w:eastAsia="es-ES"/>
              </w:rPr>
              <w:t>Figarol</w:t>
            </w:r>
            <w:proofErr w:type="spellEnd"/>
          </w:p>
        </w:tc>
        <w:tc>
          <w:tcPr>
            <w:tcW w:w="500"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6"/>
                <w:szCs w:val="16"/>
                <w:lang w:val="es-ES" w:eastAsia="es-ES"/>
              </w:rPr>
            </w:pPr>
            <w:r w:rsidRPr="005A760B">
              <w:rPr>
                <w:sz w:val="16"/>
                <w:szCs w:val="16"/>
                <w:lang w:val="es-ES" w:eastAsia="es-ES"/>
              </w:rPr>
              <w:t>11/06/2020</w:t>
            </w:r>
          </w:p>
        </w:tc>
        <w:tc>
          <w:tcPr>
            <w:tcW w:w="548"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314</w:t>
            </w:r>
          </w:p>
        </w:tc>
        <w:tc>
          <w:tcPr>
            <w:tcW w:w="668"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300.845</w:t>
            </w:r>
          </w:p>
        </w:tc>
        <w:tc>
          <w:tcPr>
            <w:tcW w:w="616" w:type="pct"/>
            <w:gridSpan w:val="2"/>
            <w:tcBorders>
              <w:top w:val="nil"/>
              <w:left w:val="nil"/>
              <w:bottom w:val="single" w:sz="4" w:space="0" w:color="auto"/>
              <w:right w:val="nil"/>
            </w:tcBorders>
            <w:shd w:val="clear" w:color="auto" w:fill="auto"/>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308.808</w:t>
            </w:r>
          </w:p>
        </w:tc>
        <w:tc>
          <w:tcPr>
            <w:tcW w:w="561" w:type="pct"/>
            <w:gridSpan w:val="3"/>
            <w:tcBorders>
              <w:top w:val="nil"/>
              <w:left w:val="nil"/>
              <w:bottom w:val="single" w:sz="4" w:space="0" w:color="auto"/>
              <w:right w:val="nil"/>
            </w:tcBorders>
            <w:shd w:val="clear" w:color="auto" w:fill="auto"/>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2</w:t>
            </w:r>
          </w:p>
        </w:tc>
        <w:tc>
          <w:tcPr>
            <w:tcW w:w="281" w:type="pct"/>
            <w:tcBorders>
              <w:top w:val="nil"/>
              <w:left w:val="nil"/>
              <w:bottom w:val="single" w:sz="4" w:space="0" w:color="auto"/>
              <w:right w:val="nil"/>
            </w:tcBorders>
            <w:shd w:val="clear" w:color="auto" w:fill="auto"/>
            <w:vAlign w:val="center"/>
            <w:hideMark/>
          </w:tcPr>
          <w:p w:rsidR="001049D6" w:rsidRPr="005A760B" w:rsidRDefault="005F216E" w:rsidP="00943C8C">
            <w:pPr>
              <w:pStyle w:val="cuatexto"/>
              <w:jc w:val="right"/>
              <w:rPr>
                <w:sz w:val="18"/>
                <w:szCs w:val="18"/>
                <w:lang w:val="es-ES" w:eastAsia="es-ES"/>
              </w:rPr>
            </w:pPr>
            <w:r w:rsidRPr="005A760B">
              <w:rPr>
                <w:sz w:val="18"/>
                <w:szCs w:val="18"/>
                <w:lang w:val="es-ES" w:eastAsia="es-ES"/>
              </w:rPr>
              <w:t>-</w:t>
            </w:r>
          </w:p>
        </w:tc>
        <w:tc>
          <w:tcPr>
            <w:tcW w:w="349" w:type="pct"/>
            <w:tcBorders>
              <w:top w:val="nil"/>
              <w:left w:val="nil"/>
              <w:bottom w:val="single" w:sz="4" w:space="0" w:color="auto"/>
              <w:right w:val="nil"/>
            </w:tcBorders>
            <w:shd w:val="clear" w:color="auto" w:fill="auto"/>
            <w:vAlign w:val="center"/>
            <w:hideMark/>
          </w:tcPr>
          <w:p w:rsidR="001049D6" w:rsidRPr="005A760B" w:rsidRDefault="005F216E" w:rsidP="00943C8C">
            <w:pPr>
              <w:pStyle w:val="cuatexto"/>
              <w:jc w:val="right"/>
              <w:rPr>
                <w:sz w:val="18"/>
                <w:szCs w:val="18"/>
                <w:lang w:val="es-ES" w:eastAsia="es-ES"/>
              </w:rPr>
            </w:pPr>
            <w:r w:rsidRPr="005A760B">
              <w:rPr>
                <w:sz w:val="18"/>
                <w:szCs w:val="18"/>
                <w:lang w:val="es-ES" w:eastAsia="es-ES"/>
              </w:rPr>
              <w:t>-</w:t>
            </w:r>
          </w:p>
        </w:tc>
        <w:tc>
          <w:tcPr>
            <w:tcW w:w="352" w:type="pct"/>
            <w:gridSpan w:val="2"/>
            <w:tcBorders>
              <w:top w:val="nil"/>
              <w:left w:val="nil"/>
              <w:bottom w:val="single" w:sz="4" w:space="0" w:color="auto"/>
              <w:right w:val="nil"/>
            </w:tcBorders>
            <w:shd w:val="clear" w:color="auto" w:fill="auto"/>
            <w:vAlign w:val="center"/>
            <w:hideMark/>
          </w:tcPr>
          <w:p w:rsidR="001049D6" w:rsidRPr="005A760B" w:rsidRDefault="005F216E" w:rsidP="009E29F8">
            <w:pPr>
              <w:pStyle w:val="cuatexto"/>
              <w:jc w:val="right"/>
              <w:rPr>
                <w:sz w:val="18"/>
                <w:szCs w:val="18"/>
                <w:lang w:val="es-ES" w:eastAsia="es-ES"/>
              </w:rPr>
            </w:pPr>
            <w:r w:rsidRPr="005A760B">
              <w:rPr>
                <w:sz w:val="18"/>
                <w:szCs w:val="18"/>
                <w:lang w:val="es-ES" w:eastAsia="es-ES"/>
              </w:rPr>
              <w:t>-</w:t>
            </w:r>
            <w:r w:rsidR="001049D6" w:rsidRPr="005A760B">
              <w:rPr>
                <w:sz w:val="18"/>
                <w:szCs w:val="18"/>
                <w:lang w:val="es-ES" w:eastAsia="es-ES"/>
              </w:rPr>
              <w:t> </w:t>
            </w:r>
          </w:p>
        </w:tc>
      </w:tr>
      <w:tr w:rsidR="00D70274" w:rsidRPr="005A760B" w:rsidTr="0054090E">
        <w:trPr>
          <w:gridAfter w:val="1"/>
          <w:wAfter w:w="10" w:type="pct"/>
          <w:trHeight w:val="300"/>
          <w:jc w:val="center"/>
        </w:trPr>
        <w:tc>
          <w:tcPr>
            <w:tcW w:w="1115" w:type="pct"/>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rPr>
                <w:sz w:val="18"/>
                <w:szCs w:val="18"/>
                <w:lang w:val="es-ES" w:eastAsia="es-ES"/>
              </w:rPr>
            </w:pPr>
            <w:proofErr w:type="spellStart"/>
            <w:r w:rsidRPr="005A760B">
              <w:rPr>
                <w:sz w:val="18"/>
                <w:szCs w:val="18"/>
                <w:lang w:val="es-ES" w:eastAsia="es-ES"/>
              </w:rPr>
              <w:t>Cons.Zona</w:t>
            </w:r>
            <w:proofErr w:type="spellEnd"/>
            <w:r w:rsidRPr="005A760B">
              <w:rPr>
                <w:sz w:val="18"/>
                <w:szCs w:val="18"/>
                <w:lang w:val="es-ES" w:eastAsia="es-ES"/>
              </w:rPr>
              <w:t xml:space="preserve"> Media Navarra</w:t>
            </w:r>
          </w:p>
        </w:tc>
        <w:tc>
          <w:tcPr>
            <w:tcW w:w="500"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6"/>
                <w:szCs w:val="16"/>
                <w:lang w:val="es-ES" w:eastAsia="es-ES"/>
              </w:rPr>
            </w:pPr>
            <w:r w:rsidRPr="005A760B">
              <w:rPr>
                <w:sz w:val="16"/>
                <w:szCs w:val="16"/>
                <w:lang w:val="es-ES" w:eastAsia="es-ES"/>
              </w:rPr>
              <w:t>21/05/2020</w:t>
            </w:r>
          </w:p>
        </w:tc>
        <w:tc>
          <w:tcPr>
            <w:tcW w:w="548"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39.777</w:t>
            </w:r>
          </w:p>
        </w:tc>
        <w:tc>
          <w:tcPr>
            <w:tcW w:w="668" w:type="pct"/>
            <w:gridSpan w:val="2"/>
            <w:tcBorders>
              <w:top w:val="nil"/>
              <w:left w:val="nil"/>
              <w:bottom w:val="single" w:sz="4" w:space="0" w:color="auto"/>
              <w:right w:val="nil"/>
            </w:tcBorders>
            <w:shd w:val="clear" w:color="auto" w:fill="auto"/>
            <w:noWrap/>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822.750</w:t>
            </w:r>
          </w:p>
        </w:tc>
        <w:tc>
          <w:tcPr>
            <w:tcW w:w="616" w:type="pct"/>
            <w:gridSpan w:val="2"/>
            <w:tcBorders>
              <w:top w:val="nil"/>
              <w:left w:val="nil"/>
              <w:bottom w:val="single" w:sz="4" w:space="0" w:color="auto"/>
              <w:right w:val="nil"/>
            </w:tcBorders>
            <w:shd w:val="clear" w:color="auto" w:fill="auto"/>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902.096</w:t>
            </w:r>
          </w:p>
        </w:tc>
        <w:tc>
          <w:tcPr>
            <w:tcW w:w="561" w:type="pct"/>
            <w:gridSpan w:val="3"/>
            <w:tcBorders>
              <w:top w:val="nil"/>
              <w:left w:val="nil"/>
              <w:bottom w:val="single" w:sz="4" w:space="0" w:color="auto"/>
              <w:right w:val="nil"/>
            </w:tcBorders>
            <w:shd w:val="clear" w:color="auto" w:fill="auto"/>
            <w:vAlign w:val="center"/>
            <w:hideMark/>
          </w:tcPr>
          <w:p w:rsidR="001049D6" w:rsidRPr="005A760B" w:rsidRDefault="001049D6" w:rsidP="009E29F8">
            <w:pPr>
              <w:pStyle w:val="cuatexto"/>
              <w:jc w:val="right"/>
              <w:rPr>
                <w:sz w:val="18"/>
                <w:szCs w:val="18"/>
                <w:lang w:val="es-ES" w:eastAsia="es-ES"/>
              </w:rPr>
            </w:pPr>
            <w:r w:rsidRPr="005A760B">
              <w:rPr>
                <w:sz w:val="18"/>
                <w:szCs w:val="18"/>
                <w:lang w:val="es-ES" w:eastAsia="es-ES"/>
              </w:rPr>
              <w:t>10</w:t>
            </w:r>
          </w:p>
        </w:tc>
        <w:tc>
          <w:tcPr>
            <w:tcW w:w="281" w:type="pct"/>
            <w:tcBorders>
              <w:top w:val="nil"/>
              <w:left w:val="nil"/>
              <w:bottom w:val="single" w:sz="4" w:space="0" w:color="auto"/>
              <w:right w:val="nil"/>
            </w:tcBorders>
            <w:shd w:val="clear" w:color="auto" w:fill="auto"/>
            <w:vAlign w:val="center"/>
            <w:hideMark/>
          </w:tcPr>
          <w:p w:rsidR="001049D6" w:rsidRPr="005A760B" w:rsidRDefault="001049D6" w:rsidP="00943C8C">
            <w:pPr>
              <w:pStyle w:val="cuatexto"/>
              <w:jc w:val="right"/>
              <w:rPr>
                <w:sz w:val="18"/>
                <w:szCs w:val="18"/>
                <w:lang w:val="es-ES" w:eastAsia="es-ES"/>
              </w:rPr>
            </w:pPr>
            <w:r w:rsidRPr="005A760B">
              <w:rPr>
                <w:sz w:val="18"/>
                <w:szCs w:val="18"/>
                <w:lang w:val="es-ES" w:eastAsia="es-ES"/>
              </w:rPr>
              <w:t>1</w:t>
            </w:r>
          </w:p>
        </w:tc>
        <w:tc>
          <w:tcPr>
            <w:tcW w:w="349" w:type="pct"/>
            <w:tcBorders>
              <w:top w:val="nil"/>
              <w:left w:val="nil"/>
              <w:bottom w:val="single" w:sz="4" w:space="0" w:color="auto"/>
              <w:right w:val="nil"/>
            </w:tcBorders>
            <w:shd w:val="clear" w:color="auto" w:fill="auto"/>
            <w:vAlign w:val="center"/>
            <w:hideMark/>
          </w:tcPr>
          <w:p w:rsidR="001049D6" w:rsidRPr="005A760B" w:rsidRDefault="005F216E" w:rsidP="00943C8C">
            <w:pPr>
              <w:pStyle w:val="cuatexto"/>
              <w:jc w:val="right"/>
              <w:rPr>
                <w:sz w:val="18"/>
                <w:szCs w:val="18"/>
                <w:lang w:val="es-ES" w:eastAsia="es-ES"/>
              </w:rPr>
            </w:pPr>
            <w:r w:rsidRPr="005A760B">
              <w:rPr>
                <w:sz w:val="18"/>
                <w:szCs w:val="18"/>
                <w:lang w:val="es-ES" w:eastAsia="es-ES"/>
              </w:rPr>
              <w:t>-</w:t>
            </w:r>
          </w:p>
        </w:tc>
        <w:tc>
          <w:tcPr>
            <w:tcW w:w="352" w:type="pct"/>
            <w:gridSpan w:val="2"/>
            <w:tcBorders>
              <w:top w:val="nil"/>
              <w:left w:val="nil"/>
              <w:bottom w:val="single" w:sz="4" w:space="0" w:color="auto"/>
              <w:right w:val="nil"/>
            </w:tcBorders>
            <w:shd w:val="clear" w:color="auto" w:fill="auto"/>
            <w:vAlign w:val="center"/>
            <w:hideMark/>
          </w:tcPr>
          <w:p w:rsidR="001049D6" w:rsidRPr="005A760B" w:rsidRDefault="005F216E" w:rsidP="009E29F8">
            <w:pPr>
              <w:pStyle w:val="cuatexto"/>
              <w:jc w:val="right"/>
              <w:rPr>
                <w:sz w:val="18"/>
                <w:szCs w:val="18"/>
                <w:lang w:val="es-ES" w:eastAsia="es-ES"/>
              </w:rPr>
            </w:pPr>
            <w:r w:rsidRPr="005A760B">
              <w:rPr>
                <w:sz w:val="18"/>
                <w:szCs w:val="18"/>
                <w:lang w:val="es-ES" w:eastAsia="es-ES"/>
              </w:rPr>
              <w:t>-</w:t>
            </w:r>
            <w:r w:rsidR="001049D6" w:rsidRPr="005A760B">
              <w:rPr>
                <w:sz w:val="18"/>
                <w:szCs w:val="18"/>
                <w:lang w:val="es-ES" w:eastAsia="es-ES"/>
              </w:rPr>
              <w:t> </w:t>
            </w:r>
          </w:p>
        </w:tc>
      </w:tr>
      <w:tr w:rsidR="00943C8C" w:rsidRPr="005A760B" w:rsidTr="0054090E">
        <w:trPr>
          <w:gridAfter w:val="1"/>
          <w:wAfter w:w="10" w:type="pct"/>
          <w:trHeight w:val="300"/>
          <w:jc w:val="center"/>
        </w:trPr>
        <w:tc>
          <w:tcPr>
            <w:tcW w:w="1552" w:type="pct"/>
            <w:gridSpan w:val="2"/>
            <w:tcBorders>
              <w:top w:val="single" w:sz="4" w:space="0" w:color="auto"/>
              <w:left w:val="nil"/>
              <w:bottom w:val="single" w:sz="4" w:space="0" w:color="auto"/>
              <w:right w:val="nil"/>
            </w:tcBorders>
            <w:shd w:val="clear" w:color="000000" w:fill="FABF8F"/>
            <w:noWrap/>
            <w:vAlign w:val="center"/>
            <w:hideMark/>
          </w:tcPr>
          <w:p w:rsidR="001049D6" w:rsidRPr="005A760B" w:rsidRDefault="001049D6" w:rsidP="00E23BC4">
            <w:pPr>
              <w:pStyle w:val="cuadroCabe"/>
              <w:jc w:val="left"/>
              <w:rPr>
                <w:sz w:val="16"/>
                <w:szCs w:val="16"/>
                <w:lang w:val="es-ES" w:eastAsia="es-ES"/>
              </w:rPr>
            </w:pPr>
            <w:r w:rsidRPr="005A760B">
              <w:rPr>
                <w:sz w:val="16"/>
                <w:szCs w:val="16"/>
                <w:lang w:val="es-ES" w:eastAsia="es-ES"/>
              </w:rPr>
              <w:t>Total EELL fiscalizados</w:t>
            </w:r>
          </w:p>
        </w:tc>
        <w:tc>
          <w:tcPr>
            <w:tcW w:w="559" w:type="pct"/>
            <w:gridSpan w:val="2"/>
            <w:tcBorders>
              <w:top w:val="nil"/>
              <w:left w:val="nil"/>
              <w:bottom w:val="single" w:sz="4" w:space="0" w:color="auto"/>
              <w:right w:val="nil"/>
            </w:tcBorders>
            <w:shd w:val="clear" w:color="000000" w:fill="FABF8F"/>
            <w:noWrap/>
            <w:vAlign w:val="center"/>
            <w:hideMark/>
          </w:tcPr>
          <w:p w:rsidR="001049D6" w:rsidRPr="005A760B" w:rsidRDefault="002932E3" w:rsidP="002932E3">
            <w:pPr>
              <w:pStyle w:val="cuadroCabe"/>
              <w:ind w:right="-61"/>
              <w:jc w:val="right"/>
              <w:rPr>
                <w:sz w:val="16"/>
                <w:szCs w:val="16"/>
                <w:lang w:val="es-ES" w:eastAsia="es-ES"/>
              </w:rPr>
            </w:pPr>
            <w:r w:rsidRPr="005A760B">
              <w:rPr>
                <w:sz w:val="16"/>
                <w:szCs w:val="16"/>
                <w:lang w:val="es-ES" w:eastAsia="es-ES"/>
              </w:rPr>
              <w:t xml:space="preserve">  </w:t>
            </w:r>
            <w:r w:rsidR="001049D6" w:rsidRPr="005A760B">
              <w:rPr>
                <w:sz w:val="16"/>
                <w:szCs w:val="16"/>
                <w:lang w:val="es-ES" w:eastAsia="es-ES"/>
              </w:rPr>
              <w:t>277.237</w:t>
            </w:r>
          </w:p>
        </w:tc>
        <w:tc>
          <w:tcPr>
            <w:tcW w:w="719" w:type="pct"/>
            <w:gridSpan w:val="3"/>
            <w:tcBorders>
              <w:top w:val="nil"/>
              <w:left w:val="nil"/>
              <w:bottom w:val="single" w:sz="4" w:space="0" w:color="auto"/>
              <w:right w:val="nil"/>
            </w:tcBorders>
            <w:shd w:val="clear" w:color="000000" w:fill="FABF8F"/>
            <w:noWrap/>
            <w:vAlign w:val="center"/>
            <w:hideMark/>
          </w:tcPr>
          <w:p w:rsidR="001049D6" w:rsidRPr="005A760B" w:rsidRDefault="001049D6" w:rsidP="002932E3">
            <w:pPr>
              <w:pStyle w:val="cuadroCabe"/>
              <w:ind w:left="64" w:hanging="64"/>
              <w:jc w:val="right"/>
              <w:rPr>
                <w:sz w:val="16"/>
                <w:szCs w:val="16"/>
                <w:lang w:val="es-ES" w:eastAsia="es-ES"/>
              </w:rPr>
            </w:pPr>
            <w:r w:rsidRPr="005A760B">
              <w:rPr>
                <w:sz w:val="16"/>
                <w:szCs w:val="16"/>
                <w:lang w:val="es-ES" w:eastAsia="es-ES"/>
              </w:rPr>
              <w:t>242.258.007</w:t>
            </w:r>
          </w:p>
        </w:tc>
        <w:tc>
          <w:tcPr>
            <w:tcW w:w="616" w:type="pct"/>
            <w:gridSpan w:val="2"/>
            <w:tcBorders>
              <w:top w:val="nil"/>
              <w:left w:val="nil"/>
              <w:bottom w:val="single" w:sz="4" w:space="0" w:color="auto"/>
              <w:right w:val="nil"/>
            </w:tcBorders>
            <w:shd w:val="clear" w:color="000000" w:fill="FABF8F"/>
            <w:noWrap/>
            <w:vAlign w:val="center"/>
            <w:hideMark/>
          </w:tcPr>
          <w:p w:rsidR="001049D6" w:rsidRPr="005A760B" w:rsidRDefault="001049D6" w:rsidP="009E29F8">
            <w:pPr>
              <w:pStyle w:val="cuadroCabe"/>
              <w:jc w:val="right"/>
              <w:rPr>
                <w:sz w:val="16"/>
                <w:szCs w:val="16"/>
                <w:lang w:val="es-ES" w:eastAsia="es-ES"/>
              </w:rPr>
            </w:pPr>
            <w:r w:rsidRPr="005A760B">
              <w:rPr>
                <w:sz w:val="16"/>
                <w:szCs w:val="16"/>
                <w:lang w:val="es-ES" w:eastAsia="es-ES"/>
              </w:rPr>
              <w:t>258.834.201</w:t>
            </w:r>
          </w:p>
        </w:tc>
        <w:tc>
          <w:tcPr>
            <w:tcW w:w="557" w:type="pct"/>
            <w:gridSpan w:val="2"/>
            <w:tcBorders>
              <w:top w:val="nil"/>
              <w:left w:val="nil"/>
              <w:bottom w:val="single" w:sz="4" w:space="0" w:color="auto"/>
              <w:right w:val="nil"/>
            </w:tcBorders>
            <w:shd w:val="clear" w:color="000000" w:fill="FABF8F"/>
            <w:noWrap/>
            <w:vAlign w:val="center"/>
            <w:hideMark/>
          </w:tcPr>
          <w:p w:rsidR="001049D6" w:rsidRPr="005A760B" w:rsidRDefault="001049D6" w:rsidP="009E29F8">
            <w:pPr>
              <w:pStyle w:val="cuadroCabe"/>
              <w:jc w:val="right"/>
              <w:rPr>
                <w:sz w:val="16"/>
                <w:szCs w:val="16"/>
                <w:lang w:val="es-ES" w:eastAsia="es-ES"/>
              </w:rPr>
            </w:pPr>
            <w:r w:rsidRPr="005A760B">
              <w:rPr>
                <w:sz w:val="16"/>
                <w:szCs w:val="16"/>
                <w:lang w:val="es-ES" w:eastAsia="es-ES"/>
              </w:rPr>
              <w:t>2.312</w:t>
            </w:r>
          </w:p>
        </w:tc>
        <w:tc>
          <w:tcPr>
            <w:tcW w:w="285" w:type="pct"/>
            <w:gridSpan w:val="2"/>
            <w:tcBorders>
              <w:top w:val="nil"/>
              <w:left w:val="nil"/>
              <w:bottom w:val="single" w:sz="4" w:space="0" w:color="auto"/>
              <w:right w:val="nil"/>
            </w:tcBorders>
            <w:shd w:val="clear" w:color="000000" w:fill="FABF8F"/>
            <w:noWrap/>
            <w:vAlign w:val="center"/>
            <w:hideMark/>
          </w:tcPr>
          <w:p w:rsidR="001049D6" w:rsidRPr="005A760B" w:rsidRDefault="001049D6" w:rsidP="00943C8C">
            <w:pPr>
              <w:pStyle w:val="cuadroCabe"/>
              <w:jc w:val="right"/>
              <w:rPr>
                <w:sz w:val="16"/>
                <w:szCs w:val="16"/>
                <w:lang w:val="es-ES" w:eastAsia="es-ES"/>
              </w:rPr>
            </w:pPr>
            <w:r w:rsidRPr="005A760B">
              <w:rPr>
                <w:sz w:val="16"/>
                <w:szCs w:val="16"/>
                <w:lang w:val="es-ES" w:eastAsia="es-ES"/>
              </w:rPr>
              <w:t>8</w:t>
            </w:r>
          </w:p>
        </w:tc>
        <w:tc>
          <w:tcPr>
            <w:tcW w:w="407" w:type="pct"/>
            <w:gridSpan w:val="2"/>
            <w:tcBorders>
              <w:top w:val="nil"/>
              <w:left w:val="nil"/>
              <w:bottom w:val="single" w:sz="4" w:space="0" w:color="auto"/>
              <w:right w:val="nil"/>
            </w:tcBorders>
            <w:shd w:val="clear" w:color="000000" w:fill="FABF8F"/>
            <w:noWrap/>
            <w:vAlign w:val="center"/>
            <w:hideMark/>
          </w:tcPr>
          <w:p w:rsidR="001049D6" w:rsidRPr="005A760B" w:rsidRDefault="001049D6" w:rsidP="00943C8C">
            <w:pPr>
              <w:pStyle w:val="cuadroCabe"/>
              <w:jc w:val="right"/>
              <w:rPr>
                <w:sz w:val="16"/>
                <w:szCs w:val="16"/>
                <w:lang w:val="es-ES" w:eastAsia="es-ES"/>
              </w:rPr>
            </w:pPr>
            <w:r w:rsidRPr="005A760B">
              <w:rPr>
                <w:sz w:val="16"/>
                <w:szCs w:val="16"/>
                <w:lang w:val="es-ES" w:eastAsia="es-ES"/>
              </w:rPr>
              <w:t>8</w:t>
            </w:r>
          </w:p>
        </w:tc>
        <w:tc>
          <w:tcPr>
            <w:tcW w:w="294" w:type="pct"/>
            <w:tcBorders>
              <w:top w:val="nil"/>
              <w:left w:val="nil"/>
              <w:bottom w:val="single" w:sz="4" w:space="0" w:color="auto"/>
              <w:right w:val="nil"/>
            </w:tcBorders>
            <w:shd w:val="clear" w:color="000000" w:fill="FABF8F"/>
            <w:noWrap/>
            <w:vAlign w:val="center"/>
            <w:hideMark/>
          </w:tcPr>
          <w:p w:rsidR="001049D6" w:rsidRPr="005A760B" w:rsidRDefault="001049D6" w:rsidP="009E29F8">
            <w:pPr>
              <w:pStyle w:val="cuadroCabe"/>
              <w:jc w:val="right"/>
              <w:rPr>
                <w:sz w:val="16"/>
                <w:szCs w:val="16"/>
                <w:lang w:val="es-ES" w:eastAsia="es-ES"/>
              </w:rPr>
            </w:pPr>
            <w:r w:rsidRPr="005A760B">
              <w:rPr>
                <w:sz w:val="16"/>
                <w:szCs w:val="16"/>
                <w:lang w:val="es-ES" w:eastAsia="es-ES"/>
              </w:rPr>
              <w:t>2</w:t>
            </w:r>
          </w:p>
        </w:tc>
      </w:tr>
    </w:tbl>
    <w:p w:rsidR="001049D6" w:rsidRPr="005A760B" w:rsidRDefault="001049D6" w:rsidP="00E23BC4">
      <w:pPr>
        <w:pStyle w:val="texto"/>
        <w:spacing w:before="240"/>
      </w:pPr>
      <w:r w:rsidRPr="005A760B">
        <w:t>Si relacionamos los principales datos relativos a las entidades fiscalizadas con el conjunto del sector público local de Navarra los resultados son:</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Los entes fiscalizados son el 1,3 por ciento de los existentes en Navarra en 2018, si bien su población alcanza el 43 por ciento del total.</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Tanto los ingresos como los gastos de las entidades auditadas representan el 31 por ciento del total de ingresos y gastos del sector público local de Nav</w:t>
      </w:r>
      <w:r w:rsidRPr="005A760B">
        <w:rPr>
          <w:rFonts w:cs="Arial"/>
        </w:rPr>
        <w:t>a</w:t>
      </w:r>
      <w:r w:rsidRPr="005A760B">
        <w:rPr>
          <w:rFonts w:cs="Arial"/>
        </w:rPr>
        <w:t>rra.</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 xml:space="preserve"> Los entes dependientes de estos municipios fiscalizados representan el 14,4 por ciento del total de los mismos sin tener en cuenta a los consorcios.</w:t>
      </w:r>
    </w:p>
    <w:p w:rsidR="001049D6" w:rsidRPr="005A760B" w:rsidRDefault="001049D6" w:rsidP="00E23BC4">
      <w:pPr>
        <w:pStyle w:val="texto"/>
      </w:pPr>
      <w:r w:rsidRPr="005A760B">
        <w:t>El objetivo de las fiscalizaciones financieras y de legalidad fue emitir una opinión acerca de:</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 xml:space="preserve">Opinión de auditoría financiera: si la </w:t>
      </w:r>
      <w:r w:rsidR="005F216E" w:rsidRPr="005A760B">
        <w:rPr>
          <w:rFonts w:cs="Arial"/>
        </w:rPr>
        <w:t>C</w:t>
      </w:r>
      <w:r w:rsidRPr="005A760B">
        <w:rPr>
          <w:rFonts w:cs="Arial"/>
        </w:rPr>
        <w:t xml:space="preserve">uenta </w:t>
      </w:r>
      <w:r w:rsidR="005F216E" w:rsidRPr="005A760B">
        <w:rPr>
          <w:rFonts w:cs="Arial"/>
        </w:rPr>
        <w:t>G</w:t>
      </w:r>
      <w:r w:rsidRPr="005A760B">
        <w:rPr>
          <w:rFonts w:cs="Arial"/>
        </w:rPr>
        <w:t>eneral expresaba, en todos los aspectos significativos, la imagen fiel del patrimonio, de la liquidación de sus presupuestos y de la situación financiera de la entidad local a 31 de dicie</w:t>
      </w:r>
      <w:r w:rsidRPr="005A760B">
        <w:rPr>
          <w:rFonts w:cs="Arial"/>
        </w:rPr>
        <w:t>m</w:t>
      </w:r>
      <w:r w:rsidRPr="005A760B">
        <w:rPr>
          <w:rFonts w:cs="Arial"/>
        </w:rPr>
        <w:t>bre de 2018; así como de sus resultados económicos y presupuestarios corre</w:t>
      </w:r>
      <w:r w:rsidRPr="005A760B">
        <w:rPr>
          <w:rFonts w:cs="Arial"/>
        </w:rPr>
        <w:t>s</w:t>
      </w:r>
      <w:r w:rsidRPr="005A760B">
        <w:rPr>
          <w:rFonts w:cs="Arial"/>
        </w:rPr>
        <w:t>pondientes al ejercicio anual terminado en dicha fecha, de conformidad con el marco normativo de información financiera pública aplicable, y, en particular, con los principios y criterios contables contenidos en el mismo.</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Opinión sobre cumplimiento de legalidad: si las actividades, operaciones presupuestarias y financieras y la información reflejada en los estados financi</w:t>
      </w:r>
      <w:r w:rsidRPr="005A760B">
        <w:rPr>
          <w:rFonts w:cs="Arial"/>
        </w:rPr>
        <w:t>e</w:t>
      </w:r>
      <w:r w:rsidRPr="005A760B">
        <w:rPr>
          <w:rFonts w:cs="Arial"/>
        </w:rPr>
        <w:t>ros de</w:t>
      </w:r>
      <w:r w:rsidR="008A5FED" w:rsidRPr="005A760B">
        <w:rPr>
          <w:rFonts w:cs="Arial"/>
        </w:rPr>
        <w:t xml:space="preserve"> la entidad local,</w:t>
      </w:r>
      <w:r w:rsidRPr="005A760B">
        <w:rPr>
          <w:rFonts w:cs="Arial"/>
        </w:rPr>
        <w:t xml:space="preserve"> correspondientes al ejercicio 2018</w:t>
      </w:r>
      <w:r w:rsidR="008A5FED" w:rsidRPr="005A760B">
        <w:rPr>
          <w:rFonts w:cs="Arial"/>
        </w:rPr>
        <w:t>,</w:t>
      </w:r>
      <w:r w:rsidRPr="005A760B">
        <w:rPr>
          <w:rFonts w:cs="Arial"/>
        </w:rPr>
        <w:t xml:space="preserve"> resultaban confo</w:t>
      </w:r>
      <w:r w:rsidRPr="005A760B">
        <w:rPr>
          <w:rFonts w:cs="Arial"/>
        </w:rPr>
        <w:t>r</w:t>
      </w:r>
      <w:r w:rsidRPr="005A760B">
        <w:rPr>
          <w:rFonts w:cs="Arial"/>
        </w:rPr>
        <w:t>mes, en todos los aspectos significativos, con la normativa aplicable a la ge</w:t>
      </w:r>
      <w:r w:rsidRPr="005A760B">
        <w:rPr>
          <w:rFonts w:cs="Arial"/>
        </w:rPr>
        <w:t>s</w:t>
      </w:r>
      <w:r w:rsidRPr="005A760B">
        <w:rPr>
          <w:rFonts w:cs="Arial"/>
        </w:rPr>
        <w:t>tión de los fondos públicos.</w:t>
      </w:r>
    </w:p>
    <w:p w:rsidR="001049D6" w:rsidRPr="005A760B" w:rsidRDefault="001049D6" w:rsidP="00E23BC4">
      <w:pPr>
        <w:pStyle w:val="texto"/>
      </w:pPr>
      <w:r w:rsidRPr="005A760B">
        <w:t>Los resultados de las fiscalizaciones se recogieron en los correspondientes informes que se publicaron en el Boletín Oficial del Parlamento de Navarra y en la página web de esta Cámara.</w:t>
      </w:r>
    </w:p>
    <w:p w:rsidR="001049D6" w:rsidRPr="005A760B" w:rsidRDefault="001049D6" w:rsidP="00E23BC4">
      <w:pPr>
        <w:pStyle w:val="texto"/>
      </w:pPr>
      <w:r w:rsidRPr="005A760B">
        <w:t>En cuanto a la opinión de estos informes, los resultados fueron los siguie</w:t>
      </w:r>
      <w:r w:rsidRPr="005A760B">
        <w:t>n</w:t>
      </w:r>
      <w:r w:rsidRPr="005A760B">
        <w:t>tes:</w:t>
      </w:r>
    </w:p>
    <w:p w:rsidR="001049D6" w:rsidRPr="005A760B" w:rsidRDefault="001049D6" w:rsidP="00E23BC4">
      <w:pPr>
        <w:pStyle w:val="texto"/>
        <w:numPr>
          <w:ilvl w:val="0"/>
          <w:numId w:val="11"/>
        </w:numPr>
        <w:tabs>
          <w:tab w:val="clear" w:pos="2835"/>
          <w:tab w:val="clear" w:pos="3969"/>
          <w:tab w:val="clear" w:pos="5103"/>
          <w:tab w:val="clear" w:pos="6237"/>
          <w:tab w:val="clear" w:pos="7371"/>
          <w:tab w:val="left" w:pos="602"/>
        </w:tabs>
        <w:ind w:left="0" w:firstLine="284"/>
      </w:pPr>
      <w:r w:rsidRPr="005A760B">
        <w:t>La opinión de auditoría financiera fue favorable con salvedades en las nueve entidades. Las principales salvedades emitidas fueron las siguientes:</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El saldo del inmovilizado material no está soportado en un inventario a</w:t>
      </w:r>
      <w:r w:rsidRPr="005A760B">
        <w:rPr>
          <w:rFonts w:cs="Arial"/>
        </w:rPr>
        <w:t>c</w:t>
      </w:r>
      <w:r w:rsidRPr="005A760B">
        <w:rPr>
          <w:rFonts w:cs="Arial"/>
        </w:rPr>
        <w:t>tualizado (ocho entidades).</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Se han contabilizado gastos superando los créditos definitivos de la bolsa de vinculación jurídica, sin que se haya tramitado la correspondiente modific</w:t>
      </w:r>
      <w:r w:rsidRPr="005A760B">
        <w:rPr>
          <w:rFonts w:cs="Arial"/>
        </w:rPr>
        <w:t>a</w:t>
      </w:r>
      <w:r w:rsidRPr="005A760B">
        <w:rPr>
          <w:rFonts w:cs="Arial"/>
        </w:rPr>
        <w:t>ción presupuestaria (una entidad y su organismo autónomo).</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left" w:pos="3122"/>
        </w:tabs>
        <w:ind w:left="0" w:firstLine="289"/>
        <w:rPr>
          <w:rFonts w:cs="Arial"/>
        </w:rPr>
      </w:pPr>
      <w:r w:rsidRPr="005A760B">
        <w:rPr>
          <w:rFonts w:cs="Arial"/>
        </w:rPr>
        <w:t>Los saldos de difícil recaudación no se recogen correctamente en el rem</w:t>
      </w:r>
      <w:r w:rsidRPr="005A760B">
        <w:rPr>
          <w:rFonts w:cs="Arial"/>
        </w:rPr>
        <w:t>a</w:t>
      </w:r>
      <w:r w:rsidRPr="005A760B">
        <w:rPr>
          <w:rFonts w:cs="Arial"/>
        </w:rPr>
        <w:t>nente de tesorería (una entidad).</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 w:val="left" w:pos="3122"/>
        </w:tabs>
        <w:ind w:left="0" w:firstLine="289"/>
        <w:rPr>
          <w:rFonts w:cs="Arial"/>
        </w:rPr>
      </w:pPr>
      <w:r w:rsidRPr="005A760B">
        <w:rPr>
          <w:rFonts w:cs="Arial"/>
        </w:rPr>
        <w:t xml:space="preserve">En el remanente de tesorería y en el balance no se recoge una obligación pendiente de pago </w:t>
      </w:r>
      <w:r w:rsidR="008F4891" w:rsidRPr="005A760B">
        <w:rPr>
          <w:rFonts w:cs="Arial"/>
        </w:rPr>
        <w:t xml:space="preserve">de importe significativo </w:t>
      </w:r>
      <w:r w:rsidRPr="005A760B">
        <w:rPr>
          <w:rFonts w:cs="Arial"/>
        </w:rPr>
        <w:t>(una entidad).</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No están contabilizadas las obligaciones actuariales derivadas de las pe</w:t>
      </w:r>
      <w:r w:rsidRPr="005A760B">
        <w:rPr>
          <w:rFonts w:cs="Arial"/>
        </w:rPr>
        <w:t>n</w:t>
      </w:r>
      <w:r w:rsidRPr="005A760B">
        <w:rPr>
          <w:rFonts w:cs="Arial"/>
        </w:rPr>
        <w:t xml:space="preserve">siones del personal perteneciente al montepío </w:t>
      </w:r>
      <w:r w:rsidR="008F4891" w:rsidRPr="005A760B">
        <w:rPr>
          <w:rFonts w:cs="Arial"/>
        </w:rPr>
        <w:t>municipal</w:t>
      </w:r>
      <w:r w:rsidR="004F1144" w:rsidRPr="005A760B">
        <w:rPr>
          <w:rFonts w:cs="Arial"/>
        </w:rPr>
        <w:t xml:space="preserve"> </w:t>
      </w:r>
      <w:r w:rsidRPr="005A760B">
        <w:rPr>
          <w:rFonts w:cs="Arial"/>
        </w:rPr>
        <w:t>(una entidad).</w:t>
      </w:r>
    </w:p>
    <w:p w:rsidR="001049D6" w:rsidRPr="005A760B" w:rsidRDefault="001049D6" w:rsidP="00E23BC4">
      <w:pPr>
        <w:pStyle w:val="texto"/>
        <w:numPr>
          <w:ilvl w:val="0"/>
          <w:numId w:val="11"/>
        </w:numPr>
        <w:tabs>
          <w:tab w:val="clear" w:pos="2835"/>
          <w:tab w:val="clear" w:pos="3969"/>
          <w:tab w:val="clear" w:pos="5103"/>
          <w:tab w:val="clear" w:pos="6237"/>
          <w:tab w:val="clear" w:pos="7371"/>
          <w:tab w:val="left" w:pos="602"/>
        </w:tabs>
        <w:ind w:left="0" w:firstLine="284"/>
      </w:pPr>
      <w:r w:rsidRPr="005A760B">
        <w:t>La opinión de auditoría de cumplimiento de legalidad fue favorable en una entidad, y con salvedades en las</w:t>
      </w:r>
      <w:r w:rsidR="00E23BC4" w:rsidRPr="005A760B">
        <w:t xml:space="preserve"> </w:t>
      </w:r>
      <w:r w:rsidRPr="005A760B">
        <w:t>ocho restantes. En este caso, las princip</w:t>
      </w:r>
      <w:r w:rsidRPr="005A760B">
        <w:t>a</w:t>
      </w:r>
      <w:r w:rsidRPr="005A760B">
        <w:t>les salvedades fueron:</w:t>
      </w:r>
    </w:p>
    <w:p w:rsidR="001049D6" w:rsidRPr="005A760B" w:rsidRDefault="008F4891"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 xml:space="preserve">Abono de </w:t>
      </w:r>
      <w:r w:rsidR="001049D6" w:rsidRPr="005A760B">
        <w:rPr>
          <w:rFonts w:cs="Arial"/>
        </w:rPr>
        <w:t>gastos por servicios y suministros sin soporte contractual, en unos casos por no haber tramitado el correspondiente procedimiento de licit</w:t>
      </w:r>
      <w:r w:rsidR="001049D6" w:rsidRPr="005A760B">
        <w:rPr>
          <w:rFonts w:cs="Arial"/>
        </w:rPr>
        <w:t>a</w:t>
      </w:r>
      <w:r w:rsidR="001049D6" w:rsidRPr="005A760B">
        <w:rPr>
          <w:rFonts w:cs="Arial"/>
        </w:rPr>
        <w:t>ción, y en otros, por haber superado el plazo máximo de vigencia de los contr</w:t>
      </w:r>
      <w:r w:rsidR="001049D6" w:rsidRPr="005A760B">
        <w:rPr>
          <w:rFonts w:cs="Arial"/>
        </w:rPr>
        <w:t>a</w:t>
      </w:r>
      <w:r w:rsidR="001049D6" w:rsidRPr="005A760B">
        <w:rPr>
          <w:rFonts w:cs="Arial"/>
        </w:rPr>
        <w:t>tos (ocho entidades).</w:t>
      </w:r>
    </w:p>
    <w:p w:rsidR="001049D6" w:rsidRPr="005A760B" w:rsidRDefault="001049D6" w:rsidP="001049D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60"/>
        <w:ind w:left="0" w:firstLine="289"/>
        <w:rPr>
          <w:rFonts w:cs="Arial"/>
        </w:rPr>
      </w:pPr>
      <w:r w:rsidRPr="005A760B">
        <w:rPr>
          <w:rFonts w:cs="Arial"/>
        </w:rPr>
        <w:t>La plantilla orgánica no consta o no está actualizada (una entidad y un o</w:t>
      </w:r>
      <w:r w:rsidRPr="005A760B">
        <w:rPr>
          <w:rFonts w:cs="Arial"/>
        </w:rPr>
        <w:t>r</w:t>
      </w:r>
      <w:r w:rsidRPr="005A760B">
        <w:rPr>
          <w:rFonts w:cs="Arial"/>
        </w:rPr>
        <w:t>ganismo autónomo).</w:t>
      </w:r>
    </w:p>
    <w:p w:rsidR="001049D6" w:rsidRPr="005A760B" w:rsidRDefault="001049D6" w:rsidP="001049D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60"/>
        <w:ind w:left="0" w:firstLine="289"/>
        <w:rPr>
          <w:rFonts w:cs="Arial"/>
        </w:rPr>
      </w:pPr>
      <w:r w:rsidRPr="005A760B">
        <w:rPr>
          <w:rFonts w:cs="Arial"/>
        </w:rPr>
        <w:t>Las ofertas públicas de empleo han superado los límites de las tasas de r</w:t>
      </w:r>
      <w:r w:rsidRPr="005A760B">
        <w:rPr>
          <w:rFonts w:cs="Arial"/>
        </w:rPr>
        <w:t>e</w:t>
      </w:r>
      <w:r w:rsidRPr="005A760B">
        <w:rPr>
          <w:rFonts w:cs="Arial"/>
        </w:rPr>
        <w:t xml:space="preserve">posición establecidas en la Ley de Presupuestos Generales del Estado para el año 2018 (una entidad y un organismo autónomo). </w:t>
      </w:r>
    </w:p>
    <w:p w:rsidR="001049D6" w:rsidRPr="005A760B" w:rsidRDefault="001049D6" w:rsidP="001049D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60"/>
        <w:ind w:left="0" w:firstLine="289"/>
        <w:rPr>
          <w:rFonts w:cs="Arial"/>
        </w:rPr>
      </w:pPr>
      <w:r w:rsidRPr="005A760B">
        <w:rPr>
          <w:rFonts w:cs="Arial"/>
        </w:rPr>
        <w:t xml:space="preserve">Se han abonado retribuciones en base a </w:t>
      </w:r>
      <w:r w:rsidR="00E23BC4" w:rsidRPr="005A760B">
        <w:rPr>
          <w:rFonts w:cs="Arial"/>
        </w:rPr>
        <w:t>cláusulas</w:t>
      </w:r>
      <w:r w:rsidRPr="005A760B">
        <w:rPr>
          <w:rFonts w:cs="Arial"/>
        </w:rPr>
        <w:t xml:space="preserve"> recogidas en el acuerdo colectivo del ayuntamiento y sus organismos autónomos, que exceden del ma</w:t>
      </w:r>
      <w:r w:rsidRPr="005A760B">
        <w:rPr>
          <w:rFonts w:cs="Arial"/>
        </w:rPr>
        <w:t>r</w:t>
      </w:r>
      <w:r w:rsidRPr="005A760B">
        <w:rPr>
          <w:rFonts w:cs="Arial"/>
        </w:rPr>
        <w:t>co legal (una entidad).</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Se ha aprobado la constitución de una sociedad mercantil íntegramente municipal incumpliendo lo previsto en la Ley de Bases de Régimen Local, al estar vigente en el ayuntamiento el Plan Económico Financiero 2018-2019 (una entidad).</w:t>
      </w:r>
    </w:p>
    <w:p w:rsidR="001049D6" w:rsidRPr="005A760B" w:rsidRDefault="001049D6" w:rsidP="00E23BC4">
      <w:pPr>
        <w:tabs>
          <w:tab w:val="left" w:pos="480"/>
          <w:tab w:val="num" w:pos="1948"/>
          <w:tab w:val="num" w:pos="5040"/>
        </w:tabs>
        <w:ind w:firstLine="284"/>
        <w:rPr>
          <w:spacing w:val="6"/>
          <w:sz w:val="26"/>
          <w:szCs w:val="24"/>
        </w:rPr>
      </w:pPr>
      <w:r w:rsidRPr="005A760B">
        <w:rPr>
          <w:spacing w:val="6"/>
          <w:sz w:val="26"/>
          <w:szCs w:val="24"/>
        </w:rPr>
        <w:t>Las principales recomendaciones que esta Cámara incluyó en sus informes de fiscalización de estas entidades en 2018 fueron las siguientes:</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i/>
        </w:rPr>
      </w:pPr>
      <w:r w:rsidRPr="005A760B">
        <w:rPr>
          <w:rFonts w:cs="Arial"/>
          <w:i/>
        </w:rPr>
        <w:t>Aprobar y actualizar el inventario municipal y establecer un sistema de control de altas y bajas que asegure su permanente actualización y su conc</w:t>
      </w:r>
      <w:r w:rsidRPr="005A760B">
        <w:rPr>
          <w:rFonts w:cs="Arial"/>
          <w:i/>
        </w:rPr>
        <w:t>i</w:t>
      </w:r>
      <w:r w:rsidRPr="005A760B">
        <w:rPr>
          <w:rFonts w:cs="Arial"/>
          <w:i/>
        </w:rPr>
        <w:t>liación con el inmovilizado del balance de situación (ocho entidades).</w:t>
      </w:r>
    </w:p>
    <w:p w:rsidR="001049D6" w:rsidRPr="005A760B" w:rsidRDefault="001049D6" w:rsidP="00E23BC4">
      <w:pPr>
        <w:pStyle w:val="texto"/>
        <w:numPr>
          <w:ilvl w:val="0"/>
          <w:numId w:val="2"/>
        </w:numPr>
        <w:tabs>
          <w:tab w:val="num" w:pos="360"/>
          <w:tab w:val="left" w:pos="480"/>
          <w:tab w:val="num" w:pos="600"/>
          <w:tab w:val="num" w:pos="644"/>
          <w:tab w:val="num" w:pos="720"/>
          <w:tab w:val="num" w:pos="1320"/>
        </w:tabs>
        <w:ind w:left="0" w:firstLine="289"/>
        <w:rPr>
          <w:rFonts w:cs="Arial"/>
          <w:i/>
          <w:lang w:val="es-ES"/>
        </w:rPr>
      </w:pPr>
      <w:r w:rsidRPr="005A760B">
        <w:rPr>
          <w:rFonts w:cs="Arial"/>
          <w:i/>
        </w:rPr>
        <w:t>Licitar los correspondientes expedientes de contratación para aquellos servicios en los que la vigencia de los contratos haya finalizado y para aqu</w:t>
      </w:r>
      <w:r w:rsidRPr="005A760B">
        <w:rPr>
          <w:rFonts w:cs="Arial"/>
          <w:i/>
        </w:rPr>
        <w:t>e</w:t>
      </w:r>
      <w:r w:rsidRPr="005A760B">
        <w:rPr>
          <w:rFonts w:cs="Arial"/>
          <w:i/>
        </w:rPr>
        <w:t>llos que, por su valor estimado, así lo prevea la normativa vigente (ocho ent</w:t>
      </w:r>
      <w:r w:rsidRPr="005A760B">
        <w:rPr>
          <w:rFonts w:cs="Arial"/>
          <w:i/>
        </w:rPr>
        <w:t>i</w:t>
      </w:r>
      <w:r w:rsidRPr="005A760B">
        <w:rPr>
          <w:rFonts w:cs="Arial"/>
          <w:i/>
        </w:rPr>
        <w:t>dades).</w:t>
      </w:r>
    </w:p>
    <w:p w:rsidR="001049D6" w:rsidRPr="005A760B" w:rsidRDefault="001049D6" w:rsidP="00E23BC4">
      <w:pPr>
        <w:pStyle w:val="texto"/>
        <w:numPr>
          <w:ilvl w:val="0"/>
          <w:numId w:val="2"/>
        </w:numPr>
        <w:tabs>
          <w:tab w:val="num" w:pos="360"/>
          <w:tab w:val="left" w:pos="480"/>
          <w:tab w:val="num" w:pos="600"/>
          <w:tab w:val="num" w:pos="644"/>
          <w:tab w:val="num" w:pos="720"/>
          <w:tab w:val="num" w:pos="1320"/>
        </w:tabs>
        <w:ind w:left="0" w:firstLine="289"/>
        <w:rPr>
          <w:rFonts w:cs="Arial"/>
          <w:i/>
          <w:lang w:val="es-ES"/>
        </w:rPr>
      </w:pPr>
      <w:r w:rsidRPr="005A760B">
        <w:rPr>
          <w:rFonts w:cs="Arial"/>
          <w:i/>
        </w:rPr>
        <w:t>Aprobar la oferta pública de empleo y convocar las plazas vacantes exi</w:t>
      </w:r>
      <w:r w:rsidRPr="005A760B">
        <w:rPr>
          <w:rFonts w:cs="Arial"/>
          <w:i/>
        </w:rPr>
        <w:t>s</w:t>
      </w:r>
      <w:r w:rsidRPr="005A760B">
        <w:rPr>
          <w:rFonts w:cs="Arial"/>
          <w:i/>
        </w:rPr>
        <w:t>tentes en la plantilla orgánica de conformidad con la normativa vigente, con el objetivo de reducir la temporalidad de los puestos de trabajo (ocho entidades).</w:t>
      </w:r>
    </w:p>
    <w:p w:rsidR="001049D6" w:rsidRPr="005A760B" w:rsidRDefault="001049D6" w:rsidP="00E23BC4">
      <w:pPr>
        <w:pStyle w:val="texto"/>
        <w:numPr>
          <w:ilvl w:val="0"/>
          <w:numId w:val="2"/>
        </w:numPr>
        <w:tabs>
          <w:tab w:val="num" w:pos="360"/>
          <w:tab w:val="left" w:pos="480"/>
          <w:tab w:val="num" w:pos="600"/>
          <w:tab w:val="num" w:pos="644"/>
          <w:tab w:val="num" w:pos="720"/>
          <w:tab w:val="num" w:pos="1320"/>
        </w:tabs>
        <w:ind w:left="0" w:firstLine="289"/>
        <w:rPr>
          <w:rFonts w:cs="Arial"/>
          <w:i/>
          <w:lang w:val="es-ES"/>
        </w:rPr>
      </w:pPr>
      <w:r w:rsidRPr="005A760B">
        <w:rPr>
          <w:rFonts w:cs="Arial"/>
          <w:i/>
          <w:lang w:val="es-ES"/>
        </w:rPr>
        <w:t>Valorar la suficiencia de los recursos humanos de la intervención para realizar el control interno dotando, en su caso, de los medios suficientes para el ejercicio del control financiero y de eficacia en el ayuntamiento y entes d</w:t>
      </w:r>
      <w:r w:rsidRPr="005A760B">
        <w:rPr>
          <w:rFonts w:cs="Arial"/>
          <w:i/>
          <w:lang w:val="es-ES"/>
        </w:rPr>
        <w:t>e</w:t>
      </w:r>
      <w:r w:rsidRPr="005A760B">
        <w:rPr>
          <w:rFonts w:cs="Arial"/>
          <w:i/>
          <w:lang w:val="es-ES"/>
        </w:rPr>
        <w:t>pendientes (seis entidades).</w:t>
      </w:r>
    </w:p>
    <w:p w:rsidR="001049D6" w:rsidRPr="005A760B" w:rsidRDefault="001049D6" w:rsidP="00E23BC4">
      <w:pPr>
        <w:pStyle w:val="texto"/>
        <w:numPr>
          <w:ilvl w:val="0"/>
          <w:numId w:val="2"/>
        </w:numPr>
        <w:tabs>
          <w:tab w:val="num" w:pos="360"/>
          <w:tab w:val="left" w:pos="480"/>
          <w:tab w:val="num" w:pos="600"/>
          <w:tab w:val="num" w:pos="644"/>
          <w:tab w:val="num" w:pos="720"/>
          <w:tab w:val="num" w:pos="1320"/>
        </w:tabs>
        <w:ind w:left="0" w:firstLine="289"/>
        <w:rPr>
          <w:rFonts w:cs="Arial"/>
          <w:i/>
          <w:lang w:val="es-ES"/>
        </w:rPr>
      </w:pPr>
      <w:r w:rsidRPr="005A760B">
        <w:rPr>
          <w:rFonts w:cs="Arial"/>
          <w:i/>
          <w:lang w:val="es-ES"/>
        </w:rPr>
        <w:t xml:space="preserve">Aprobar y publicar la plantilla orgánica y en su caso, las modificaciones de la misma </w:t>
      </w:r>
      <w:r w:rsidRPr="005A760B">
        <w:rPr>
          <w:rFonts w:cs="Arial"/>
          <w:i/>
        </w:rPr>
        <w:t>(cinco entidades).</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i/>
        </w:rPr>
      </w:pPr>
      <w:r w:rsidRPr="005A760B">
        <w:rPr>
          <w:rFonts w:cs="Arial"/>
          <w:i/>
        </w:rPr>
        <w:t>Realizar el estudio de costes que soporte el cálculo de las tasas y/o precios públicos correspondientes (cinco entidades).</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i/>
        </w:rPr>
      </w:pPr>
      <w:r w:rsidRPr="005A760B">
        <w:rPr>
          <w:rFonts w:cs="Arial"/>
          <w:i/>
        </w:rPr>
        <w:t>Aprobar el presupuesto del ayuntamiento dentro de los plazos establecidos en la legislación vigente (cinco entidades).</w:t>
      </w:r>
    </w:p>
    <w:p w:rsidR="001049D6" w:rsidRPr="005A760B" w:rsidRDefault="001049D6" w:rsidP="00E23BC4">
      <w:pPr>
        <w:pStyle w:val="texto"/>
        <w:numPr>
          <w:ilvl w:val="0"/>
          <w:numId w:val="2"/>
        </w:numPr>
        <w:tabs>
          <w:tab w:val="num" w:pos="360"/>
          <w:tab w:val="left" w:pos="480"/>
          <w:tab w:val="num" w:pos="600"/>
          <w:tab w:val="num" w:pos="644"/>
          <w:tab w:val="num" w:pos="720"/>
          <w:tab w:val="num" w:pos="1320"/>
        </w:tabs>
        <w:ind w:left="0" w:firstLine="289"/>
        <w:rPr>
          <w:rFonts w:cs="Arial"/>
          <w:i/>
          <w:lang w:val="es-ES"/>
        </w:rPr>
      </w:pPr>
      <w:r w:rsidRPr="005A760B">
        <w:rPr>
          <w:rFonts w:cs="Arial"/>
          <w:i/>
        </w:rPr>
        <w:t>Constituir el Registro del Patrimonio Municipal del Suelo e indicar de forma separada del Inventario General, los bienes que componen el mismo (cuatro entidades)</w:t>
      </w:r>
      <w:r w:rsidR="005F216E" w:rsidRPr="005A760B">
        <w:rPr>
          <w:rFonts w:cs="Arial"/>
          <w:i/>
        </w:rPr>
        <w:t>.</w:t>
      </w:r>
    </w:p>
    <w:p w:rsidR="001049D6" w:rsidRPr="005A760B" w:rsidRDefault="001049D6" w:rsidP="00E23BC4">
      <w:pPr>
        <w:pStyle w:val="texto"/>
        <w:numPr>
          <w:ilvl w:val="0"/>
          <w:numId w:val="2"/>
        </w:numPr>
        <w:tabs>
          <w:tab w:val="num" w:pos="360"/>
          <w:tab w:val="left" w:pos="480"/>
          <w:tab w:val="num" w:pos="600"/>
          <w:tab w:val="num" w:pos="644"/>
          <w:tab w:val="num" w:pos="720"/>
          <w:tab w:val="num" w:pos="1320"/>
        </w:tabs>
        <w:ind w:left="0" w:firstLine="289"/>
        <w:rPr>
          <w:rFonts w:cs="Arial"/>
          <w:i/>
          <w:lang w:val="es-ES"/>
        </w:rPr>
      </w:pPr>
      <w:r w:rsidRPr="005A760B">
        <w:rPr>
          <w:rFonts w:cs="Arial"/>
          <w:i/>
        </w:rPr>
        <w:t>Suscribir o actualizar, en su caso, los correspondientes convenios de col</w:t>
      </w:r>
      <w:r w:rsidRPr="005A760B">
        <w:rPr>
          <w:rFonts w:cs="Arial"/>
          <w:i/>
        </w:rPr>
        <w:t>a</w:t>
      </w:r>
      <w:r w:rsidRPr="005A760B">
        <w:rPr>
          <w:rFonts w:cs="Arial"/>
          <w:i/>
        </w:rPr>
        <w:t>boración de aquellas partidas de subvenciones que se gestionen en régimen de concesión directa (cuatro entidades).</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i/>
        </w:rPr>
      </w:pPr>
      <w:r w:rsidRPr="005A760B">
        <w:rPr>
          <w:rFonts w:cs="Arial"/>
          <w:i/>
        </w:rPr>
        <w:t>Tramitar las oportunas modificaciones presupuestarias en tiempo y forma, con el fin de evitar superar las bolsas de vinculación jurídicas de los créditos (cuatro entidades).</w:t>
      </w:r>
    </w:p>
    <w:p w:rsidR="001049D6" w:rsidRPr="005A760B" w:rsidRDefault="001049D6" w:rsidP="00E23BC4">
      <w:pPr>
        <w:pStyle w:val="texto"/>
        <w:numPr>
          <w:ilvl w:val="0"/>
          <w:numId w:val="2"/>
        </w:numPr>
        <w:tabs>
          <w:tab w:val="num" w:pos="360"/>
          <w:tab w:val="left" w:pos="480"/>
          <w:tab w:val="num" w:pos="600"/>
          <w:tab w:val="num" w:pos="644"/>
          <w:tab w:val="num" w:pos="720"/>
          <w:tab w:val="num" w:pos="1320"/>
        </w:tabs>
        <w:ind w:left="0" w:firstLine="289"/>
        <w:rPr>
          <w:rFonts w:cs="Arial"/>
          <w:i/>
          <w:lang w:val="es-ES"/>
        </w:rPr>
      </w:pPr>
      <w:r w:rsidRPr="005A760B">
        <w:rPr>
          <w:rFonts w:cs="Arial"/>
          <w:i/>
        </w:rPr>
        <w:t>Aprobar la nueva Ponencia de Valoración y unificar los tipos de la contr</w:t>
      </w:r>
      <w:r w:rsidRPr="005A760B">
        <w:rPr>
          <w:rFonts w:cs="Arial"/>
          <w:i/>
        </w:rPr>
        <w:t>i</w:t>
      </w:r>
      <w:r w:rsidRPr="005A760B">
        <w:rPr>
          <w:rFonts w:cs="Arial"/>
          <w:i/>
        </w:rPr>
        <w:t>bución territorial dentro del intervalo establecido en la legislación vigente (tres entidades).</w:t>
      </w:r>
    </w:p>
    <w:p w:rsidR="001049D6" w:rsidRPr="005A760B" w:rsidRDefault="001049D6" w:rsidP="00E23BC4">
      <w:pPr>
        <w:pStyle w:val="texto"/>
        <w:numPr>
          <w:ilvl w:val="0"/>
          <w:numId w:val="2"/>
        </w:numPr>
        <w:tabs>
          <w:tab w:val="num" w:pos="360"/>
          <w:tab w:val="left" w:pos="480"/>
          <w:tab w:val="num" w:pos="600"/>
          <w:tab w:val="num" w:pos="644"/>
          <w:tab w:val="num" w:pos="720"/>
          <w:tab w:val="num" w:pos="1320"/>
        </w:tabs>
        <w:ind w:left="0" w:firstLine="289"/>
        <w:rPr>
          <w:rFonts w:cs="Arial"/>
          <w:i/>
          <w:lang w:val="es-ES"/>
        </w:rPr>
      </w:pPr>
      <w:r w:rsidRPr="005A760B">
        <w:rPr>
          <w:rFonts w:cs="Arial"/>
          <w:i/>
        </w:rPr>
        <w:t>Abonar las facturas respetando el plazo máximo establecido en la norm</w:t>
      </w:r>
      <w:r w:rsidRPr="005A760B">
        <w:rPr>
          <w:rFonts w:cs="Arial"/>
          <w:i/>
        </w:rPr>
        <w:t>a</w:t>
      </w:r>
      <w:r w:rsidRPr="005A760B">
        <w:rPr>
          <w:rFonts w:cs="Arial"/>
          <w:i/>
        </w:rPr>
        <w:t>tiva (tres entidades).</w:t>
      </w:r>
    </w:p>
    <w:p w:rsidR="001049D6" w:rsidRPr="005A760B" w:rsidRDefault="001049D6" w:rsidP="00E23BC4">
      <w:pPr>
        <w:pStyle w:val="texto"/>
        <w:numPr>
          <w:ilvl w:val="0"/>
          <w:numId w:val="2"/>
        </w:numPr>
        <w:tabs>
          <w:tab w:val="num" w:pos="360"/>
          <w:tab w:val="left" w:pos="480"/>
          <w:tab w:val="num" w:pos="600"/>
          <w:tab w:val="num" w:pos="644"/>
          <w:tab w:val="num" w:pos="720"/>
          <w:tab w:val="num" w:pos="1320"/>
        </w:tabs>
        <w:ind w:left="0" w:firstLine="289"/>
        <w:rPr>
          <w:rFonts w:cs="Arial"/>
          <w:i/>
          <w:lang w:val="es-ES"/>
        </w:rPr>
      </w:pPr>
      <w:r w:rsidRPr="005A760B">
        <w:rPr>
          <w:rFonts w:cs="Arial"/>
          <w:i/>
        </w:rPr>
        <w:t>Analizar y valorar la conveniencia de la disolución del organismo aut</w:t>
      </w:r>
      <w:r w:rsidRPr="005A760B">
        <w:rPr>
          <w:rFonts w:cs="Arial"/>
          <w:i/>
        </w:rPr>
        <w:t>ó</w:t>
      </w:r>
      <w:r w:rsidRPr="005A760B">
        <w:rPr>
          <w:rFonts w:cs="Arial"/>
          <w:i/>
        </w:rPr>
        <w:t>nomo y la integración de sus servicios, funciones y competencias en la estru</w:t>
      </w:r>
      <w:r w:rsidRPr="005A760B">
        <w:rPr>
          <w:rFonts w:cs="Arial"/>
          <w:i/>
        </w:rPr>
        <w:t>c</w:t>
      </w:r>
      <w:r w:rsidRPr="005A760B">
        <w:rPr>
          <w:rFonts w:cs="Arial"/>
          <w:i/>
        </w:rPr>
        <w:t>tura de la entidad principal en aras a la consecución de una gestión más eficaz y eficiente así como un sector público más racional y simplificado (tres entid</w:t>
      </w:r>
      <w:r w:rsidRPr="005A760B">
        <w:rPr>
          <w:rFonts w:cs="Arial"/>
          <w:i/>
        </w:rPr>
        <w:t>a</w:t>
      </w:r>
      <w:r w:rsidRPr="005A760B">
        <w:rPr>
          <w:rFonts w:cs="Arial"/>
          <w:i/>
        </w:rPr>
        <w:t>des).</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i/>
        </w:rPr>
      </w:pPr>
      <w:r w:rsidRPr="005A760B">
        <w:rPr>
          <w:rFonts w:cs="Arial"/>
          <w:i/>
        </w:rPr>
        <w:t>Incluir en la Memoria o informe de Intervención la información y cuantif</w:t>
      </w:r>
      <w:r w:rsidRPr="005A760B">
        <w:rPr>
          <w:rFonts w:cs="Arial"/>
          <w:i/>
        </w:rPr>
        <w:t>i</w:t>
      </w:r>
      <w:r w:rsidRPr="005A760B">
        <w:rPr>
          <w:rFonts w:cs="Arial"/>
          <w:i/>
        </w:rPr>
        <w:t>cación de las reclamaciones judiciales de importe significativo, que puedan suponer obligaciones financieras para el ayuntamiento (tres entidades).</w:t>
      </w:r>
    </w:p>
    <w:p w:rsidR="001049D6" w:rsidRPr="005A760B" w:rsidRDefault="001049D6" w:rsidP="00E23BC4">
      <w:pPr>
        <w:pStyle w:val="texto"/>
        <w:numPr>
          <w:ilvl w:val="0"/>
          <w:numId w:val="2"/>
        </w:numPr>
        <w:tabs>
          <w:tab w:val="num" w:pos="360"/>
          <w:tab w:val="left" w:pos="480"/>
          <w:tab w:val="num" w:pos="600"/>
          <w:tab w:val="num" w:pos="644"/>
          <w:tab w:val="num" w:pos="720"/>
          <w:tab w:val="num" w:pos="1320"/>
        </w:tabs>
        <w:ind w:left="0" w:firstLine="289"/>
        <w:rPr>
          <w:rFonts w:cs="Arial"/>
          <w:i/>
          <w:spacing w:val="4"/>
          <w:lang w:val="es-ES"/>
        </w:rPr>
      </w:pPr>
      <w:r w:rsidRPr="005A760B">
        <w:rPr>
          <w:rFonts w:cs="Arial"/>
          <w:i/>
          <w:spacing w:val="4"/>
        </w:rPr>
        <w:t>Calcular y publicar el periodo medio de pago a proveedores (tres entid</w:t>
      </w:r>
      <w:r w:rsidRPr="005A760B">
        <w:rPr>
          <w:rFonts w:cs="Arial"/>
          <w:i/>
          <w:spacing w:val="4"/>
        </w:rPr>
        <w:t>a</w:t>
      </w:r>
      <w:r w:rsidRPr="005A760B">
        <w:rPr>
          <w:rFonts w:cs="Arial"/>
          <w:i/>
          <w:spacing w:val="4"/>
        </w:rPr>
        <w:t>des).</w:t>
      </w:r>
    </w:p>
    <w:p w:rsidR="001049D6" w:rsidRPr="005A760B" w:rsidRDefault="001049D6" w:rsidP="00E23BC4">
      <w:pPr>
        <w:pStyle w:val="texto"/>
        <w:numPr>
          <w:ilvl w:val="0"/>
          <w:numId w:val="2"/>
        </w:numPr>
        <w:tabs>
          <w:tab w:val="num" w:pos="567"/>
        </w:tabs>
        <w:ind w:left="114"/>
        <w:rPr>
          <w:rFonts w:cs="Arial"/>
          <w:i/>
        </w:rPr>
      </w:pPr>
      <w:r w:rsidRPr="005A760B">
        <w:rPr>
          <w:rFonts w:cs="Arial"/>
          <w:i/>
        </w:rPr>
        <w:t xml:space="preserve">Revisar los </w:t>
      </w:r>
      <w:r w:rsidR="00A97B3F">
        <w:rPr>
          <w:rFonts w:cs="Arial"/>
          <w:i/>
        </w:rPr>
        <w:t>a</w:t>
      </w:r>
      <w:r w:rsidRPr="005A760B">
        <w:rPr>
          <w:rFonts w:cs="Arial"/>
          <w:i/>
        </w:rPr>
        <w:t>cuerdos sobre condiciones de empleo de las y los funcion</w:t>
      </w:r>
      <w:r w:rsidRPr="005A760B">
        <w:rPr>
          <w:rFonts w:cs="Arial"/>
          <w:i/>
        </w:rPr>
        <w:t>a</w:t>
      </w:r>
      <w:r w:rsidRPr="005A760B">
        <w:rPr>
          <w:rFonts w:cs="Arial"/>
          <w:i/>
        </w:rPr>
        <w:t>rios y personal contratado administrativo del ayuntamiento y sus organismos autónomos y limitar los pactos a las materias en las que el ayuntamiento te</w:t>
      </w:r>
      <w:r w:rsidRPr="005A760B">
        <w:rPr>
          <w:rFonts w:cs="Arial"/>
          <w:i/>
        </w:rPr>
        <w:t>n</w:t>
      </w:r>
      <w:r w:rsidRPr="005A760B">
        <w:rPr>
          <w:rFonts w:cs="Arial"/>
          <w:i/>
        </w:rPr>
        <w:t>ga competencia (dos entidades).</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i/>
        </w:rPr>
      </w:pPr>
      <w:r w:rsidRPr="005A760B">
        <w:rPr>
          <w:rFonts w:cs="Arial"/>
          <w:i/>
        </w:rPr>
        <w:t>Diseñar procedimientos que garanticen adecuadamente el control interno que el ayuntamiento debe ejercer sobre la actividad desarrollada por sus entes dependientes (dos entidades).</w:t>
      </w:r>
    </w:p>
    <w:p w:rsidR="001049D6" w:rsidRPr="005A760B" w:rsidRDefault="001049D6" w:rsidP="00E23BC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i/>
        </w:rPr>
      </w:pPr>
      <w:r w:rsidRPr="005A760B">
        <w:rPr>
          <w:rFonts w:cs="Arial"/>
          <w:i/>
        </w:rPr>
        <w:t>Modificar y actualizar los estatutos de los organismos autónomos de co</w:t>
      </w:r>
      <w:r w:rsidRPr="005A760B">
        <w:rPr>
          <w:rFonts w:cs="Arial"/>
          <w:i/>
        </w:rPr>
        <w:t>n</w:t>
      </w:r>
      <w:r w:rsidRPr="005A760B">
        <w:rPr>
          <w:rFonts w:cs="Arial"/>
          <w:i/>
        </w:rPr>
        <w:t>formidad con lo establecido en la legislación foral (dos entidades).</w:t>
      </w:r>
    </w:p>
    <w:p w:rsidR="001049D6" w:rsidRPr="005A760B" w:rsidRDefault="001049D6" w:rsidP="00E23BC4">
      <w:pPr>
        <w:ind w:firstLine="284"/>
        <w:rPr>
          <w:spacing w:val="6"/>
          <w:sz w:val="26"/>
          <w:szCs w:val="24"/>
        </w:rPr>
      </w:pPr>
      <w:r w:rsidRPr="005A760B">
        <w:rPr>
          <w:spacing w:val="6"/>
          <w:sz w:val="26"/>
          <w:szCs w:val="24"/>
        </w:rPr>
        <w:t>Respecto a la estabilidad presupuestaria y sostenibilidad financiera, en gen</w:t>
      </w:r>
      <w:r w:rsidRPr="005A760B">
        <w:rPr>
          <w:spacing w:val="6"/>
          <w:sz w:val="26"/>
          <w:szCs w:val="24"/>
        </w:rPr>
        <w:t>e</w:t>
      </w:r>
      <w:r w:rsidRPr="005A760B">
        <w:rPr>
          <w:spacing w:val="6"/>
          <w:sz w:val="26"/>
          <w:szCs w:val="24"/>
        </w:rPr>
        <w:t>ral las entidades cumplieron con</w:t>
      </w:r>
      <w:r w:rsidR="00D12FB2" w:rsidRPr="005A760B">
        <w:rPr>
          <w:spacing w:val="6"/>
          <w:sz w:val="26"/>
          <w:szCs w:val="24"/>
        </w:rPr>
        <w:t xml:space="preserve"> las reglas fiscales</w:t>
      </w:r>
      <w:r w:rsidRPr="005A760B">
        <w:rPr>
          <w:spacing w:val="6"/>
          <w:sz w:val="26"/>
          <w:szCs w:val="24"/>
        </w:rPr>
        <w:t>, salvo en los siguientes c</w:t>
      </w:r>
      <w:r w:rsidRPr="005A760B">
        <w:rPr>
          <w:spacing w:val="6"/>
          <w:sz w:val="26"/>
          <w:szCs w:val="24"/>
        </w:rPr>
        <w:t>a</w:t>
      </w:r>
      <w:r w:rsidRPr="005A760B">
        <w:rPr>
          <w:spacing w:val="6"/>
          <w:sz w:val="26"/>
          <w:szCs w:val="24"/>
        </w:rPr>
        <w:t>sos: el Ayuntamiento de Burlada no cumplió la regla de gasto y tampoco apr</w:t>
      </w:r>
      <w:r w:rsidRPr="005A760B">
        <w:rPr>
          <w:spacing w:val="6"/>
          <w:sz w:val="26"/>
          <w:szCs w:val="24"/>
        </w:rPr>
        <w:t>o</w:t>
      </w:r>
      <w:r w:rsidRPr="005A760B">
        <w:rPr>
          <w:spacing w:val="6"/>
          <w:sz w:val="26"/>
          <w:szCs w:val="24"/>
        </w:rPr>
        <w:t xml:space="preserve">bó el correspondiente plan económico financiero. El Ayuntamiento de </w:t>
      </w:r>
      <w:proofErr w:type="spellStart"/>
      <w:r w:rsidRPr="005A760B">
        <w:rPr>
          <w:spacing w:val="6"/>
          <w:sz w:val="26"/>
          <w:szCs w:val="24"/>
        </w:rPr>
        <w:t>Olite</w:t>
      </w:r>
      <w:proofErr w:type="spellEnd"/>
      <w:r w:rsidRPr="005A760B">
        <w:rPr>
          <w:spacing w:val="6"/>
          <w:sz w:val="26"/>
          <w:szCs w:val="24"/>
        </w:rPr>
        <w:t xml:space="preserve">, el Consorcio de Desarrollo de la Zona Media de Navarra y el Concejo de </w:t>
      </w:r>
      <w:proofErr w:type="spellStart"/>
      <w:r w:rsidRPr="005A760B">
        <w:rPr>
          <w:spacing w:val="6"/>
          <w:sz w:val="26"/>
          <w:szCs w:val="24"/>
        </w:rPr>
        <w:t>Figarol</w:t>
      </w:r>
      <w:proofErr w:type="spellEnd"/>
      <w:r w:rsidRPr="005A760B">
        <w:rPr>
          <w:spacing w:val="6"/>
          <w:sz w:val="26"/>
          <w:szCs w:val="24"/>
        </w:rPr>
        <w:t xml:space="preserve"> no calculan ni publican el periodo medio de pago a proveedores por lo que no fue posible determinar el cumplimiento de esta regla. </w:t>
      </w:r>
    </w:p>
    <w:p w:rsidR="001049D6" w:rsidRPr="005A760B" w:rsidRDefault="001049D6" w:rsidP="00E23BC4">
      <w:pPr>
        <w:pStyle w:val="texto"/>
        <w:rPr>
          <w:rFonts w:cs="Arial"/>
          <w:i/>
        </w:rPr>
      </w:pPr>
      <w:r w:rsidRPr="005A760B">
        <w:t>Por otro lado, la Cámara de Comptos realizó un informe sobre el Fondo de Participación de las Haciendas Locales en los tributos de Navarra 2009-2018.</w:t>
      </w:r>
      <w:r w:rsidRPr="005A760B">
        <w:rPr>
          <w:rFonts w:cs="Arial"/>
          <w:i/>
        </w:rPr>
        <w:t xml:space="preserve"> </w:t>
      </w:r>
    </w:p>
    <w:p w:rsidR="00656810" w:rsidRPr="005A760B" w:rsidRDefault="008650B2" w:rsidP="00E23BC4">
      <w:pPr>
        <w:pStyle w:val="texto"/>
        <w:rPr>
          <w:rFonts w:cs="Arial"/>
        </w:rPr>
      </w:pPr>
      <w:r w:rsidRPr="005A760B">
        <w:rPr>
          <w:rFonts w:cs="Arial"/>
        </w:rPr>
        <w:t>Entre las recomendaciones se incluía</w:t>
      </w:r>
      <w:r w:rsidR="00D75699" w:rsidRPr="005A760B">
        <w:rPr>
          <w:rFonts w:cs="Arial"/>
        </w:rPr>
        <w:t>n</w:t>
      </w:r>
      <w:r w:rsidR="005A760B" w:rsidRPr="005A760B">
        <w:rPr>
          <w:rFonts w:cs="Arial"/>
        </w:rPr>
        <w:t xml:space="preserve"> las siguientes</w:t>
      </w:r>
      <w:r w:rsidR="00D75699" w:rsidRPr="005A760B">
        <w:rPr>
          <w:rFonts w:cs="Arial"/>
        </w:rPr>
        <w:t>:</w:t>
      </w:r>
    </w:p>
    <w:p w:rsidR="005A760B" w:rsidRPr="005A760B" w:rsidRDefault="00656810" w:rsidP="00656810">
      <w:pPr>
        <w:pStyle w:val="texto"/>
        <w:numPr>
          <w:ilvl w:val="0"/>
          <w:numId w:val="12"/>
        </w:numPr>
        <w:tabs>
          <w:tab w:val="clear" w:pos="2835"/>
          <w:tab w:val="center" w:pos="567"/>
        </w:tabs>
        <w:ind w:left="0" w:firstLine="284"/>
        <w:rPr>
          <w:rFonts w:cs="Arial"/>
          <w:i/>
        </w:rPr>
      </w:pPr>
      <w:r w:rsidRPr="005A760B">
        <w:rPr>
          <w:rFonts w:cs="Arial"/>
          <w:i/>
        </w:rPr>
        <w:t>A</w:t>
      </w:r>
      <w:r w:rsidR="008650B2" w:rsidRPr="005A760B">
        <w:rPr>
          <w:rFonts w:cs="Arial"/>
          <w:i/>
        </w:rPr>
        <w:t xml:space="preserve">cometer los cambios propuestos en la normativa </w:t>
      </w:r>
      <w:r w:rsidR="008F15CC" w:rsidRPr="005A760B">
        <w:rPr>
          <w:rFonts w:cs="Arial"/>
          <w:i/>
        </w:rPr>
        <w:t>recientemente aprob</w:t>
      </w:r>
      <w:r w:rsidR="008F15CC" w:rsidRPr="005A760B">
        <w:rPr>
          <w:rFonts w:cs="Arial"/>
          <w:i/>
        </w:rPr>
        <w:t>a</w:t>
      </w:r>
      <w:r w:rsidR="008F15CC" w:rsidRPr="005A760B">
        <w:rPr>
          <w:rFonts w:cs="Arial"/>
          <w:i/>
        </w:rPr>
        <w:t>da</w:t>
      </w:r>
      <w:r w:rsidR="005A760B" w:rsidRPr="005A760B">
        <w:rPr>
          <w:rFonts w:cs="Arial"/>
          <w:i/>
        </w:rPr>
        <w:t>.</w:t>
      </w:r>
    </w:p>
    <w:p w:rsidR="005A760B" w:rsidRPr="005A760B" w:rsidRDefault="005A760B" w:rsidP="00656810">
      <w:pPr>
        <w:pStyle w:val="texto"/>
        <w:numPr>
          <w:ilvl w:val="0"/>
          <w:numId w:val="12"/>
        </w:numPr>
        <w:tabs>
          <w:tab w:val="clear" w:pos="2835"/>
          <w:tab w:val="center" w:pos="567"/>
        </w:tabs>
        <w:ind w:left="0" w:firstLine="284"/>
        <w:rPr>
          <w:rFonts w:cs="Arial"/>
          <w:i/>
        </w:rPr>
      </w:pPr>
      <w:r w:rsidRPr="005A760B">
        <w:rPr>
          <w:rFonts w:cs="Arial"/>
          <w:i/>
        </w:rPr>
        <w:t>R</w:t>
      </w:r>
      <w:r w:rsidR="008F15CC" w:rsidRPr="005A760B">
        <w:rPr>
          <w:rFonts w:cs="Arial"/>
          <w:i/>
        </w:rPr>
        <w:t>ealizar una revisión de las variables inclu</w:t>
      </w:r>
      <w:r w:rsidR="00996AFB" w:rsidRPr="005A760B">
        <w:rPr>
          <w:rFonts w:cs="Arial"/>
          <w:i/>
        </w:rPr>
        <w:t>i</w:t>
      </w:r>
      <w:r w:rsidR="008F15CC" w:rsidRPr="005A760B">
        <w:rPr>
          <w:rFonts w:cs="Arial"/>
          <w:i/>
        </w:rPr>
        <w:t>das en la fórmula de reparto</w:t>
      </w:r>
      <w:r w:rsidRPr="005A760B">
        <w:rPr>
          <w:rFonts w:cs="Arial"/>
          <w:i/>
        </w:rPr>
        <w:t>.</w:t>
      </w:r>
    </w:p>
    <w:p w:rsidR="008650B2" w:rsidRPr="005A760B" w:rsidRDefault="005A760B" w:rsidP="00656810">
      <w:pPr>
        <w:pStyle w:val="texto"/>
        <w:numPr>
          <w:ilvl w:val="0"/>
          <w:numId w:val="12"/>
        </w:numPr>
        <w:tabs>
          <w:tab w:val="clear" w:pos="2835"/>
          <w:tab w:val="center" w:pos="567"/>
        </w:tabs>
        <w:ind w:left="0" w:firstLine="284"/>
        <w:rPr>
          <w:rFonts w:cs="Arial"/>
          <w:i/>
        </w:rPr>
      </w:pPr>
      <w:r w:rsidRPr="005A760B">
        <w:rPr>
          <w:rFonts w:cs="Arial"/>
          <w:i/>
        </w:rPr>
        <w:t>E</w:t>
      </w:r>
      <w:r w:rsidR="008F15CC" w:rsidRPr="005A760B">
        <w:rPr>
          <w:rFonts w:cs="Arial"/>
          <w:i/>
        </w:rPr>
        <w:t>stablecer la atribución competencial de aquellos servicios que no está contemplada en la Ley Foral de reforma de la administración local.</w:t>
      </w:r>
    </w:p>
    <w:p w:rsidR="00CB5535" w:rsidRPr="005A760B" w:rsidRDefault="00CB5535">
      <w:pPr>
        <w:spacing w:after="0"/>
        <w:ind w:firstLine="0"/>
        <w:jc w:val="left"/>
        <w:rPr>
          <w:rFonts w:cs="Arial"/>
          <w:spacing w:val="6"/>
          <w:sz w:val="26"/>
          <w:szCs w:val="24"/>
        </w:rPr>
      </w:pPr>
      <w:r w:rsidRPr="005A760B">
        <w:rPr>
          <w:rFonts w:cs="Arial"/>
        </w:rPr>
        <w:br w:type="page"/>
      </w:r>
    </w:p>
    <w:p w:rsidR="001049D6" w:rsidRPr="005A760B" w:rsidRDefault="001049D6" w:rsidP="001049D6">
      <w:pPr>
        <w:pStyle w:val="atitulo1"/>
        <w:rPr>
          <w:color w:val="auto"/>
        </w:rPr>
      </w:pPr>
      <w:bookmarkStart w:id="53" w:name="_Toc24100142"/>
      <w:bookmarkStart w:id="54" w:name="_Toc52348290"/>
      <w:bookmarkStart w:id="55" w:name="_Toc54691923"/>
      <w:r w:rsidRPr="005A760B">
        <w:rPr>
          <w:color w:val="auto"/>
        </w:rPr>
        <w:t>V. Situación financiera del sector público local</w:t>
      </w:r>
      <w:bookmarkEnd w:id="53"/>
      <w:bookmarkEnd w:id="54"/>
      <w:bookmarkEnd w:id="55"/>
    </w:p>
    <w:p w:rsidR="001049D6" w:rsidRPr="005A760B" w:rsidRDefault="001049D6" w:rsidP="001049D6">
      <w:pPr>
        <w:pStyle w:val="texto"/>
        <w:spacing w:after="200"/>
      </w:pPr>
      <w:r w:rsidRPr="005A760B">
        <w:t xml:space="preserve">En el informe del sector público local del año 2018 que adjuntamos en el Anexo 2 de este informe se presenta la información consolidada de los entes locales (municipios, concejos, mancomunidades y agrupaciones tradicionales y municipales) con sus organismos autónomos. </w:t>
      </w:r>
    </w:p>
    <w:p w:rsidR="001049D6" w:rsidRPr="005A760B" w:rsidRDefault="001049D6" w:rsidP="001049D6">
      <w:pPr>
        <w:pStyle w:val="atitulo2"/>
        <w:spacing w:before="200" w:after="120"/>
        <w:rPr>
          <w:bCs w:val="0"/>
          <w:iCs w:val="0"/>
          <w:color w:val="auto"/>
        </w:rPr>
      </w:pPr>
      <w:bookmarkStart w:id="56" w:name="_Toc465686688"/>
      <w:bookmarkStart w:id="57" w:name="_Toc529773882"/>
      <w:bookmarkStart w:id="58" w:name="_Toc24100143"/>
      <w:bookmarkStart w:id="59" w:name="_Toc52348291"/>
      <w:bookmarkStart w:id="60" w:name="_Toc54691924"/>
      <w:r w:rsidRPr="005A760B">
        <w:rPr>
          <w:bCs w:val="0"/>
          <w:iCs w:val="0"/>
          <w:color w:val="auto"/>
        </w:rPr>
        <w:t>V.1. Ingresos</w:t>
      </w:r>
      <w:bookmarkEnd w:id="56"/>
      <w:bookmarkEnd w:id="57"/>
      <w:bookmarkEnd w:id="58"/>
      <w:bookmarkEnd w:id="59"/>
      <w:bookmarkEnd w:id="60"/>
    </w:p>
    <w:p w:rsidR="001049D6" w:rsidRPr="005A760B" w:rsidRDefault="001049D6" w:rsidP="00FC5CCC">
      <w:pPr>
        <w:pStyle w:val="texto"/>
        <w:spacing w:before="120" w:after="0"/>
      </w:pPr>
      <w:r w:rsidRPr="005A760B">
        <w:t>Se muestra a continuación la ejecución presupuestaria de los ingresos del sector público local:</w:t>
      </w:r>
    </w:p>
    <w:p w:rsidR="001049D6" w:rsidRPr="005A760B" w:rsidRDefault="001049D6" w:rsidP="00FC5CCC">
      <w:pPr>
        <w:pStyle w:val="texto"/>
        <w:spacing w:after="60"/>
        <w:rPr>
          <w:rFonts w:ascii="Arial Narrow" w:hAnsi="Arial Narrow"/>
        </w:rPr>
      </w:pPr>
      <w:r w:rsidRPr="005A760B">
        <w:rPr>
          <w:rFonts w:ascii="Arial Narrow" w:hAnsi="Arial Narrow"/>
          <w:i/>
        </w:rPr>
        <w:t xml:space="preserve">                                                                                                      </w:t>
      </w:r>
      <w:r w:rsidR="004C2414" w:rsidRPr="005A760B">
        <w:rPr>
          <w:rFonts w:ascii="Arial Narrow" w:hAnsi="Arial Narrow"/>
          <w:i/>
        </w:rPr>
        <w:t xml:space="preserve">          </w:t>
      </w:r>
      <w:r w:rsidRPr="005A760B">
        <w:rPr>
          <w:rFonts w:ascii="Arial Narrow" w:hAnsi="Arial Narrow"/>
          <w:i/>
        </w:rPr>
        <w:t xml:space="preserve"> </w:t>
      </w:r>
      <w:r w:rsidRPr="002D7C75">
        <w:rPr>
          <w:rFonts w:ascii="Arial Narrow" w:hAnsi="Arial Narrow"/>
          <w:sz w:val="20"/>
          <w:szCs w:val="20"/>
        </w:rPr>
        <w:t>(e</w:t>
      </w:r>
      <w:r w:rsidRPr="005A760B">
        <w:rPr>
          <w:rFonts w:ascii="Arial Narrow" w:hAnsi="Arial Narrow"/>
          <w:sz w:val="20"/>
          <w:szCs w:val="20"/>
        </w:rPr>
        <w:t>n millones)</w:t>
      </w:r>
    </w:p>
    <w:tbl>
      <w:tblPr>
        <w:tblW w:w="5000" w:type="pct"/>
        <w:jc w:val="center"/>
        <w:tblCellMar>
          <w:left w:w="70" w:type="dxa"/>
          <w:right w:w="70" w:type="dxa"/>
        </w:tblCellMar>
        <w:tblLook w:val="04A0" w:firstRow="1" w:lastRow="0" w:firstColumn="1" w:lastColumn="0" w:noHBand="0" w:noVBand="1"/>
      </w:tblPr>
      <w:tblGrid>
        <w:gridCol w:w="3042"/>
        <w:gridCol w:w="1309"/>
        <w:gridCol w:w="1155"/>
        <w:gridCol w:w="1020"/>
        <w:gridCol w:w="1155"/>
        <w:gridCol w:w="1248"/>
      </w:tblGrid>
      <w:tr w:rsidR="001049D6" w:rsidRPr="005A760B" w:rsidTr="00FC5CCC">
        <w:trPr>
          <w:trHeight w:val="284"/>
          <w:jc w:val="center"/>
        </w:trPr>
        <w:tc>
          <w:tcPr>
            <w:tcW w:w="1703" w:type="pct"/>
            <w:tcBorders>
              <w:top w:val="single" w:sz="4" w:space="0" w:color="000000"/>
              <w:left w:val="nil"/>
              <w:bottom w:val="single" w:sz="4" w:space="0" w:color="000000"/>
              <w:right w:val="nil"/>
            </w:tcBorders>
            <w:shd w:val="clear" w:color="000000" w:fill="F4B084"/>
            <w:vAlign w:val="center"/>
            <w:hideMark/>
          </w:tcPr>
          <w:p w:rsidR="001049D6" w:rsidRPr="005A760B" w:rsidRDefault="001049D6" w:rsidP="00E23BC4">
            <w:pPr>
              <w:pStyle w:val="cuadroCabe"/>
              <w:rPr>
                <w:lang w:val="es-ES" w:eastAsia="es-ES"/>
              </w:rPr>
            </w:pPr>
            <w:r w:rsidRPr="005A760B">
              <w:rPr>
                <w:lang w:val="es-ES" w:eastAsia="es-ES"/>
              </w:rPr>
              <w:t>Capítulo</w:t>
            </w:r>
          </w:p>
        </w:tc>
        <w:tc>
          <w:tcPr>
            <w:tcW w:w="733" w:type="pct"/>
            <w:tcBorders>
              <w:top w:val="single" w:sz="4" w:space="0" w:color="000000"/>
              <w:left w:val="nil"/>
              <w:bottom w:val="single" w:sz="4" w:space="0" w:color="000000"/>
              <w:right w:val="nil"/>
            </w:tcBorders>
            <w:shd w:val="clear" w:color="000000" w:fill="F4B084"/>
            <w:vAlign w:val="center"/>
            <w:hideMark/>
          </w:tcPr>
          <w:p w:rsidR="001049D6" w:rsidRPr="005A760B" w:rsidRDefault="001049D6" w:rsidP="00E23BC4">
            <w:pPr>
              <w:pStyle w:val="cuadroCabe"/>
              <w:jc w:val="right"/>
              <w:rPr>
                <w:lang w:val="es-ES" w:eastAsia="es-ES"/>
              </w:rPr>
            </w:pPr>
            <w:r w:rsidRPr="005A760B">
              <w:rPr>
                <w:lang w:val="es-ES" w:eastAsia="es-ES"/>
              </w:rPr>
              <w:t>Previsiones definitivas</w:t>
            </w:r>
          </w:p>
        </w:tc>
        <w:tc>
          <w:tcPr>
            <w:tcW w:w="647" w:type="pct"/>
            <w:tcBorders>
              <w:top w:val="single" w:sz="4" w:space="0" w:color="000000"/>
              <w:left w:val="nil"/>
              <w:bottom w:val="single" w:sz="4" w:space="0" w:color="000000"/>
              <w:right w:val="nil"/>
            </w:tcBorders>
            <w:shd w:val="clear" w:color="000000" w:fill="F4B084"/>
            <w:vAlign w:val="center"/>
            <w:hideMark/>
          </w:tcPr>
          <w:p w:rsidR="001049D6" w:rsidRPr="005A760B" w:rsidRDefault="001049D6" w:rsidP="00E23BC4">
            <w:pPr>
              <w:pStyle w:val="cuadroCabe"/>
              <w:jc w:val="right"/>
              <w:rPr>
                <w:lang w:val="es-ES" w:eastAsia="es-ES"/>
              </w:rPr>
            </w:pPr>
            <w:r w:rsidRPr="005A760B">
              <w:rPr>
                <w:lang w:val="es-ES" w:eastAsia="es-ES"/>
              </w:rPr>
              <w:t>Ingresos 2018</w:t>
            </w:r>
          </w:p>
        </w:tc>
        <w:tc>
          <w:tcPr>
            <w:tcW w:w="571" w:type="pct"/>
            <w:tcBorders>
              <w:top w:val="single" w:sz="4" w:space="0" w:color="000000"/>
              <w:left w:val="nil"/>
              <w:bottom w:val="single" w:sz="4" w:space="0" w:color="000000"/>
              <w:right w:val="nil"/>
            </w:tcBorders>
            <w:shd w:val="clear" w:color="000000" w:fill="F4B084"/>
            <w:vAlign w:val="center"/>
            <w:hideMark/>
          </w:tcPr>
          <w:p w:rsidR="001049D6" w:rsidRPr="005A760B" w:rsidRDefault="00E23BC4" w:rsidP="00E23BC4">
            <w:pPr>
              <w:pStyle w:val="cuadroCabe"/>
              <w:jc w:val="right"/>
              <w:rPr>
                <w:lang w:val="es-ES" w:eastAsia="es-ES"/>
              </w:rPr>
            </w:pPr>
            <w:r w:rsidRPr="005A760B">
              <w:rPr>
                <w:lang w:val="es-ES" w:eastAsia="es-ES"/>
              </w:rPr>
              <w:t xml:space="preserve"> </w:t>
            </w:r>
            <w:r w:rsidR="001049D6" w:rsidRPr="005A760B">
              <w:rPr>
                <w:lang w:val="es-ES" w:eastAsia="es-ES"/>
              </w:rPr>
              <w:t>% s/ total ingresos</w:t>
            </w:r>
          </w:p>
        </w:tc>
        <w:tc>
          <w:tcPr>
            <w:tcW w:w="647" w:type="pct"/>
            <w:tcBorders>
              <w:top w:val="single" w:sz="4" w:space="0" w:color="000000"/>
              <w:left w:val="nil"/>
              <w:bottom w:val="single" w:sz="4" w:space="0" w:color="000000"/>
              <w:right w:val="nil"/>
            </w:tcBorders>
            <w:shd w:val="clear" w:color="000000" w:fill="F4B084"/>
            <w:vAlign w:val="center"/>
            <w:hideMark/>
          </w:tcPr>
          <w:p w:rsidR="001049D6" w:rsidRPr="005A760B" w:rsidRDefault="001049D6" w:rsidP="008D3658">
            <w:pPr>
              <w:pStyle w:val="cuadroCabe"/>
              <w:jc w:val="right"/>
              <w:rPr>
                <w:lang w:val="es-ES" w:eastAsia="es-ES"/>
              </w:rPr>
            </w:pPr>
            <w:r w:rsidRPr="005A760B">
              <w:rPr>
                <w:lang w:val="es-ES" w:eastAsia="es-ES"/>
              </w:rPr>
              <w:t>%</w:t>
            </w:r>
            <w:r w:rsidRPr="005A760B">
              <w:rPr>
                <w:lang w:val="es-ES" w:eastAsia="es-ES"/>
              </w:rPr>
              <w:br/>
            </w:r>
            <w:r w:rsidR="00E23BC4" w:rsidRPr="005A760B">
              <w:rPr>
                <w:lang w:val="es-ES" w:eastAsia="es-ES"/>
              </w:rPr>
              <w:t>E</w:t>
            </w:r>
            <w:r w:rsidRPr="005A760B">
              <w:rPr>
                <w:lang w:val="es-ES" w:eastAsia="es-ES"/>
              </w:rPr>
              <w:t>jecuci</w:t>
            </w:r>
            <w:r w:rsidR="008D3658">
              <w:rPr>
                <w:lang w:val="es-ES" w:eastAsia="es-ES"/>
              </w:rPr>
              <w:t>ó</w:t>
            </w:r>
            <w:r w:rsidRPr="005A760B">
              <w:rPr>
                <w:lang w:val="es-ES" w:eastAsia="es-ES"/>
              </w:rPr>
              <w:t>n</w:t>
            </w:r>
          </w:p>
        </w:tc>
        <w:tc>
          <w:tcPr>
            <w:tcW w:w="700" w:type="pct"/>
            <w:tcBorders>
              <w:top w:val="single" w:sz="4" w:space="0" w:color="000000"/>
              <w:left w:val="nil"/>
              <w:bottom w:val="single" w:sz="4" w:space="0" w:color="000000"/>
              <w:right w:val="nil"/>
            </w:tcBorders>
            <w:shd w:val="clear" w:color="000000" w:fill="F4B084"/>
            <w:vAlign w:val="center"/>
            <w:hideMark/>
          </w:tcPr>
          <w:p w:rsidR="001049D6" w:rsidRPr="005A760B" w:rsidRDefault="001049D6" w:rsidP="00FF7F6B">
            <w:pPr>
              <w:pStyle w:val="cuadroCabe"/>
              <w:jc w:val="right"/>
              <w:rPr>
                <w:rFonts w:cs="Arial"/>
                <w:sz w:val="16"/>
                <w:szCs w:val="16"/>
                <w:lang w:val="es-ES" w:eastAsia="es-ES"/>
              </w:rPr>
            </w:pPr>
            <w:r w:rsidRPr="005A760B">
              <w:rPr>
                <w:rFonts w:cs="Arial"/>
                <w:sz w:val="16"/>
                <w:szCs w:val="16"/>
                <w:lang w:val="es-ES" w:eastAsia="es-ES"/>
              </w:rPr>
              <w:t xml:space="preserve">% </w:t>
            </w:r>
            <w:r w:rsidR="00FF7F6B" w:rsidRPr="005A760B">
              <w:rPr>
                <w:rFonts w:cs="Arial"/>
                <w:sz w:val="16"/>
                <w:szCs w:val="16"/>
                <w:lang w:val="es-ES" w:eastAsia="es-ES"/>
              </w:rPr>
              <w:t>V</w:t>
            </w:r>
            <w:r w:rsidRPr="005A760B">
              <w:rPr>
                <w:rFonts w:cs="Arial"/>
                <w:sz w:val="16"/>
                <w:szCs w:val="16"/>
                <w:lang w:val="es-ES" w:eastAsia="es-ES"/>
              </w:rPr>
              <w:t>ariación 2018/17</w:t>
            </w:r>
          </w:p>
        </w:tc>
      </w:tr>
      <w:tr w:rsidR="001049D6" w:rsidRPr="005A760B" w:rsidTr="00FC5CCC">
        <w:trPr>
          <w:trHeight w:val="284"/>
          <w:jc w:val="center"/>
        </w:trPr>
        <w:tc>
          <w:tcPr>
            <w:tcW w:w="1703" w:type="pct"/>
            <w:tcBorders>
              <w:top w:val="nil"/>
              <w:left w:val="nil"/>
              <w:bottom w:val="single" w:sz="4" w:space="0" w:color="000000"/>
              <w:right w:val="nil"/>
            </w:tcBorders>
            <w:shd w:val="clear" w:color="auto" w:fill="auto"/>
            <w:vAlign w:val="center"/>
            <w:hideMark/>
          </w:tcPr>
          <w:p w:rsidR="001049D6" w:rsidRPr="005A760B" w:rsidRDefault="001049D6" w:rsidP="008857DE">
            <w:pPr>
              <w:pStyle w:val="cuatexto"/>
              <w:rPr>
                <w:lang w:val="es-ES" w:eastAsia="es-ES"/>
              </w:rPr>
            </w:pPr>
            <w:r w:rsidRPr="005A760B">
              <w:rPr>
                <w:lang w:val="es-ES" w:eastAsia="es-ES"/>
              </w:rPr>
              <w:t>1  Impuestos directos</w:t>
            </w:r>
          </w:p>
        </w:tc>
        <w:tc>
          <w:tcPr>
            <w:tcW w:w="733"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187,85</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194,04</w:t>
            </w:r>
          </w:p>
        </w:tc>
        <w:tc>
          <w:tcPr>
            <w:tcW w:w="571"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23,1</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103</w:t>
            </w:r>
          </w:p>
        </w:tc>
        <w:tc>
          <w:tcPr>
            <w:tcW w:w="700" w:type="pct"/>
            <w:tcBorders>
              <w:top w:val="nil"/>
              <w:left w:val="nil"/>
              <w:bottom w:val="single" w:sz="4" w:space="0" w:color="000000"/>
              <w:right w:val="nil"/>
            </w:tcBorders>
            <w:shd w:val="clear" w:color="auto" w:fill="auto"/>
            <w:noWrap/>
            <w:vAlign w:val="center"/>
            <w:hideMark/>
          </w:tcPr>
          <w:p w:rsidR="001049D6" w:rsidRPr="005A760B" w:rsidRDefault="001049D6" w:rsidP="00E23BC4">
            <w:pPr>
              <w:pStyle w:val="cuatexto"/>
              <w:jc w:val="right"/>
              <w:rPr>
                <w:lang w:val="es-ES" w:eastAsia="es-ES"/>
              </w:rPr>
            </w:pPr>
            <w:r w:rsidRPr="005A760B">
              <w:rPr>
                <w:lang w:val="es-ES" w:eastAsia="es-ES"/>
              </w:rPr>
              <w:t>3</w:t>
            </w:r>
          </w:p>
        </w:tc>
      </w:tr>
      <w:tr w:rsidR="001049D6" w:rsidRPr="005A760B" w:rsidTr="00FC5CCC">
        <w:trPr>
          <w:trHeight w:val="284"/>
          <w:jc w:val="center"/>
        </w:trPr>
        <w:tc>
          <w:tcPr>
            <w:tcW w:w="1703" w:type="pct"/>
            <w:tcBorders>
              <w:top w:val="nil"/>
              <w:left w:val="nil"/>
              <w:bottom w:val="single" w:sz="4" w:space="0" w:color="000000"/>
              <w:right w:val="nil"/>
            </w:tcBorders>
            <w:shd w:val="clear" w:color="auto" w:fill="auto"/>
            <w:vAlign w:val="center"/>
            <w:hideMark/>
          </w:tcPr>
          <w:p w:rsidR="001049D6" w:rsidRPr="005A760B" w:rsidRDefault="001049D6" w:rsidP="008857DE">
            <w:pPr>
              <w:pStyle w:val="cuatexto"/>
              <w:rPr>
                <w:lang w:val="es-ES" w:eastAsia="es-ES"/>
              </w:rPr>
            </w:pPr>
            <w:r w:rsidRPr="005A760B">
              <w:rPr>
                <w:lang w:val="es-ES" w:eastAsia="es-ES"/>
              </w:rPr>
              <w:t>2  Impuestos indirectos</w:t>
            </w:r>
          </w:p>
        </w:tc>
        <w:tc>
          <w:tcPr>
            <w:tcW w:w="733"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18,79</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28,99</w:t>
            </w:r>
          </w:p>
        </w:tc>
        <w:tc>
          <w:tcPr>
            <w:tcW w:w="571"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3,5</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154</w:t>
            </w:r>
          </w:p>
        </w:tc>
        <w:tc>
          <w:tcPr>
            <w:tcW w:w="700" w:type="pct"/>
            <w:tcBorders>
              <w:top w:val="nil"/>
              <w:left w:val="nil"/>
              <w:bottom w:val="single" w:sz="4" w:space="0" w:color="000000"/>
              <w:right w:val="nil"/>
            </w:tcBorders>
            <w:shd w:val="clear" w:color="auto" w:fill="auto"/>
            <w:noWrap/>
            <w:vAlign w:val="center"/>
            <w:hideMark/>
          </w:tcPr>
          <w:p w:rsidR="001049D6" w:rsidRPr="005A760B" w:rsidRDefault="001049D6" w:rsidP="00E23BC4">
            <w:pPr>
              <w:pStyle w:val="cuatexto"/>
              <w:jc w:val="right"/>
              <w:rPr>
                <w:lang w:val="es-ES" w:eastAsia="es-ES"/>
              </w:rPr>
            </w:pPr>
            <w:r w:rsidRPr="005A760B">
              <w:rPr>
                <w:lang w:val="es-ES" w:eastAsia="es-ES"/>
              </w:rPr>
              <w:t>44</w:t>
            </w:r>
          </w:p>
        </w:tc>
      </w:tr>
      <w:tr w:rsidR="001049D6" w:rsidRPr="005A760B" w:rsidTr="00FC5CCC">
        <w:trPr>
          <w:trHeight w:val="284"/>
          <w:jc w:val="center"/>
        </w:trPr>
        <w:tc>
          <w:tcPr>
            <w:tcW w:w="1703" w:type="pct"/>
            <w:tcBorders>
              <w:top w:val="nil"/>
              <w:left w:val="nil"/>
              <w:bottom w:val="single" w:sz="4" w:space="0" w:color="000000"/>
              <w:right w:val="nil"/>
            </w:tcBorders>
            <w:shd w:val="clear" w:color="auto" w:fill="auto"/>
            <w:vAlign w:val="center"/>
            <w:hideMark/>
          </w:tcPr>
          <w:p w:rsidR="001049D6" w:rsidRPr="005A760B" w:rsidRDefault="00E23BC4" w:rsidP="008857DE">
            <w:pPr>
              <w:pStyle w:val="cuatexto"/>
              <w:rPr>
                <w:lang w:val="es-ES" w:eastAsia="es-ES"/>
              </w:rPr>
            </w:pPr>
            <w:r w:rsidRPr="005A760B">
              <w:rPr>
                <w:lang w:val="es-ES" w:eastAsia="es-ES"/>
              </w:rPr>
              <w:t>3</w:t>
            </w:r>
            <w:r w:rsidR="00FF7F6B" w:rsidRPr="005A760B">
              <w:rPr>
                <w:lang w:val="es-ES" w:eastAsia="es-ES"/>
              </w:rPr>
              <w:t xml:space="preserve"> </w:t>
            </w:r>
            <w:r w:rsidRPr="005A760B">
              <w:rPr>
                <w:lang w:val="es-ES" w:eastAsia="es-ES"/>
              </w:rPr>
              <w:t xml:space="preserve"> Tasas, precios </w:t>
            </w:r>
            <w:proofErr w:type="spellStart"/>
            <w:r w:rsidRPr="005A760B">
              <w:rPr>
                <w:lang w:val="es-ES" w:eastAsia="es-ES"/>
              </w:rPr>
              <w:t>púb</w:t>
            </w:r>
            <w:proofErr w:type="spellEnd"/>
            <w:r w:rsidRPr="005A760B">
              <w:rPr>
                <w:lang w:val="es-ES" w:eastAsia="es-ES"/>
              </w:rPr>
              <w:t>.</w:t>
            </w:r>
            <w:r w:rsidR="001049D6" w:rsidRPr="005A760B">
              <w:rPr>
                <w:lang w:val="es-ES" w:eastAsia="es-ES"/>
              </w:rPr>
              <w:t xml:space="preserve"> y otros </w:t>
            </w:r>
            <w:proofErr w:type="spellStart"/>
            <w:r w:rsidR="001049D6" w:rsidRPr="005A760B">
              <w:rPr>
                <w:lang w:val="es-ES" w:eastAsia="es-ES"/>
              </w:rPr>
              <w:t>ingr</w:t>
            </w:r>
            <w:proofErr w:type="spellEnd"/>
            <w:r w:rsidRPr="005A760B">
              <w:rPr>
                <w:lang w:val="es-ES" w:eastAsia="es-ES"/>
              </w:rPr>
              <w:t>.</w:t>
            </w:r>
          </w:p>
        </w:tc>
        <w:tc>
          <w:tcPr>
            <w:tcW w:w="733" w:type="pct"/>
            <w:tcBorders>
              <w:top w:val="nil"/>
              <w:left w:val="nil"/>
              <w:bottom w:val="single" w:sz="4" w:space="0" w:color="000000"/>
              <w:right w:val="nil"/>
            </w:tcBorders>
            <w:shd w:val="clear" w:color="auto" w:fill="auto"/>
            <w:vAlign w:val="center"/>
            <w:hideMark/>
          </w:tcPr>
          <w:p w:rsidR="001049D6" w:rsidRPr="005A760B" w:rsidRDefault="001049D6" w:rsidP="00E25C60">
            <w:pPr>
              <w:pStyle w:val="cuatexto"/>
              <w:jc w:val="right"/>
              <w:rPr>
                <w:lang w:val="es-ES" w:eastAsia="es-ES"/>
              </w:rPr>
            </w:pPr>
            <w:r w:rsidRPr="005A760B">
              <w:rPr>
                <w:lang w:val="es-ES" w:eastAsia="es-ES"/>
              </w:rPr>
              <w:t>154,1</w:t>
            </w:r>
            <w:r w:rsidR="00E25C60" w:rsidRPr="005A760B">
              <w:rPr>
                <w:lang w:val="es-ES" w:eastAsia="es-ES"/>
              </w:rPr>
              <w:t>6</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162,02</w:t>
            </w:r>
          </w:p>
        </w:tc>
        <w:tc>
          <w:tcPr>
            <w:tcW w:w="571"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19,3</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105</w:t>
            </w:r>
          </w:p>
        </w:tc>
        <w:tc>
          <w:tcPr>
            <w:tcW w:w="700" w:type="pct"/>
            <w:tcBorders>
              <w:top w:val="nil"/>
              <w:left w:val="nil"/>
              <w:bottom w:val="single" w:sz="4" w:space="0" w:color="000000"/>
              <w:right w:val="nil"/>
            </w:tcBorders>
            <w:shd w:val="clear" w:color="auto" w:fill="auto"/>
            <w:noWrap/>
            <w:vAlign w:val="center"/>
            <w:hideMark/>
          </w:tcPr>
          <w:p w:rsidR="001049D6" w:rsidRPr="005A760B" w:rsidRDefault="001049D6" w:rsidP="00E23BC4">
            <w:pPr>
              <w:pStyle w:val="cuatexto"/>
              <w:jc w:val="right"/>
              <w:rPr>
                <w:lang w:val="es-ES" w:eastAsia="es-ES"/>
              </w:rPr>
            </w:pPr>
            <w:r w:rsidRPr="005A760B">
              <w:rPr>
                <w:lang w:val="es-ES" w:eastAsia="es-ES"/>
              </w:rPr>
              <w:t>1</w:t>
            </w:r>
          </w:p>
        </w:tc>
      </w:tr>
      <w:tr w:rsidR="001049D6" w:rsidRPr="005A760B" w:rsidTr="00FC5CCC">
        <w:trPr>
          <w:trHeight w:val="284"/>
          <w:jc w:val="center"/>
        </w:trPr>
        <w:tc>
          <w:tcPr>
            <w:tcW w:w="1703" w:type="pct"/>
            <w:tcBorders>
              <w:top w:val="nil"/>
              <w:left w:val="nil"/>
              <w:bottom w:val="single" w:sz="4" w:space="0" w:color="000000"/>
              <w:right w:val="nil"/>
            </w:tcBorders>
            <w:shd w:val="clear" w:color="auto" w:fill="auto"/>
            <w:vAlign w:val="center"/>
            <w:hideMark/>
          </w:tcPr>
          <w:p w:rsidR="001049D6" w:rsidRPr="005A760B" w:rsidRDefault="001049D6" w:rsidP="008857DE">
            <w:pPr>
              <w:pStyle w:val="cuatexto"/>
              <w:rPr>
                <w:lang w:val="es-ES" w:eastAsia="es-ES"/>
              </w:rPr>
            </w:pPr>
            <w:r w:rsidRPr="005A760B">
              <w:rPr>
                <w:lang w:val="es-ES" w:eastAsia="es-ES"/>
              </w:rPr>
              <w:t>4  Transferencias corrientes</w:t>
            </w:r>
          </w:p>
        </w:tc>
        <w:tc>
          <w:tcPr>
            <w:tcW w:w="733"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321,11</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322,93</w:t>
            </w:r>
          </w:p>
        </w:tc>
        <w:tc>
          <w:tcPr>
            <w:tcW w:w="571"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38,5</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101</w:t>
            </w:r>
          </w:p>
        </w:tc>
        <w:tc>
          <w:tcPr>
            <w:tcW w:w="700" w:type="pct"/>
            <w:tcBorders>
              <w:top w:val="nil"/>
              <w:left w:val="nil"/>
              <w:bottom w:val="single" w:sz="4" w:space="0" w:color="000000"/>
              <w:right w:val="nil"/>
            </w:tcBorders>
            <w:shd w:val="clear" w:color="auto" w:fill="auto"/>
            <w:noWrap/>
            <w:vAlign w:val="center"/>
            <w:hideMark/>
          </w:tcPr>
          <w:p w:rsidR="001049D6" w:rsidRPr="005A760B" w:rsidRDefault="001049D6" w:rsidP="00E23BC4">
            <w:pPr>
              <w:pStyle w:val="cuatexto"/>
              <w:jc w:val="right"/>
              <w:rPr>
                <w:lang w:val="es-ES" w:eastAsia="es-ES"/>
              </w:rPr>
            </w:pPr>
            <w:r w:rsidRPr="005A760B">
              <w:rPr>
                <w:lang w:val="es-ES" w:eastAsia="es-ES"/>
              </w:rPr>
              <w:t>4</w:t>
            </w:r>
          </w:p>
        </w:tc>
      </w:tr>
      <w:tr w:rsidR="001049D6" w:rsidRPr="005A760B" w:rsidTr="00FC5CCC">
        <w:trPr>
          <w:trHeight w:val="284"/>
          <w:jc w:val="center"/>
        </w:trPr>
        <w:tc>
          <w:tcPr>
            <w:tcW w:w="1703" w:type="pct"/>
            <w:tcBorders>
              <w:top w:val="nil"/>
              <w:left w:val="nil"/>
              <w:bottom w:val="single" w:sz="4" w:space="0" w:color="000000"/>
              <w:right w:val="nil"/>
            </w:tcBorders>
            <w:shd w:val="clear" w:color="auto" w:fill="auto"/>
            <w:vAlign w:val="center"/>
            <w:hideMark/>
          </w:tcPr>
          <w:p w:rsidR="00FF7F6B" w:rsidRPr="005A760B" w:rsidRDefault="001049D6" w:rsidP="00FF7F6B">
            <w:pPr>
              <w:pStyle w:val="cuatexto"/>
              <w:rPr>
                <w:lang w:val="es-ES" w:eastAsia="es-ES"/>
              </w:rPr>
            </w:pPr>
            <w:r w:rsidRPr="005A760B">
              <w:rPr>
                <w:lang w:val="es-ES" w:eastAsia="es-ES"/>
              </w:rPr>
              <w:t xml:space="preserve">5  Ingresos patrimoniales y </w:t>
            </w:r>
          </w:p>
          <w:p w:rsidR="001049D6" w:rsidRPr="005A760B" w:rsidRDefault="00FF7F6B" w:rsidP="00FF7F6B">
            <w:pPr>
              <w:pStyle w:val="cuatexto"/>
              <w:rPr>
                <w:lang w:val="es-ES" w:eastAsia="es-ES"/>
              </w:rPr>
            </w:pPr>
            <w:r w:rsidRPr="005A760B">
              <w:rPr>
                <w:lang w:val="es-ES" w:eastAsia="es-ES"/>
              </w:rPr>
              <w:t xml:space="preserve">    </w:t>
            </w:r>
            <w:r w:rsidR="001049D6" w:rsidRPr="005A760B">
              <w:rPr>
                <w:lang w:val="es-ES" w:eastAsia="es-ES"/>
              </w:rPr>
              <w:t>aprovechamientos comunales</w:t>
            </w:r>
          </w:p>
        </w:tc>
        <w:tc>
          <w:tcPr>
            <w:tcW w:w="733"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47,31</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44,64</w:t>
            </w:r>
          </w:p>
        </w:tc>
        <w:tc>
          <w:tcPr>
            <w:tcW w:w="571"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5,3</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94</w:t>
            </w:r>
          </w:p>
        </w:tc>
        <w:tc>
          <w:tcPr>
            <w:tcW w:w="700" w:type="pct"/>
            <w:tcBorders>
              <w:top w:val="nil"/>
              <w:left w:val="nil"/>
              <w:bottom w:val="single" w:sz="4" w:space="0" w:color="000000"/>
              <w:right w:val="nil"/>
            </w:tcBorders>
            <w:shd w:val="clear" w:color="auto" w:fill="auto"/>
            <w:noWrap/>
            <w:vAlign w:val="center"/>
            <w:hideMark/>
          </w:tcPr>
          <w:p w:rsidR="001049D6" w:rsidRPr="005A760B" w:rsidRDefault="001049D6" w:rsidP="00E23BC4">
            <w:pPr>
              <w:pStyle w:val="cuatexto"/>
              <w:jc w:val="right"/>
              <w:rPr>
                <w:lang w:val="es-ES" w:eastAsia="es-ES"/>
              </w:rPr>
            </w:pPr>
            <w:r w:rsidRPr="005A760B">
              <w:rPr>
                <w:lang w:val="es-ES" w:eastAsia="es-ES"/>
              </w:rPr>
              <w:t>3</w:t>
            </w:r>
          </w:p>
        </w:tc>
      </w:tr>
      <w:tr w:rsidR="001049D6" w:rsidRPr="005A760B" w:rsidTr="00FC5CCC">
        <w:trPr>
          <w:trHeight w:val="284"/>
          <w:jc w:val="center"/>
        </w:trPr>
        <w:tc>
          <w:tcPr>
            <w:tcW w:w="1703" w:type="pct"/>
            <w:tcBorders>
              <w:top w:val="nil"/>
              <w:left w:val="nil"/>
              <w:bottom w:val="single" w:sz="4" w:space="0" w:color="000000"/>
              <w:right w:val="nil"/>
            </w:tcBorders>
            <w:shd w:val="clear" w:color="auto" w:fill="auto"/>
            <w:vAlign w:val="center"/>
            <w:hideMark/>
          </w:tcPr>
          <w:p w:rsidR="001049D6" w:rsidRPr="005A760B" w:rsidRDefault="001049D6" w:rsidP="00FF7F6B">
            <w:pPr>
              <w:pStyle w:val="cuatexto"/>
              <w:rPr>
                <w:b/>
                <w:i/>
                <w:iCs/>
                <w:lang w:val="es-ES" w:eastAsia="es-ES"/>
              </w:rPr>
            </w:pPr>
            <w:r w:rsidRPr="005A760B">
              <w:rPr>
                <w:b/>
                <w:i/>
                <w:iCs/>
                <w:lang w:val="es-ES" w:eastAsia="es-ES"/>
              </w:rPr>
              <w:t xml:space="preserve">    Ingresos corrientes</w:t>
            </w:r>
          </w:p>
        </w:tc>
        <w:tc>
          <w:tcPr>
            <w:tcW w:w="733"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729,22</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752,62</w:t>
            </w:r>
          </w:p>
        </w:tc>
        <w:tc>
          <w:tcPr>
            <w:tcW w:w="571"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89,7</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103</w:t>
            </w:r>
          </w:p>
        </w:tc>
        <w:tc>
          <w:tcPr>
            <w:tcW w:w="700" w:type="pct"/>
            <w:tcBorders>
              <w:top w:val="nil"/>
              <w:left w:val="nil"/>
              <w:bottom w:val="single" w:sz="4" w:space="0" w:color="000000"/>
              <w:right w:val="nil"/>
            </w:tcBorders>
            <w:shd w:val="clear" w:color="auto" w:fill="auto"/>
            <w:noWrap/>
            <w:vAlign w:val="center"/>
            <w:hideMark/>
          </w:tcPr>
          <w:p w:rsidR="001049D6" w:rsidRPr="005A760B" w:rsidRDefault="001049D6" w:rsidP="00E23BC4">
            <w:pPr>
              <w:pStyle w:val="cuatexto"/>
              <w:jc w:val="right"/>
              <w:rPr>
                <w:b/>
                <w:bCs/>
                <w:i/>
                <w:iCs/>
                <w:lang w:val="es-ES" w:eastAsia="es-ES"/>
              </w:rPr>
            </w:pPr>
            <w:r w:rsidRPr="005A760B">
              <w:rPr>
                <w:b/>
                <w:bCs/>
                <w:i/>
                <w:iCs/>
                <w:lang w:val="es-ES" w:eastAsia="es-ES"/>
              </w:rPr>
              <w:t>4</w:t>
            </w:r>
          </w:p>
        </w:tc>
      </w:tr>
      <w:tr w:rsidR="001049D6" w:rsidRPr="005A760B" w:rsidTr="00FC5CCC">
        <w:trPr>
          <w:trHeight w:val="284"/>
          <w:jc w:val="center"/>
        </w:trPr>
        <w:tc>
          <w:tcPr>
            <w:tcW w:w="1703" w:type="pct"/>
            <w:tcBorders>
              <w:top w:val="nil"/>
              <w:left w:val="nil"/>
              <w:bottom w:val="single" w:sz="4" w:space="0" w:color="000000"/>
              <w:right w:val="nil"/>
            </w:tcBorders>
            <w:shd w:val="clear" w:color="auto" w:fill="auto"/>
            <w:vAlign w:val="center"/>
            <w:hideMark/>
          </w:tcPr>
          <w:p w:rsidR="001049D6" w:rsidRPr="005A760B" w:rsidRDefault="00E23BC4" w:rsidP="00FF7F6B">
            <w:pPr>
              <w:pStyle w:val="cuatexto"/>
              <w:rPr>
                <w:lang w:val="es-ES" w:eastAsia="es-ES"/>
              </w:rPr>
            </w:pPr>
            <w:r w:rsidRPr="005A760B">
              <w:rPr>
                <w:lang w:val="es-ES" w:eastAsia="es-ES"/>
              </w:rPr>
              <w:t xml:space="preserve">6 </w:t>
            </w:r>
            <w:r w:rsidR="00FF7F6B" w:rsidRPr="005A760B">
              <w:rPr>
                <w:lang w:val="es-ES" w:eastAsia="es-ES"/>
              </w:rPr>
              <w:t xml:space="preserve"> </w:t>
            </w:r>
            <w:r w:rsidR="001049D6" w:rsidRPr="005A760B">
              <w:rPr>
                <w:lang w:val="es-ES" w:eastAsia="es-ES"/>
              </w:rPr>
              <w:t>Enajenación de inversiones reales</w:t>
            </w:r>
          </w:p>
        </w:tc>
        <w:tc>
          <w:tcPr>
            <w:tcW w:w="733"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15,75</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C11722">
            <w:pPr>
              <w:pStyle w:val="cuatexto"/>
              <w:jc w:val="right"/>
              <w:rPr>
                <w:lang w:val="es-ES" w:eastAsia="es-ES"/>
              </w:rPr>
            </w:pPr>
            <w:r w:rsidRPr="005A760B">
              <w:rPr>
                <w:lang w:val="es-ES" w:eastAsia="es-ES"/>
              </w:rPr>
              <w:t>14,6</w:t>
            </w:r>
            <w:r w:rsidR="00C11722" w:rsidRPr="005A760B">
              <w:rPr>
                <w:lang w:val="es-ES" w:eastAsia="es-ES"/>
              </w:rPr>
              <w:t>5</w:t>
            </w:r>
          </w:p>
        </w:tc>
        <w:tc>
          <w:tcPr>
            <w:tcW w:w="571"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1,7</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93</w:t>
            </w:r>
          </w:p>
        </w:tc>
        <w:tc>
          <w:tcPr>
            <w:tcW w:w="700" w:type="pct"/>
            <w:tcBorders>
              <w:top w:val="nil"/>
              <w:left w:val="nil"/>
              <w:bottom w:val="single" w:sz="4" w:space="0" w:color="000000"/>
              <w:right w:val="nil"/>
            </w:tcBorders>
            <w:shd w:val="clear" w:color="auto" w:fill="auto"/>
            <w:noWrap/>
            <w:vAlign w:val="center"/>
            <w:hideMark/>
          </w:tcPr>
          <w:p w:rsidR="001049D6" w:rsidRPr="005A760B" w:rsidRDefault="001049D6" w:rsidP="00E23BC4">
            <w:pPr>
              <w:pStyle w:val="cuatexto"/>
              <w:jc w:val="right"/>
              <w:rPr>
                <w:lang w:val="es-ES" w:eastAsia="es-ES"/>
              </w:rPr>
            </w:pPr>
            <w:r w:rsidRPr="005A760B">
              <w:rPr>
                <w:lang w:val="es-ES" w:eastAsia="es-ES"/>
              </w:rPr>
              <w:t>0</w:t>
            </w:r>
          </w:p>
        </w:tc>
      </w:tr>
      <w:tr w:rsidR="001049D6" w:rsidRPr="005A760B" w:rsidTr="00FC5CCC">
        <w:trPr>
          <w:trHeight w:val="284"/>
          <w:jc w:val="center"/>
        </w:trPr>
        <w:tc>
          <w:tcPr>
            <w:tcW w:w="1703" w:type="pct"/>
            <w:tcBorders>
              <w:top w:val="nil"/>
              <w:left w:val="nil"/>
              <w:bottom w:val="single" w:sz="4" w:space="0" w:color="000000"/>
              <w:right w:val="nil"/>
            </w:tcBorders>
            <w:shd w:val="clear" w:color="auto" w:fill="auto"/>
            <w:vAlign w:val="center"/>
            <w:hideMark/>
          </w:tcPr>
          <w:p w:rsidR="001049D6" w:rsidRPr="005A760B" w:rsidRDefault="00E23BC4" w:rsidP="00E23BC4">
            <w:pPr>
              <w:pStyle w:val="cuatexto"/>
              <w:rPr>
                <w:lang w:val="es-ES" w:eastAsia="es-ES"/>
              </w:rPr>
            </w:pPr>
            <w:r w:rsidRPr="005A760B">
              <w:rPr>
                <w:lang w:val="es-ES" w:eastAsia="es-ES"/>
              </w:rPr>
              <w:t xml:space="preserve">7  </w:t>
            </w:r>
            <w:r w:rsidR="001049D6" w:rsidRPr="005A760B">
              <w:rPr>
                <w:lang w:val="es-ES" w:eastAsia="es-ES"/>
              </w:rPr>
              <w:t>Transferencias de capital</w:t>
            </w:r>
          </w:p>
        </w:tc>
        <w:tc>
          <w:tcPr>
            <w:tcW w:w="733"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106,99</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67,33</w:t>
            </w:r>
          </w:p>
        </w:tc>
        <w:tc>
          <w:tcPr>
            <w:tcW w:w="571"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8,0</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63</w:t>
            </w:r>
          </w:p>
        </w:tc>
        <w:tc>
          <w:tcPr>
            <w:tcW w:w="700" w:type="pct"/>
            <w:tcBorders>
              <w:top w:val="nil"/>
              <w:left w:val="nil"/>
              <w:bottom w:val="single" w:sz="4" w:space="0" w:color="000000"/>
              <w:right w:val="nil"/>
            </w:tcBorders>
            <w:shd w:val="clear" w:color="auto" w:fill="auto"/>
            <w:noWrap/>
            <w:vAlign w:val="center"/>
            <w:hideMark/>
          </w:tcPr>
          <w:p w:rsidR="001049D6" w:rsidRPr="005A760B" w:rsidRDefault="001049D6" w:rsidP="00E23BC4">
            <w:pPr>
              <w:pStyle w:val="cuatexto"/>
              <w:jc w:val="right"/>
              <w:rPr>
                <w:lang w:val="es-ES" w:eastAsia="es-ES"/>
              </w:rPr>
            </w:pPr>
            <w:r w:rsidRPr="005A760B">
              <w:rPr>
                <w:lang w:val="es-ES" w:eastAsia="es-ES"/>
              </w:rPr>
              <w:t>82</w:t>
            </w:r>
          </w:p>
        </w:tc>
      </w:tr>
      <w:tr w:rsidR="001049D6" w:rsidRPr="005A760B" w:rsidTr="00FC5CCC">
        <w:trPr>
          <w:trHeight w:val="284"/>
          <w:jc w:val="center"/>
        </w:trPr>
        <w:tc>
          <w:tcPr>
            <w:tcW w:w="1703" w:type="pct"/>
            <w:tcBorders>
              <w:top w:val="nil"/>
              <w:left w:val="nil"/>
              <w:bottom w:val="single" w:sz="4" w:space="0" w:color="000000"/>
              <w:right w:val="nil"/>
            </w:tcBorders>
            <w:shd w:val="clear" w:color="auto" w:fill="auto"/>
            <w:vAlign w:val="center"/>
            <w:hideMark/>
          </w:tcPr>
          <w:p w:rsidR="001049D6" w:rsidRPr="005A760B" w:rsidRDefault="001049D6" w:rsidP="00FF7F6B">
            <w:pPr>
              <w:pStyle w:val="cuatexto"/>
              <w:rPr>
                <w:b/>
                <w:i/>
                <w:iCs/>
                <w:lang w:val="es-ES" w:eastAsia="es-ES"/>
              </w:rPr>
            </w:pPr>
            <w:r w:rsidRPr="005A760B">
              <w:rPr>
                <w:b/>
                <w:i/>
                <w:iCs/>
                <w:lang w:val="es-ES" w:eastAsia="es-ES"/>
              </w:rPr>
              <w:t xml:space="preserve">    Ingresos de capital</w:t>
            </w:r>
          </w:p>
        </w:tc>
        <w:tc>
          <w:tcPr>
            <w:tcW w:w="733"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122,74</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81,98</w:t>
            </w:r>
          </w:p>
        </w:tc>
        <w:tc>
          <w:tcPr>
            <w:tcW w:w="571" w:type="pct"/>
            <w:tcBorders>
              <w:top w:val="nil"/>
              <w:left w:val="nil"/>
              <w:bottom w:val="single" w:sz="4" w:space="0" w:color="000000"/>
              <w:right w:val="nil"/>
            </w:tcBorders>
            <w:shd w:val="clear" w:color="auto" w:fill="auto"/>
            <w:vAlign w:val="center"/>
            <w:hideMark/>
          </w:tcPr>
          <w:p w:rsidR="001049D6" w:rsidRPr="005A760B" w:rsidRDefault="001049D6" w:rsidP="00E25C60">
            <w:pPr>
              <w:pStyle w:val="cuatexto"/>
              <w:jc w:val="right"/>
              <w:rPr>
                <w:b/>
                <w:i/>
                <w:iCs/>
                <w:lang w:val="es-ES" w:eastAsia="es-ES"/>
              </w:rPr>
            </w:pPr>
            <w:r w:rsidRPr="005A760B">
              <w:rPr>
                <w:b/>
                <w:i/>
                <w:iCs/>
                <w:lang w:val="es-ES" w:eastAsia="es-ES"/>
              </w:rPr>
              <w:t>9,</w:t>
            </w:r>
            <w:r w:rsidR="00E25C60" w:rsidRPr="005A760B">
              <w:rPr>
                <w:b/>
                <w:i/>
                <w:iCs/>
                <w:lang w:val="es-ES" w:eastAsia="es-ES"/>
              </w:rPr>
              <w:t>7</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67</w:t>
            </w:r>
          </w:p>
        </w:tc>
        <w:tc>
          <w:tcPr>
            <w:tcW w:w="700" w:type="pct"/>
            <w:tcBorders>
              <w:top w:val="nil"/>
              <w:left w:val="nil"/>
              <w:bottom w:val="single" w:sz="4" w:space="0" w:color="000000"/>
              <w:right w:val="nil"/>
            </w:tcBorders>
            <w:shd w:val="clear" w:color="auto" w:fill="auto"/>
            <w:noWrap/>
            <w:vAlign w:val="center"/>
            <w:hideMark/>
          </w:tcPr>
          <w:p w:rsidR="001049D6" w:rsidRPr="005A760B" w:rsidRDefault="001049D6" w:rsidP="00E23BC4">
            <w:pPr>
              <w:pStyle w:val="cuatexto"/>
              <w:jc w:val="right"/>
              <w:rPr>
                <w:b/>
                <w:bCs/>
                <w:i/>
                <w:iCs/>
                <w:lang w:val="es-ES" w:eastAsia="es-ES"/>
              </w:rPr>
            </w:pPr>
            <w:r w:rsidRPr="005A760B">
              <w:rPr>
                <w:b/>
                <w:bCs/>
                <w:i/>
                <w:iCs/>
                <w:lang w:val="es-ES" w:eastAsia="es-ES"/>
              </w:rPr>
              <w:t>59</w:t>
            </w:r>
          </w:p>
        </w:tc>
      </w:tr>
      <w:tr w:rsidR="001049D6" w:rsidRPr="005A760B" w:rsidTr="00FC5CCC">
        <w:trPr>
          <w:trHeight w:val="284"/>
          <w:jc w:val="center"/>
        </w:trPr>
        <w:tc>
          <w:tcPr>
            <w:tcW w:w="1703" w:type="pct"/>
            <w:tcBorders>
              <w:top w:val="nil"/>
              <w:left w:val="nil"/>
              <w:bottom w:val="single" w:sz="4" w:space="0" w:color="000000"/>
              <w:right w:val="nil"/>
            </w:tcBorders>
            <w:shd w:val="clear" w:color="auto" w:fill="auto"/>
            <w:vAlign w:val="center"/>
            <w:hideMark/>
          </w:tcPr>
          <w:p w:rsidR="001049D6" w:rsidRPr="005A760B" w:rsidRDefault="001049D6" w:rsidP="00FF7F6B">
            <w:pPr>
              <w:pStyle w:val="cuatexto"/>
              <w:rPr>
                <w:lang w:val="es-ES" w:eastAsia="es-ES"/>
              </w:rPr>
            </w:pPr>
            <w:r w:rsidRPr="005A760B">
              <w:rPr>
                <w:lang w:val="es-ES" w:eastAsia="es-ES"/>
              </w:rPr>
              <w:t>8  Activos financieros</w:t>
            </w:r>
          </w:p>
        </w:tc>
        <w:tc>
          <w:tcPr>
            <w:tcW w:w="733"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118,23</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0,76</w:t>
            </w:r>
          </w:p>
        </w:tc>
        <w:tc>
          <w:tcPr>
            <w:tcW w:w="571"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0,1</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1</w:t>
            </w:r>
          </w:p>
        </w:tc>
        <w:tc>
          <w:tcPr>
            <w:tcW w:w="700" w:type="pct"/>
            <w:tcBorders>
              <w:top w:val="nil"/>
              <w:left w:val="nil"/>
              <w:bottom w:val="single" w:sz="4" w:space="0" w:color="000000"/>
              <w:right w:val="nil"/>
            </w:tcBorders>
            <w:shd w:val="clear" w:color="auto" w:fill="auto"/>
            <w:noWrap/>
            <w:vAlign w:val="center"/>
            <w:hideMark/>
          </w:tcPr>
          <w:p w:rsidR="001049D6" w:rsidRPr="005A760B" w:rsidRDefault="001049D6" w:rsidP="00E23BC4">
            <w:pPr>
              <w:pStyle w:val="cuatexto"/>
              <w:jc w:val="right"/>
              <w:rPr>
                <w:lang w:val="es-ES" w:eastAsia="es-ES"/>
              </w:rPr>
            </w:pPr>
            <w:r w:rsidRPr="005A760B">
              <w:rPr>
                <w:lang w:val="es-ES" w:eastAsia="es-ES"/>
              </w:rPr>
              <w:t>-89</w:t>
            </w:r>
          </w:p>
        </w:tc>
      </w:tr>
      <w:tr w:rsidR="001049D6" w:rsidRPr="005A760B" w:rsidTr="00FC5CCC">
        <w:trPr>
          <w:trHeight w:val="284"/>
          <w:jc w:val="center"/>
        </w:trPr>
        <w:tc>
          <w:tcPr>
            <w:tcW w:w="1703" w:type="pct"/>
            <w:tcBorders>
              <w:top w:val="nil"/>
              <w:left w:val="nil"/>
              <w:bottom w:val="single" w:sz="4" w:space="0" w:color="000000"/>
              <w:right w:val="nil"/>
            </w:tcBorders>
            <w:shd w:val="clear" w:color="auto" w:fill="auto"/>
            <w:vAlign w:val="center"/>
            <w:hideMark/>
          </w:tcPr>
          <w:p w:rsidR="001049D6" w:rsidRPr="005A760B" w:rsidRDefault="001049D6" w:rsidP="00FF7F6B">
            <w:pPr>
              <w:pStyle w:val="cuatexto"/>
              <w:rPr>
                <w:lang w:val="es-ES" w:eastAsia="es-ES"/>
              </w:rPr>
            </w:pPr>
            <w:r w:rsidRPr="005A760B">
              <w:rPr>
                <w:lang w:val="es-ES" w:eastAsia="es-ES"/>
              </w:rPr>
              <w:t>9  Pasivos financieros</w:t>
            </w:r>
          </w:p>
        </w:tc>
        <w:tc>
          <w:tcPr>
            <w:tcW w:w="733"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22,16</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4,12</w:t>
            </w:r>
          </w:p>
        </w:tc>
        <w:tc>
          <w:tcPr>
            <w:tcW w:w="571"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0,5</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19</w:t>
            </w:r>
          </w:p>
        </w:tc>
        <w:tc>
          <w:tcPr>
            <w:tcW w:w="700" w:type="pct"/>
            <w:tcBorders>
              <w:top w:val="nil"/>
              <w:left w:val="nil"/>
              <w:bottom w:val="single" w:sz="4" w:space="0" w:color="000000"/>
              <w:right w:val="nil"/>
            </w:tcBorders>
            <w:shd w:val="clear" w:color="auto" w:fill="auto"/>
            <w:noWrap/>
            <w:vAlign w:val="center"/>
            <w:hideMark/>
          </w:tcPr>
          <w:p w:rsidR="001049D6" w:rsidRPr="005A760B" w:rsidRDefault="001049D6" w:rsidP="00E23BC4">
            <w:pPr>
              <w:pStyle w:val="cuatexto"/>
              <w:jc w:val="right"/>
              <w:rPr>
                <w:lang w:val="es-ES" w:eastAsia="es-ES"/>
              </w:rPr>
            </w:pPr>
            <w:r w:rsidRPr="005A760B">
              <w:rPr>
                <w:lang w:val="es-ES" w:eastAsia="es-ES"/>
              </w:rPr>
              <w:t>27</w:t>
            </w:r>
          </w:p>
        </w:tc>
      </w:tr>
      <w:tr w:rsidR="001049D6" w:rsidRPr="005A760B" w:rsidTr="00FC5CCC">
        <w:trPr>
          <w:trHeight w:val="284"/>
          <w:jc w:val="center"/>
        </w:trPr>
        <w:tc>
          <w:tcPr>
            <w:tcW w:w="1703" w:type="pct"/>
            <w:tcBorders>
              <w:top w:val="nil"/>
              <w:left w:val="nil"/>
              <w:bottom w:val="single" w:sz="4" w:space="0" w:color="000000"/>
              <w:right w:val="nil"/>
            </w:tcBorders>
            <w:shd w:val="clear" w:color="auto" w:fill="auto"/>
            <w:vAlign w:val="center"/>
            <w:hideMark/>
          </w:tcPr>
          <w:p w:rsidR="001049D6" w:rsidRPr="005A760B" w:rsidRDefault="001049D6" w:rsidP="008857DE">
            <w:pPr>
              <w:pStyle w:val="cuatexto"/>
              <w:rPr>
                <w:b/>
                <w:i/>
                <w:iCs/>
                <w:lang w:val="es-ES" w:eastAsia="es-ES"/>
              </w:rPr>
            </w:pPr>
            <w:r w:rsidRPr="005A760B">
              <w:rPr>
                <w:b/>
                <w:i/>
                <w:iCs/>
                <w:lang w:val="es-ES" w:eastAsia="es-ES"/>
              </w:rPr>
              <w:t xml:space="preserve">    Ingresos financieros</w:t>
            </w:r>
          </w:p>
        </w:tc>
        <w:tc>
          <w:tcPr>
            <w:tcW w:w="733"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140,39</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4,88</w:t>
            </w:r>
          </w:p>
        </w:tc>
        <w:tc>
          <w:tcPr>
            <w:tcW w:w="571"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0,6</w:t>
            </w:r>
          </w:p>
        </w:tc>
        <w:tc>
          <w:tcPr>
            <w:tcW w:w="647" w:type="pct"/>
            <w:tcBorders>
              <w:top w:val="nil"/>
              <w:left w:val="nil"/>
              <w:bottom w:val="single" w:sz="4" w:space="0" w:color="000000"/>
              <w:right w:val="nil"/>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3</w:t>
            </w:r>
          </w:p>
        </w:tc>
        <w:tc>
          <w:tcPr>
            <w:tcW w:w="700" w:type="pct"/>
            <w:tcBorders>
              <w:top w:val="nil"/>
              <w:left w:val="nil"/>
              <w:bottom w:val="single" w:sz="4" w:space="0" w:color="000000"/>
              <w:right w:val="nil"/>
            </w:tcBorders>
            <w:shd w:val="clear" w:color="auto" w:fill="auto"/>
            <w:noWrap/>
            <w:vAlign w:val="center"/>
            <w:hideMark/>
          </w:tcPr>
          <w:p w:rsidR="001049D6" w:rsidRPr="005A760B" w:rsidRDefault="001049D6" w:rsidP="00E23BC4">
            <w:pPr>
              <w:pStyle w:val="cuatexto"/>
              <w:jc w:val="right"/>
              <w:rPr>
                <w:b/>
                <w:bCs/>
                <w:i/>
                <w:iCs/>
                <w:lang w:val="es-ES" w:eastAsia="es-ES"/>
              </w:rPr>
            </w:pPr>
            <w:r w:rsidRPr="005A760B">
              <w:rPr>
                <w:b/>
                <w:bCs/>
                <w:i/>
                <w:iCs/>
                <w:lang w:val="es-ES" w:eastAsia="es-ES"/>
              </w:rPr>
              <w:t>-52</w:t>
            </w:r>
          </w:p>
        </w:tc>
      </w:tr>
      <w:tr w:rsidR="001049D6" w:rsidRPr="005A760B" w:rsidTr="00FC5CCC">
        <w:trPr>
          <w:trHeight w:val="284"/>
          <w:jc w:val="center"/>
        </w:trPr>
        <w:tc>
          <w:tcPr>
            <w:tcW w:w="1703" w:type="pct"/>
            <w:tcBorders>
              <w:top w:val="nil"/>
              <w:left w:val="nil"/>
              <w:bottom w:val="single" w:sz="4" w:space="0" w:color="000000"/>
              <w:right w:val="nil"/>
            </w:tcBorders>
            <w:shd w:val="clear" w:color="000000" w:fill="F4B084"/>
            <w:vAlign w:val="center"/>
            <w:hideMark/>
          </w:tcPr>
          <w:p w:rsidR="001049D6" w:rsidRPr="005A760B" w:rsidRDefault="001049D6" w:rsidP="00E23BC4">
            <w:pPr>
              <w:pStyle w:val="cuadroCabe"/>
              <w:rPr>
                <w:lang w:val="es-ES" w:eastAsia="es-ES"/>
              </w:rPr>
            </w:pPr>
            <w:r w:rsidRPr="005A760B">
              <w:rPr>
                <w:lang w:val="es-ES" w:eastAsia="es-ES"/>
              </w:rPr>
              <w:t xml:space="preserve"> Total</w:t>
            </w:r>
          </w:p>
        </w:tc>
        <w:tc>
          <w:tcPr>
            <w:tcW w:w="733" w:type="pct"/>
            <w:tcBorders>
              <w:top w:val="nil"/>
              <w:left w:val="nil"/>
              <w:bottom w:val="single" w:sz="4" w:space="0" w:color="000000"/>
              <w:right w:val="nil"/>
            </w:tcBorders>
            <w:shd w:val="clear" w:color="000000" w:fill="F4B084"/>
            <w:vAlign w:val="center"/>
            <w:hideMark/>
          </w:tcPr>
          <w:p w:rsidR="001049D6" w:rsidRPr="005A760B" w:rsidRDefault="001049D6" w:rsidP="00E23BC4">
            <w:pPr>
              <w:pStyle w:val="cuadroCabe"/>
              <w:jc w:val="right"/>
              <w:rPr>
                <w:lang w:val="es-ES" w:eastAsia="es-ES"/>
              </w:rPr>
            </w:pPr>
            <w:r w:rsidRPr="005A760B">
              <w:rPr>
                <w:lang w:val="es-ES" w:eastAsia="es-ES"/>
              </w:rPr>
              <w:t>992,35</w:t>
            </w:r>
          </w:p>
        </w:tc>
        <w:tc>
          <w:tcPr>
            <w:tcW w:w="647" w:type="pct"/>
            <w:tcBorders>
              <w:top w:val="nil"/>
              <w:left w:val="nil"/>
              <w:bottom w:val="single" w:sz="4" w:space="0" w:color="000000"/>
              <w:right w:val="nil"/>
            </w:tcBorders>
            <w:shd w:val="clear" w:color="000000" w:fill="F4B084"/>
            <w:vAlign w:val="center"/>
            <w:hideMark/>
          </w:tcPr>
          <w:p w:rsidR="001049D6" w:rsidRPr="005A760B" w:rsidRDefault="001049D6" w:rsidP="00E23BC4">
            <w:pPr>
              <w:pStyle w:val="cuadroCabe"/>
              <w:jc w:val="right"/>
              <w:rPr>
                <w:lang w:val="es-ES" w:eastAsia="es-ES"/>
              </w:rPr>
            </w:pPr>
            <w:r w:rsidRPr="005A760B">
              <w:rPr>
                <w:lang w:val="es-ES" w:eastAsia="es-ES"/>
              </w:rPr>
              <w:t>839,48</w:t>
            </w:r>
          </w:p>
        </w:tc>
        <w:tc>
          <w:tcPr>
            <w:tcW w:w="571" w:type="pct"/>
            <w:tcBorders>
              <w:top w:val="nil"/>
              <w:left w:val="nil"/>
              <w:bottom w:val="single" w:sz="4" w:space="0" w:color="000000"/>
              <w:right w:val="nil"/>
            </w:tcBorders>
            <w:shd w:val="clear" w:color="000000" w:fill="F4B084"/>
            <w:vAlign w:val="center"/>
            <w:hideMark/>
          </w:tcPr>
          <w:p w:rsidR="001049D6" w:rsidRPr="005A760B" w:rsidRDefault="001049D6" w:rsidP="00E23BC4">
            <w:pPr>
              <w:pStyle w:val="cuadroCabe"/>
              <w:jc w:val="right"/>
              <w:rPr>
                <w:lang w:val="es-ES" w:eastAsia="es-ES"/>
              </w:rPr>
            </w:pPr>
            <w:r w:rsidRPr="005A760B">
              <w:rPr>
                <w:lang w:val="es-ES" w:eastAsia="es-ES"/>
              </w:rPr>
              <w:t>100</w:t>
            </w:r>
          </w:p>
        </w:tc>
        <w:tc>
          <w:tcPr>
            <w:tcW w:w="647" w:type="pct"/>
            <w:tcBorders>
              <w:top w:val="nil"/>
              <w:left w:val="nil"/>
              <w:bottom w:val="single" w:sz="4" w:space="0" w:color="000000"/>
              <w:right w:val="nil"/>
            </w:tcBorders>
            <w:shd w:val="clear" w:color="000000" w:fill="F4B084"/>
            <w:vAlign w:val="center"/>
            <w:hideMark/>
          </w:tcPr>
          <w:p w:rsidR="001049D6" w:rsidRPr="005A760B" w:rsidRDefault="001049D6" w:rsidP="00E23BC4">
            <w:pPr>
              <w:pStyle w:val="cuadroCabe"/>
              <w:jc w:val="right"/>
              <w:rPr>
                <w:lang w:val="es-ES" w:eastAsia="es-ES"/>
              </w:rPr>
            </w:pPr>
            <w:r w:rsidRPr="005A760B">
              <w:rPr>
                <w:lang w:val="es-ES" w:eastAsia="es-ES"/>
              </w:rPr>
              <w:t>85</w:t>
            </w:r>
          </w:p>
        </w:tc>
        <w:tc>
          <w:tcPr>
            <w:tcW w:w="700" w:type="pct"/>
            <w:tcBorders>
              <w:top w:val="nil"/>
              <w:left w:val="nil"/>
              <w:bottom w:val="single" w:sz="4" w:space="0" w:color="000000"/>
              <w:right w:val="nil"/>
            </w:tcBorders>
            <w:shd w:val="clear" w:color="000000" w:fill="F4B084"/>
            <w:vAlign w:val="center"/>
            <w:hideMark/>
          </w:tcPr>
          <w:p w:rsidR="001049D6" w:rsidRPr="005A760B" w:rsidRDefault="001049D6" w:rsidP="00E23BC4">
            <w:pPr>
              <w:pStyle w:val="cuadroCabe"/>
              <w:jc w:val="right"/>
              <w:rPr>
                <w:lang w:val="es-ES" w:eastAsia="es-ES"/>
              </w:rPr>
            </w:pPr>
            <w:r w:rsidRPr="005A760B">
              <w:rPr>
                <w:lang w:val="es-ES" w:eastAsia="es-ES"/>
              </w:rPr>
              <w:t>7</w:t>
            </w:r>
          </w:p>
        </w:tc>
      </w:tr>
    </w:tbl>
    <w:p w:rsidR="001049D6" w:rsidRPr="005A760B" w:rsidRDefault="001049D6" w:rsidP="00FC5CCC">
      <w:pPr>
        <w:pStyle w:val="texto"/>
        <w:spacing w:before="220"/>
      </w:pPr>
      <w:r w:rsidRPr="005A760B">
        <w:t>Las previsiones definitivas de ingresos para el ejercicio 2018 ascendieron a 992,35 millones y presentan un grado de ejecución del 85 por ciento. Mientras que los ingresos corrientes se ejecutaron en un 103 por ciento de las previsi</w:t>
      </w:r>
      <w:r w:rsidRPr="005A760B">
        <w:t>o</w:t>
      </w:r>
      <w:r w:rsidRPr="005A760B">
        <w:t>nes, destaca la baja ejecución de los correspondientes a operaciones financieras y de capital que se ejecutaron en un tres y un 67 por ciento, respectivamente.</w:t>
      </w:r>
    </w:p>
    <w:p w:rsidR="001049D6" w:rsidRPr="005A760B" w:rsidRDefault="001049D6" w:rsidP="00E23BC4">
      <w:pPr>
        <w:pStyle w:val="texto"/>
      </w:pPr>
      <w:r w:rsidRPr="005A760B">
        <w:t>En 2018</w:t>
      </w:r>
      <w:r w:rsidR="005F216E" w:rsidRPr="005A760B">
        <w:t>,</w:t>
      </w:r>
      <w:r w:rsidRPr="005A760B">
        <w:t xml:space="preserve"> los ingresos del sector público local ascendieron a 839,48 millones, de los cuales un 89,7 por ciento fueron corrientes (principalmente transfere</w:t>
      </w:r>
      <w:r w:rsidRPr="005A760B">
        <w:t>n</w:t>
      </w:r>
      <w:r w:rsidRPr="005A760B">
        <w:t xml:space="preserve">cias y tributos). Los ingresos de capital representan </w:t>
      </w:r>
      <w:r w:rsidR="00E25C60" w:rsidRPr="005A760B">
        <w:t>un 9,7</w:t>
      </w:r>
      <w:r w:rsidRPr="005A760B">
        <w:t xml:space="preserve"> por ciento del total y el restante 0,6 por ciento corresponde a operaciones financieras.</w:t>
      </w:r>
    </w:p>
    <w:p w:rsidR="001049D6" w:rsidRPr="005A760B" w:rsidRDefault="001049D6" w:rsidP="00E23BC4">
      <w:pPr>
        <w:pStyle w:val="texto"/>
      </w:pPr>
      <w:r w:rsidRPr="005A760B">
        <w:t>Los ingresos totales de 2018 fueron un siete por ciento superiores a los del año 2017. La variación fue positiva en todos los casos excepto en el de los a</w:t>
      </w:r>
      <w:r w:rsidRPr="005A760B">
        <w:t>c</w:t>
      </w:r>
      <w:r w:rsidRPr="005A760B">
        <w:t>tivos financieros que disminuyeron en un 89 por ciento. Los ingresos de capital aumentaron un 59 por ciento y los corrientes un cuatro por ciento. En términos absolutos, el mayor incremento se da en las transferencias de capital y corrie</w:t>
      </w:r>
      <w:r w:rsidRPr="005A760B">
        <w:t>n</w:t>
      </w:r>
      <w:r w:rsidRPr="005A760B">
        <w:t>tes, que aumentan en 30 y 13 millones</w:t>
      </w:r>
      <w:r w:rsidR="005F216E" w:rsidRPr="005A760B">
        <w:t>,</w:t>
      </w:r>
      <w:r w:rsidRPr="005A760B">
        <w:t xml:space="preserve"> respectivamente.</w:t>
      </w:r>
    </w:p>
    <w:p w:rsidR="001049D6" w:rsidRPr="005A760B" w:rsidRDefault="001049D6" w:rsidP="001049D6">
      <w:pPr>
        <w:pStyle w:val="texto"/>
      </w:pPr>
      <w:r w:rsidRPr="005A760B">
        <w:t>El 81 por ciento del total de ingresos corresponde a los municipios y conc</w:t>
      </w:r>
      <w:r w:rsidRPr="005A760B">
        <w:t>e</w:t>
      </w:r>
      <w:r w:rsidRPr="005A760B">
        <w:t>jos y el 19 por ciento restante a mancomunidades y agrupaciones.</w:t>
      </w:r>
    </w:p>
    <w:p w:rsidR="001049D6" w:rsidRPr="005A760B" w:rsidRDefault="001049D6" w:rsidP="001049D6">
      <w:pPr>
        <w:pStyle w:val="atitulo2"/>
        <w:spacing w:before="240"/>
        <w:rPr>
          <w:color w:val="auto"/>
        </w:rPr>
      </w:pPr>
      <w:bookmarkStart w:id="61" w:name="_Toc465686689"/>
      <w:bookmarkStart w:id="62" w:name="_Toc529773883"/>
      <w:bookmarkStart w:id="63" w:name="_Toc24100144"/>
      <w:bookmarkStart w:id="64" w:name="_Toc52348292"/>
      <w:bookmarkStart w:id="65" w:name="_Toc54691925"/>
      <w:r w:rsidRPr="005A760B">
        <w:rPr>
          <w:color w:val="auto"/>
        </w:rPr>
        <w:t>V.2. Gastos</w:t>
      </w:r>
      <w:bookmarkEnd w:id="61"/>
      <w:bookmarkEnd w:id="62"/>
      <w:bookmarkEnd w:id="63"/>
      <w:bookmarkEnd w:id="64"/>
      <w:bookmarkEnd w:id="65"/>
    </w:p>
    <w:p w:rsidR="001049D6" w:rsidRPr="005A760B" w:rsidRDefault="001049D6" w:rsidP="003C6633">
      <w:pPr>
        <w:pStyle w:val="texto"/>
        <w:spacing w:after="0"/>
      </w:pPr>
      <w:r w:rsidRPr="005A760B">
        <w:t>Se presenta a continuación un cuadro resumen de los gastos del sector</w:t>
      </w:r>
      <w:r w:rsidR="005F216E" w:rsidRPr="005A760B">
        <w:t xml:space="preserve"> públ</w:t>
      </w:r>
      <w:r w:rsidR="005F216E" w:rsidRPr="005A760B">
        <w:t>i</w:t>
      </w:r>
      <w:r w:rsidR="005F216E" w:rsidRPr="005A760B">
        <w:t>co local</w:t>
      </w:r>
      <w:r w:rsidRPr="005A760B">
        <w:t xml:space="preserve"> en 2018</w:t>
      </w:r>
      <w:r w:rsidR="005F216E" w:rsidRPr="005A760B">
        <w:t>:</w:t>
      </w:r>
    </w:p>
    <w:p w:rsidR="001049D6" w:rsidRPr="005A760B" w:rsidRDefault="001049D6" w:rsidP="001049D6">
      <w:pPr>
        <w:pStyle w:val="texto"/>
        <w:spacing w:after="40"/>
        <w:rPr>
          <w:rFonts w:ascii="Arial Narrow" w:hAnsi="Arial Narrow"/>
          <w:i/>
          <w:sz w:val="20"/>
          <w:szCs w:val="20"/>
        </w:rPr>
      </w:pPr>
      <w:r w:rsidRPr="005A760B">
        <w:rPr>
          <w:rFonts w:ascii="Arial Narrow" w:hAnsi="Arial Narrow"/>
          <w:i/>
          <w:sz w:val="20"/>
          <w:szCs w:val="20"/>
        </w:rPr>
        <w:t xml:space="preserve">                                                                                           </w:t>
      </w:r>
      <w:r w:rsidR="008857DE" w:rsidRPr="005A760B">
        <w:rPr>
          <w:rFonts w:ascii="Arial Narrow" w:hAnsi="Arial Narrow"/>
          <w:i/>
          <w:sz w:val="20"/>
          <w:szCs w:val="20"/>
        </w:rPr>
        <w:t xml:space="preserve">            </w:t>
      </w:r>
      <w:r w:rsidRPr="005A760B">
        <w:rPr>
          <w:rFonts w:ascii="Arial Narrow" w:hAnsi="Arial Narrow"/>
          <w:i/>
          <w:sz w:val="20"/>
          <w:szCs w:val="20"/>
        </w:rPr>
        <w:t xml:space="preserve">                          </w:t>
      </w:r>
      <w:r w:rsidR="004C2414" w:rsidRPr="005A760B">
        <w:rPr>
          <w:rFonts w:ascii="Arial Narrow" w:hAnsi="Arial Narrow"/>
          <w:i/>
          <w:sz w:val="20"/>
          <w:szCs w:val="20"/>
        </w:rPr>
        <w:t xml:space="preserve">             </w:t>
      </w:r>
      <w:r w:rsidRPr="005A760B">
        <w:rPr>
          <w:rFonts w:ascii="Arial Narrow" w:hAnsi="Arial Narrow"/>
          <w:i/>
          <w:sz w:val="20"/>
          <w:szCs w:val="20"/>
        </w:rPr>
        <w:t xml:space="preserve"> </w:t>
      </w:r>
      <w:r w:rsidRPr="005A760B">
        <w:rPr>
          <w:rFonts w:ascii="Arial Narrow" w:hAnsi="Arial Narrow"/>
          <w:sz w:val="20"/>
          <w:szCs w:val="20"/>
        </w:rPr>
        <w:t>(en millones</w:t>
      </w:r>
      <w:r w:rsidRPr="005A760B">
        <w:rPr>
          <w:rFonts w:ascii="Arial Narrow" w:hAnsi="Arial Narrow"/>
          <w:i/>
          <w:sz w:val="20"/>
          <w:szCs w:val="20"/>
        </w:rPr>
        <w:t>)</w:t>
      </w:r>
    </w:p>
    <w:tbl>
      <w:tblPr>
        <w:tblW w:w="5000" w:type="pct"/>
        <w:jc w:val="center"/>
        <w:tblCellMar>
          <w:left w:w="70" w:type="dxa"/>
          <w:right w:w="70" w:type="dxa"/>
        </w:tblCellMar>
        <w:tblLook w:val="04A0" w:firstRow="1" w:lastRow="0" w:firstColumn="1" w:lastColumn="0" w:noHBand="0" w:noVBand="1"/>
      </w:tblPr>
      <w:tblGrid>
        <w:gridCol w:w="3469"/>
        <w:gridCol w:w="1050"/>
        <w:gridCol w:w="1145"/>
        <w:gridCol w:w="957"/>
        <w:gridCol w:w="1145"/>
        <w:gridCol w:w="1163"/>
      </w:tblGrid>
      <w:tr w:rsidR="001049D6" w:rsidRPr="005A760B" w:rsidTr="007804CA">
        <w:trPr>
          <w:trHeight w:val="284"/>
          <w:jc w:val="center"/>
        </w:trPr>
        <w:tc>
          <w:tcPr>
            <w:tcW w:w="1943" w:type="pct"/>
            <w:tcBorders>
              <w:top w:val="single" w:sz="4" w:space="0" w:color="000000"/>
              <w:left w:val="nil"/>
              <w:bottom w:val="single" w:sz="4" w:space="0" w:color="000000"/>
              <w:right w:val="nil"/>
            </w:tcBorders>
            <w:shd w:val="clear" w:color="000000" w:fill="F4B084"/>
            <w:vAlign w:val="center"/>
            <w:hideMark/>
          </w:tcPr>
          <w:p w:rsidR="001049D6" w:rsidRPr="005A760B" w:rsidRDefault="001049D6" w:rsidP="00E23BC4">
            <w:pPr>
              <w:pStyle w:val="cuadroCabe"/>
              <w:rPr>
                <w:lang w:val="es-ES" w:eastAsia="es-ES"/>
              </w:rPr>
            </w:pPr>
            <w:r w:rsidRPr="005A760B">
              <w:rPr>
                <w:lang w:val="es-ES" w:eastAsia="es-ES"/>
              </w:rPr>
              <w:t>Capítulo</w:t>
            </w:r>
          </w:p>
        </w:tc>
        <w:tc>
          <w:tcPr>
            <w:tcW w:w="588" w:type="pct"/>
            <w:tcBorders>
              <w:top w:val="single" w:sz="4" w:space="0" w:color="000000"/>
              <w:left w:val="nil"/>
              <w:bottom w:val="single" w:sz="4" w:space="0" w:color="000000"/>
              <w:right w:val="nil"/>
            </w:tcBorders>
            <w:shd w:val="clear" w:color="000000" w:fill="F4B084"/>
            <w:vAlign w:val="center"/>
            <w:hideMark/>
          </w:tcPr>
          <w:p w:rsidR="001049D6" w:rsidRPr="005A760B" w:rsidRDefault="001049D6" w:rsidP="00E23BC4">
            <w:pPr>
              <w:pStyle w:val="cuadroCabe"/>
              <w:jc w:val="right"/>
              <w:rPr>
                <w:lang w:val="es-ES" w:eastAsia="es-ES"/>
              </w:rPr>
            </w:pPr>
            <w:r w:rsidRPr="005A760B">
              <w:rPr>
                <w:lang w:val="es-ES" w:eastAsia="es-ES"/>
              </w:rPr>
              <w:t>Créditos definitivos</w:t>
            </w:r>
          </w:p>
        </w:tc>
        <w:tc>
          <w:tcPr>
            <w:tcW w:w="641" w:type="pct"/>
            <w:tcBorders>
              <w:top w:val="single" w:sz="4" w:space="0" w:color="000000"/>
              <w:left w:val="nil"/>
              <w:bottom w:val="single" w:sz="4" w:space="0" w:color="000000"/>
              <w:right w:val="nil"/>
            </w:tcBorders>
            <w:shd w:val="clear" w:color="000000" w:fill="F4B084"/>
            <w:vAlign w:val="center"/>
            <w:hideMark/>
          </w:tcPr>
          <w:p w:rsidR="001049D6" w:rsidRPr="005A760B" w:rsidRDefault="001049D6" w:rsidP="00E23BC4">
            <w:pPr>
              <w:pStyle w:val="cuadroCabe"/>
              <w:jc w:val="right"/>
              <w:rPr>
                <w:lang w:val="es-ES" w:eastAsia="es-ES"/>
              </w:rPr>
            </w:pPr>
            <w:r w:rsidRPr="005A760B">
              <w:rPr>
                <w:lang w:val="es-ES" w:eastAsia="es-ES"/>
              </w:rPr>
              <w:t>Gastos 2018</w:t>
            </w:r>
          </w:p>
        </w:tc>
        <w:tc>
          <w:tcPr>
            <w:tcW w:w="536" w:type="pct"/>
            <w:tcBorders>
              <w:top w:val="single" w:sz="4" w:space="0" w:color="000000"/>
              <w:left w:val="nil"/>
              <w:bottom w:val="single" w:sz="4" w:space="0" w:color="000000"/>
              <w:right w:val="nil"/>
            </w:tcBorders>
            <w:shd w:val="clear" w:color="000000" w:fill="F4B084"/>
            <w:vAlign w:val="center"/>
            <w:hideMark/>
          </w:tcPr>
          <w:p w:rsidR="001049D6" w:rsidRPr="005A760B" w:rsidRDefault="001049D6" w:rsidP="00E23BC4">
            <w:pPr>
              <w:pStyle w:val="cuadroCabe"/>
              <w:jc w:val="right"/>
              <w:rPr>
                <w:lang w:val="es-ES" w:eastAsia="es-ES"/>
              </w:rPr>
            </w:pPr>
            <w:r w:rsidRPr="005A760B">
              <w:rPr>
                <w:lang w:val="es-ES" w:eastAsia="es-ES"/>
              </w:rPr>
              <w:t>% s/ total gastos</w:t>
            </w:r>
          </w:p>
        </w:tc>
        <w:tc>
          <w:tcPr>
            <w:tcW w:w="641" w:type="pct"/>
            <w:tcBorders>
              <w:top w:val="single" w:sz="4" w:space="0" w:color="000000"/>
              <w:left w:val="nil"/>
              <w:bottom w:val="single" w:sz="4" w:space="0" w:color="000000"/>
              <w:right w:val="nil"/>
            </w:tcBorders>
            <w:shd w:val="clear" w:color="000000" w:fill="F4B084"/>
            <w:vAlign w:val="center"/>
            <w:hideMark/>
          </w:tcPr>
          <w:p w:rsidR="001049D6" w:rsidRPr="005A760B" w:rsidRDefault="001049D6" w:rsidP="003C6633">
            <w:pPr>
              <w:pStyle w:val="cuadroCabe"/>
              <w:jc w:val="right"/>
              <w:rPr>
                <w:lang w:val="es-ES" w:eastAsia="es-ES"/>
              </w:rPr>
            </w:pPr>
            <w:r w:rsidRPr="005A760B">
              <w:rPr>
                <w:lang w:val="es-ES" w:eastAsia="es-ES"/>
              </w:rPr>
              <w:t>%</w:t>
            </w:r>
            <w:r w:rsidRPr="005A760B">
              <w:rPr>
                <w:lang w:val="es-ES" w:eastAsia="es-ES"/>
              </w:rPr>
              <w:br/>
              <w:t>ejecuci</w:t>
            </w:r>
            <w:r w:rsidR="003C6633">
              <w:rPr>
                <w:lang w:val="es-ES" w:eastAsia="es-ES"/>
              </w:rPr>
              <w:t>ó</w:t>
            </w:r>
            <w:r w:rsidRPr="005A760B">
              <w:rPr>
                <w:lang w:val="es-ES" w:eastAsia="es-ES"/>
              </w:rPr>
              <w:t>n</w:t>
            </w:r>
          </w:p>
        </w:tc>
        <w:tc>
          <w:tcPr>
            <w:tcW w:w="651" w:type="pct"/>
            <w:tcBorders>
              <w:top w:val="single" w:sz="4" w:space="0" w:color="000000"/>
              <w:left w:val="nil"/>
              <w:bottom w:val="single" w:sz="4" w:space="0" w:color="000000"/>
              <w:right w:val="nil"/>
            </w:tcBorders>
            <w:shd w:val="clear" w:color="000000" w:fill="F4B084"/>
            <w:vAlign w:val="center"/>
            <w:hideMark/>
          </w:tcPr>
          <w:p w:rsidR="001049D6" w:rsidRPr="005A760B" w:rsidRDefault="001049D6" w:rsidP="008857DE">
            <w:pPr>
              <w:pStyle w:val="cuadroCabe"/>
              <w:jc w:val="right"/>
              <w:rPr>
                <w:rFonts w:cs="Arial"/>
                <w:lang w:val="es-ES" w:eastAsia="es-ES"/>
              </w:rPr>
            </w:pPr>
            <w:r w:rsidRPr="005A760B">
              <w:rPr>
                <w:rFonts w:cs="Arial"/>
                <w:lang w:val="es-ES" w:eastAsia="es-ES"/>
              </w:rPr>
              <w:t>%</w:t>
            </w:r>
            <w:r w:rsidR="008857DE" w:rsidRPr="005A760B">
              <w:rPr>
                <w:rFonts w:cs="Arial"/>
                <w:lang w:val="es-ES" w:eastAsia="es-ES"/>
              </w:rPr>
              <w:t>V</w:t>
            </w:r>
            <w:r w:rsidRPr="005A760B">
              <w:rPr>
                <w:rFonts w:cs="Arial"/>
                <w:lang w:val="es-ES" w:eastAsia="es-ES"/>
              </w:rPr>
              <w:t>ariación 2018/17</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rPr>
                <w:lang w:val="es-ES" w:eastAsia="es-ES"/>
              </w:rPr>
            </w:pPr>
            <w:r w:rsidRPr="005A760B">
              <w:rPr>
                <w:lang w:val="es-ES" w:eastAsia="es-ES"/>
              </w:rPr>
              <w:t>1   Gastos de personal</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291,15</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280,75</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35,6</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96</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rPr>
                <w:lang w:val="es-ES" w:eastAsia="es-ES"/>
              </w:rPr>
            </w:pPr>
            <w:r w:rsidRPr="005A760B">
              <w:rPr>
                <w:lang w:val="es-ES" w:eastAsia="es-ES"/>
              </w:rPr>
              <w:t>1</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rPr>
                <w:lang w:val="es-ES" w:eastAsia="es-ES"/>
              </w:rPr>
            </w:pPr>
            <w:r w:rsidRPr="005A760B">
              <w:rPr>
                <w:lang w:val="es-ES" w:eastAsia="es-ES"/>
              </w:rPr>
              <w:t>2   Gastos en bienes corrientes y serv</w:t>
            </w:r>
            <w:r w:rsidRPr="005A760B">
              <w:rPr>
                <w:lang w:val="es-ES" w:eastAsia="es-ES"/>
              </w:rPr>
              <w:t>i</w:t>
            </w:r>
            <w:r w:rsidRPr="005A760B">
              <w:rPr>
                <w:lang w:val="es-ES" w:eastAsia="es-ES"/>
              </w:rPr>
              <w:t>cios</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292,56</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276,42</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35,1</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94</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rPr>
                <w:lang w:val="es-ES" w:eastAsia="es-ES"/>
              </w:rPr>
            </w:pPr>
            <w:r w:rsidRPr="005A760B">
              <w:rPr>
                <w:lang w:val="es-ES" w:eastAsia="es-ES"/>
              </w:rPr>
              <w:t>3</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rPr>
                <w:lang w:val="es-ES" w:eastAsia="es-ES"/>
              </w:rPr>
            </w:pPr>
            <w:r w:rsidRPr="005A760B">
              <w:rPr>
                <w:lang w:val="es-ES" w:eastAsia="es-ES"/>
              </w:rPr>
              <w:t>3   Gastos financieros</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3,36</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9290F">
            <w:pPr>
              <w:pStyle w:val="cuatexto"/>
              <w:jc w:val="right"/>
              <w:rPr>
                <w:lang w:val="es-ES" w:eastAsia="es-ES"/>
              </w:rPr>
            </w:pPr>
            <w:r w:rsidRPr="005A760B">
              <w:rPr>
                <w:lang w:val="es-ES" w:eastAsia="es-ES"/>
              </w:rPr>
              <w:t>2,2</w:t>
            </w:r>
            <w:r w:rsidR="00E9290F" w:rsidRPr="005A760B">
              <w:rPr>
                <w:lang w:val="es-ES" w:eastAsia="es-ES"/>
              </w:rPr>
              <w:t>7</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0,3</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67</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rPr>
                <w:lang w:val="es-ES" w:eastAsia="es-ES"/>
              </w:rPr>
            </w:pPr>
            <w:r w:rsidRPr="005A760B">
              <w:rPr>
                <w:lang w:val="es-ES" w:eastAsia="es-ES"/>
              </w:rPr>
              <w:t>-19</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rPr>
                <w:lang w:val="es-ES" w:eastAsia="es-ES"/>
              </w:rPr>
            </w:pPr>
            <w:r w:rsidRPr="005A760B">
              <w:rPr>
                <w:lang w:val="es-ES" w:eastAsia="es-ES"/>
              </w:rPr>
              <w:t>4   Transferencias corrientes</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74,48</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68,84</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8,7</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92</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rPr>
                <w:lang w:val="es-ES" w:eastAsia="es-ES"/>
              </w:rPr>
            </w:pPr>
            <w:r w:rsidRPr="005A760B">
              <w:rPr>
                <w:lang w:val="es-ES" w:eastAsia="es-ES"/>
              </w:rPr>
              <w:t>4</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rPr>
                <w:b/>
                <w:i/>
                <w:iCs/>
                <w:lang w:val="es-ES" w:eastAsia="es-ES"/>
              </w:rPr>
            </w:pPr>
            <w:r w:rsidRPr="005A760B">
              <w:rPr>
                <w:b/>
                <w:i/>
                <w:iCs/>
                <w:lang w:val="es-ES" w:eastAsia="es-ES"/>
              </w:rPr>
              <w:t xml:space="preserve">     Operaciones corrientes</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661,55</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628,28</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79,7</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95</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rPr>
                <w:b/>
                <w:i/>
                <w:iCs/>
                <w:lang w:val="es-ES" w:eastAsia="es-ES"/>
              </w:rPr>
            </w:pPr>
            <w:r w:rsidRPr="005A760B">
              <w:rPr>
                <w:b/>
                <w:i/>
                <w:iCs/>
                <w:lang w:val="es-ES" w:eastAsia="es-ES"/>
              </w:rPr>
              <w:t>2</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rPr>
                <w:lang w:val="es-ES" w:eastAsia="es-ES"/>
              </w:rPr>
            </w:pPr>
            <w:r w:rsidRPr="005A760B">
              <w:rPr>
                <w:lang w:val="es-ES" w:eastAsia="es-ES"/>
              </w:rPr>
              <w:t>5   Fondo de contingencia</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0,95</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0,00</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0,0</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0</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rPr>
                <w:b/>
                <w:bCs/>
                <w:i/>
                <w:iCs/>
                <w:lang w:val="es-ES" w:eastAsia="es-ES"/>
              </w:rPr>
            </w:pPr>
            <w:r w:rsidRPr="005A760B">
              <w:rPr>
                <w:b/>
                <w:bCs/>
                <w:i/>
                <w:iCs/>
                <w:lang w:val="es-ES" w:eastAsia="es-ES"/>
              </w:rPr>
              <w:t>-</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rPr>
                <w:b/>
                <w:i/>
                <w:iCs/>
                <w:lang w:val="es-ES" w:eastAsia="es-ES"/>
              </w:rPr>
            </w:pPr>
            <w:r w:rsidRPr="005A760B">
              <w:rPr>
                <w:b/>
                <w:i/>
                <w:iCs/>
                <w:lang w:val="es-ES" w:eastAsia="es-ES"/>
              </w:rPr>
              <w:t xml:space="preserve">     Fondo de </w:t>
            </w:r>
            <w:proofErr w:type="spellStart"/>
            <w:r w:rsidRPr="005A760B">
              <w:rPr>
                <w:b/>
                <w:i/>
                <w:iCs/>
                <w:lang w:val="es-ES" w:eastAsia="es-ES"/>
              </w:rPr>
              <w:t>contigencia</w:t>
            </w:r>
            <w:proofErr w:type="spellEnd"/>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0,95</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0,00</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0,0</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0</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rPr>
                <w:b/>
                <w:bCs/>
                <w:i/>
                <w:iCs/>
                <w:lang w:val="es-ES" w:eastAsia="es-ES"/>
              </w:rPr>
            </w:pPr>
            <w:r w:rsidRPr="005A760B">
              <w:rPr>
                <w:b/>
                <w:bCs/>
                <w:i/>
                <w:iCs/>
                <w:lang w:val="es-ES" w:eastAsia="es-ES"/>
              </w:rPr>
              <w:t>-</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rPr>
                <w:lang w:val="es-ES" w:eastAsia="es-ES"/>
              </w:rPr>
            </w:pPr>
            <w:r w:rsidRPr="005A760B">
              <w:rPr>
                <w:lang w:val="es-ES" w:eastAsia="es-ES"/>
              </w:rPr>
              <w:t>6   Inversiones reales</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263,85</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115,97</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14,7</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44</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rPr>
                <w:lang w:val="es-ES" w:eastAsia="es-ES"/>
              </w:rPr>
            </w:pPr>
            <w:r w:rsidRPr="005A760B">
              <w:rPr>
                <w:lang w:val="es-ES" w:eastAsia="es-ES"/>
              </w:rPr>
              <w:t>30</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rPr>
                <w:lang w:val="es-ES" w:eastAsia="es-ES"/>
              </w:rPr>
            </w:pPr>
            <w:r w:rsidRPr="005A760B">
              <w:rPr>
                <w:lang w:val="es-ES" w:eastAsia="es-ES"/>
              </w:rPr>
              <w:t>7   Transferencias de capital</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10,79</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9,12</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1,2</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85</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rPr>
                <w:lang w:val="es-ES" w:eastAsia="es-ES"/>
              </w:rPr>
            </w:pPr>
            <w:r w:rsidRPr="005A760B">
              <w:rPr>
                <w:lang w:val="es-ES" w:eastAsia="es-ES"/>
              </w:rPr>
              <w:t>2</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rPr>
                <w:b/>
                <w:i/>
                <w:iCs/>
                <w:lang w:val="es-ES" w:eastAsia="es-ES"/>
              </w:rPr>
            </w:pPr>
            <w:r w:rsidRPr="005A760B">
              <w:rPr>
                <w:b/>
                <w:i/>
                <w:iCs/>
                <w:lang w:val="es-ES" w:eastAsia="es-ES"/>
              </w:rPr>
              <w:t xml:space="preserve">     Operaciones de capital</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274,64</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125,09</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15,9</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46</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rPr>
                <w:b/>
                <w:bCs/>
                <w:i/>
                <w:iCs/>
                <w:lang w:val="es-ES" w:eastAsia="es-ES"/>
              </w:rPr>
            </w:pPr>
            <w:r w:rsidRPr="005A760B">
              <w:rPr>
                <w:b/>
                <w:bCs/>
                <w:i/>
                <w:iCs/>
                <w:lang w:val="es-ES" w:eastAsia="es-ES"/>
              </w:rPr>
              <w:t>27</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rPr>
                <w:lang w:val="es-ES" w:eastAsia="es-ES"/>
              </w:rPr>
            </w:pPr>
            <w:r w:rsidRPr="005A760B">
              <w:rPr>
                <w:lang w:val="es-ES" w:eastAsia="es-ES"/>
              </w:rPr>
              <w:t>8   Activos financieros</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4,00</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1,87</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0,2</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47</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rPr>
                <w:lang w:val="es-ES" w:eastAsia="es-ES"/>
              </w:rPr>
            </w:pPr>
            <w:r w:rsidRPr="005A760B">
              <w:rPr>
                <w:lang w:val="es-ES" w:eastAsia="es-ES"/>
              </w:rPr>
              <w:t>6</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rPr>
                <w:lang w:val="es-ES" w:eastAsia="es-ES"/>
              </w:rPr>
            </w:pPr>
            <w:r w:rsidRPr="005A760B">
              <w:rPr>
                <w:lang w:val="es-ES" w:eastAsia="es-ES"/>
              </w:rPr>
              <w:t>9   Pasivos financieros</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33,00</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32,74</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4,2</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lang w:val="es-ES" w:eastAsia="es-ES"/>
              </w:rPr>
            </w:pPr>
            <w:r w:rsidRPr="005A760B">
              <w:rPr>
                <w:lang w:val="es-ES" w:eastAsia="es-ES"/>
              </w:rPr>
              <w:t>99</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rPr>
                <w:lang w:val="es-ES" w:eastAsia="es-ES"/>
              </w:rPr>
            </w:pPr>
            <w:r w:rsidRPr="005A760B">
              <w:rPr>
                <w:lang w:val="es-ES" w:eastAsia="es-ES"/>
              </w:rPr>
              <w:t>-27</w:t>
            </w:r>
          </w:p>
        </w:tc>
      </w:tr>
      <w:tr w:rsidR="001049D6" w:rsidRPr="005A760B" w:rsidTr="007804CA">
        <w:trPr>
          <w:trHeight w:val="284"/>
          <w:jc w:val="center"/>
        </w:trPr>
        <w:tc>
          <w:tcPr>
            <w:tcW w:w="1943" w:type="pct"/>
            <w:tcBorders>
              <w:top w:val="single" w:sz="4" w:space="0" w:color="000000"/>
              <w:left w:val="nil"/>
              <w:bottom w:val="single" w:sz="4" w:space="0" w:color="000000"/>
            </w:tcBorders>
            <w:shd w:val="clear" w:color="auto" w:fill="auto"/>
            <w:vAlign w:val="center"/>
            <w:hideMark/>
          </w:tcPr>
          <w:p w:rsidR="001049D6" w:rsidRPr="005A760B" w:rsidRDefault="001049D6" w:rsidP="00E23BC4">
            <w:pPr>
              <w:pStyle w:val="cuatexto"/>
              <w:rPr>
                <w:b/>
                <w:i/>
                <w:iCs/>
                <w:lang w:val="es-ES" w:eastAsia="es-ES"/>
              </w:rPr>
            </w:pPr>
            <w:r w:rsidRPr="005A760B">
              <w:rPr>
                <w:b/>
                <w:i/>
                <w:iCs/>
                <w:lang w:val="es-ES" w:eastAsia="es-ES"/>
              </w:rPr>
              <w:t xml:space="preserve">     Operaciones financieras</w:t>
            </w:r>
          </w:p>
        </w:tc>
        <w:tc>
          <w:tcPr>
            <w:tcW w:w="588"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37,00</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C11722">
            <w:pPr>
              <w:pStyle w:val="cuatexto"/>
              <w:jc w:val="right"/>
              <w:rPr>
                <w:b/>
                <w:i/>
                <w:iCs/>
                <w:lang w:val="es-ES" w:eastAsia="es-ES"/>
              </w:rPr>
            </w:pPr>
            <w:r w:rsidRPr="005A760B">
              <w:rPr>
                <w:b/>
                <w:i/>
                <w:iCs/>
                <w:lang w:val="es-ES" w:eastAsia="es-ES"/>
              </w:rPr>
              <w:t>34,6</w:t>
            </w:r>
            <w:r w:rsidR="00C11722" w:rsidRPr="005A760B">
              <w:rPr>
                <w:b/>
                <w:i/>
                <w:iCs/>
                <w:lang w:val="es-ES" w:eastAsia="es-ES"/>
              </w:rPr>
              <w:t>1</w:t>
            </w:r>
          </w:p>
        </w:tc>
        <w:tc>
          <w:tcPr>
            <w:tcW w:w="536"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4,4</w:t>
            </w:r>
          </w:p>
        </w:tc>
        <w:tc>
          <w:tcPr>
            <w:tcW w:w="641" w:type="pct"/>
            <w:tcBorders>
              <w:top w:val="single" w:sz="4" w:space="0" w:color="000000"/>
              <w:bottom w:val="single" w:sz="4" w:space="0" w:color="000000"/>
            </w:tcBorders>
            <w:shd w:val="clear" w:color="auto" w:fill="auto"/>
            <w:vAlign w:val="center"/>
            <w:hideMark/>
          </w:tcPr>
          <w:p w:rsidR="001049D6" w:rsidRPr="005A760B" w:rsidRDefault="001049D6" w:rsidP="00E23BC4">
            <w:pPr>
              <w:pStyle w:val="cuatexto"/>
              <w:jc w:val="right"/>
              <w:rPr>
                <w:b/>
                <w:i/>
                <w:iCs/>
                <w:lang w:val="es-ES" w:eastAsia="es-ES"/>
              </w:rPr>
            </w:pPr>
            <w:r w:rsidRPr="005A760B">
              <w:rPr>
                <w:b/>
                <w:i/>
                <w:iCs/>
                <w:lang w:val="es-ES" w:eastAsia="es-ES"/>
              </w:rPr>
              <w:t>94</w:t>
            </w:r>
          </w:p>
        </w:tc>
        <w:tc>
          <w:tcPr>
            <w:tcW w:w="651" w:type="pct"/>
            <w:tcBorders>
              <w:top w:val="single" w:sz="4" w:space="0" w:color="000000"/>
              <w:bottom w:val="single" w:sz="4" w:space="0" w:color="000000"/>
              <w:right w:val="nil"/>
            </w:tcBorders>
            <w:shd w:val="clear" w:color="auto" w:fill="auto"/>
            <w:noWrap/>
            <w:vAlign w:val="center"/>
            <w:hideMark/>
          </w:tcPr>
          <w:p w:rsidR="001049D6" w:rsidRPr="005A760B" w:rsidRDefault="001049D6" w:rsidP="00E23BC4">
            <w:pPr>
              <w:pStyle w:val="cuatexto"/>
              <w:jc w:val="right"/>
              <w:rPr>
                <w:b/>
                <w:bCs/>
                <w:i/>
                <w:iCs/>
                <w:lang w:val="es-ES" w:eastAsia="es-ES"/>
              </w:rPr>
            </w:pPr>
            <w:r w:rsidRPr="005A760B">
              <w:rPr>
                <w:b/>
                <w:bCs/>
                <w:i/>
                <w:iCs/>
                <w:lang w:val="es-ES" w:eastAsia="es-ES"/>
              </w:rPr>
              <w:t>-26</w:t>
            </w:r>
          </w:p>
        </w:tc>
      </w:tr>
      <w:tr w:rsidR="001049D6" w:rsidRPr="005A760B" w:rsidTr="007804CA">
        <w:trPr>
          <w:trHeight w:val="284"/>
          <w:jc w:val="center"/>
        </w:trPr>
        <w:tc>
          <w:tcPr>
            <w:tcW w:w="1943" w:type="pct"/>
            <w:tcBorders>
              <w:top w:val="nil"/>
              <w:left w:val="nil"/>
              <w:bottom w:val="single" w:sz="4" w:space="0" w:color="000000"/>
              <w:right w:val="nil"/>
            </w:tcBorders>
            <w:shd w:val="clear" w:color="000000" w:fill="F4B084"/>
            <w:vAlign w:val="center"/>
            <w:hideMark/>
          </w:tcPr>
          <w:p w:rsidR="001049D6" w:rsidRPr="005A760B" w:rsidRDefault="001049D6" w:rsidP="00E23BC4">
            <w:pPr>
              <w:pStyle w:val="cuadroCabe"/>
              <w:rPr>
                <w:lang w:val="es-ES" w:eastAsia="es-ES"/>
              </w:rPr>
            </w:pPr>
            <w:r w:rsidRPr="005A760B">
              <w:rPr>
                <w:lang w:val="es-ES" w:eastAsia="es-ES"/>
              </w:rPr>
              <w:t xml:space="preserve"> Total</w:t>
            </w:r>
          </w:p>
        </w:tc>
        <w:tc>
          <w:tcPr>
            <w:tcW w:w="588" w:type="pct"/>
            <w:tcBorders>
              <w:top w:val="nil"/>
              <w:left w:val="nil"/>
              <w:bottom w:val="single" w:sz="4" w:space="0" w:color="000000"/>
              <w:right w:val="nil"/>
            </w:tcBorders>
            <w:shd w:val="clear" w:color="000000" w:fill="F4B084"/>
            <w:vAlign w:val="center"/>
            <w:hideMark/>
          </w:tcPr>
          <w:p w:rsidR="001049D6" w:rsidRPr="005A760B" w:rsidRDefault="001049D6" w:rsidP="00E23BC4">
            <w:pPr>
              <w:pStyle w:val="cuadroCabe"/>
              <w:jc w:val="right"/>
              <w:rPr>
                <w:lang w:val="es-ES" w:eastAsia="es-ES"/>
              </w:rPr>
            </w:pPr>
            <w:r w:rsidRPr="005A760B">
              <w:rPr>
                <w:lang w:val="es-ES" w:eastAsia="es-ES"/>
              </w:rPr>
              <w:t>974,14</w:t>
            </w:r>
          </w:p>
        </w:tc>
        <w:tc>
          <w:tcPr>
            <w:tcW w:w="641" w:type="pct"/>
            <w:tcBorders>
              <w:top w:val="nil"/>
              <w:left w:val="nil"/>
              <w:bottom w:val="single" w:sz="4" w:space="0" w:color="000000"/>
              <w:right w:val="nil"/>
            </w:tcBorders>
            <w:shd w:val="clear" w:color="000000" w:fill="F4B084"/>
            <w:vAlign w:val="center"/>
            <w:hideMark/>
          </w:tcPr>
          <w:p w:rsidR="001049D6" w:rsidRPr="005A760B" w:rsidRDefault="001049D6" w:rsidP="00E23BC4">
            <w:pPr>
              <w:pStyle w:val="cuadroCabe"/>
              <w:jc w:val="right"/>
              <w:rPr>
                <w:lang w:val="es-ES" w:eastAsia="es-ES"/>
              </w:rPr>
            </w:pPr>
            <w:r w:rsidRPr="005A760B">
              <w:rPr>
                <w:lang w:val="es-ES" w:eastAsia="es-ES"/>
              </w:rPr>
              <w:t>787,98</w:t>
            </w:r>
          </w:p>
        </w:tc>
        <w:tc>
          <w:tcPr>
            <w:tcW w:w="536" w:type="pct"/>
            <w:tcBorders>
              <w:top w:val="nil"/>
              <w:left w:val="nil"/>
              <w:bottom w:val="single" w:sz="4" w:space="0" w:color="000000"/>
              <w:right w:val="nil"/>
            </w:tcBorders>
            <w:shd w:val="clear" w:color="000000" w:fill="F4B084"/>
            <w:vAlign w:val="center"/>
            <w:hideMark/>
          </w:tcPr>
          <w:p w:rsidR="001049D6" w:rsidRPr="005A760B" w:rsidRDefault="001049D6" w:rsidP="00E23BC4">
            <w:pPr>
              <w:pStyle w:val="cuadroCabe"/>
              <w:jc w:val="right"/>
              <w:rPr>
                <w:lang w:val="es-ES" w:eastAsia="es-ES"/>
              </w:rPr>
            </w:pPr>
            <w:r w:rsidRPr="005A760B">
              <w:rPr>
                <w:lang w:val="es-ES" w:eastAsia="es-ES"/>
              </w:rPr>
              <w:t>100</w:t>
            </w:r>
          </w:p>
        </w:tc>
        <w:tc>
          <w:tcPr>
            <w:tcW w:w="641" w:type="pct"/>
            <w:tcBorders>
              <w:top w:val="nil"/>
              <w:left w:val="nil"/>
              <w:bottom w:val="single" w:sz="4" w:space="0" w:color="000000"/>
              <w:right w:val="nil"/>
            </w:tcBorders>
            <w:shd w:val="clear" w:color="000000" w:fill="F4B084"/>
            <w:vAlign w:val="center"/>
            <w:hideMark/>
          </w:tcPr>
          <w:p w:rsidR="001049D6" w:rsidRPr="005A760B" w:rsidRDefault="001049D6" w:rsidP="00E23BC4">
            <w:pPr>
              <w:pStyle w:val="cuadroCabe"/>
              <w:jc w:val="right"/>
              <w:rPr>
                <w:lang w:val="es-ES" w:eastAsia="es-ES"/>
              </w:rPr>
            </w:pPr>
            <w:r w:rsidRPr="005A760B">
              <w:rPr>
                <w:lang w:val="es-ES" w:eastAsia="es-ES"/>
              </w:rPr>
              <w:t>81</w:t>
            </w:r>
          </w:p>
        </w:tc>
        <w:tc>
          <w:tcPr>
            <w:tcW w:w="651" w:type="pct"/>
            <w:tcBorders>
              <w:top w:val="nil"/>
              <w:left w:val="nil"/>
              <w:bottom w:val="single" w:sz="4" w:space="0" w:color="000000"/>
              <w:right w:val="nil"/>
            </w:tcBorders>
            <w:shd w:val="clear" w:color="000000" w:fill="F4B084"/>
            <w:vAlign w:val="center"/>
            <w:hideMark/>
          </w:tcPr>
          <w:p w:rsidR="001049D6" w:rsidRPr="005A760B" w:rsidRDefault="001049D6" w:rsidP="00E23BC4">
            <w:pPr>
              <w:pStyle w:val="cuadroCabe"/>
              <w:jc w:val="right"/>
              <w:rPr>
                <w:rFonts w:cs="Arial"/>
                <w:bCs/>
                <w:lang w:val="es-ES" w:eastAsia="es-ES"/>
              </w:rPr>
            </w:pPr>
            <w:r w:rsidRPr="005A760B">
              <w:rPr>
                <w:rFonts w:cs="Arial"/>
                <w:bCs/>
                <w:lang w:val="es-ES" w:eastAsia="es-ES"/>
              </w:rPr>
              <w:t>4</w:t>
            </w:r>
          </w:p>
        </w:tc>
      </w:tr>
    </w:tbl>
    <w:p w:rsidR="001049D6" w:rsidRPr="005A760B" w:rsidRDefault="001049D6" w:rsidP="001049D6">
      <w:pPr>
        <w:pStyle w:val="texto"/>
        <w:spacing w:after="40"/>
        <w:rPr>
          <w:sz w:val="20"/>
          <w:szCs w:val="20"/>
        </w:rPr>
      </w:pPr>
    </w:p>
    <w:p w:rsidR="001049D6" w:rsidRPr="005A760B" w:rsidRDefault="001049D6" w:rsidP="00E23BC4">
      <w:pPr>
        <w:pStyle w:val="texto"/>
      </w:pPr>
      <w:r w:rsidRPr="005A760B">
        <w:t>Los créditos definitivos para el ejercicio 2018 ascendieron a 974,14 millones y se ejecutaron en un 81 por ciento. Los gastos corrientes y los relacionados con operaciones financieras presentan un grado de ejecución del 95 y del 94 por ciento respectivamente. Sin embargo, el grado de ejecución de los gastos de capital fue del 46 por ciento.</w:t>
      </w:r>
    </w:p>
    <w:p w:rsidR="001049D6" w:rsidRPr="005A760B" w:rsidRDefault="001049D6" w:rsidP="00E23BC4">
      <w:pPr>
        <w:pStyle w:val="texto"/>
      </w:pPr>
      <w:r w:rsidRPr="005A760B">
        <w:t>Los gastos del sector público local en 2018 ascendieron a 787,98 millones y fueron un cuatro por ciento superiores a los de 2017; destacan los gastos de personal y los gastos en bienes corrientes y servicios con porcentajes del 36 y 35 por ciento, respectivamente, sobre el total de gastos reconocidos. Por otro lado, la</w:t>
      </w:r>
      <w:r w:rsidR="005C7D90">
        <w:t>s inversiones</w:t>
      </w:r>
      <w:r w:rsidRPr="005A760B">
        <w:t xml:space="preserve"> representa</w:t>
      </w:r>
      <w:r w:rsidR="005C7D90">
        <w:t>n</w:t>
      </w:r>
      <w:r w:rsidRPr="005A760B">
        <w:t xml:space="preserve"> el 15 por ciento del total de gastos. </w:t>
      </w:r>
    </w:p>
    <w:p w:rsidR="001049D6" w:rsidRPr="005A760B" w:rsidRDefault="001049D6" w:rsidP="00E23BC4">
      <w:pPr>
        <w:pStyle w:val="texto"/>
      </w:pPr>
      <w:r w:rsidRPr="005A760B">
        <w:t>Las variaciones más significativas con respecto al año 2017 se dan en los gastos por operaciones financieras</w:t>
      </w:r>
      <w:r w:rsidR="00A97B3F">
        <w:t>,</w:t>
      </w:r>
      <w:r w:rsidRPr="005A760B">
        <w:t xml:space="preserve"> que disminuyen en un 26 por ciento</w:t>
      </w:r>
      <w:r w:rsidR="00A653B0">
        <w:t>,</w:t>
      </w:r>
      <w:r w:rsidRPr="005A760B">
        <w:t xml:space="preserve"> y en las operaciones de capital</w:t>
      </w:r>
      <w:r w:rsidR="00A653B0">
        <w:t>,</w:t>
      </w:r>
      <w:r w:rsidRPr="005A760B">
        <w:t xml:space="preserve"> que aumentan en un 27 por ciento respecto al año anterior, debido al incremento en los gastos de inversiones en correlación al i</w:t>
      </w:r>
      <w:r w:rsidRPr="005A760B">
        <w:t>n</w:t>
      </w:r>
      <w:r w:rsidRPr="005A760B">
        <w:t xml:space="preserve">cremento en ingresos por transferencias de capital. </w:t>
      </w:r>
    </w:p>
    <w:p w:rsidR="001049D6" w:rsidRPr="005A760B" w:rsidRDefault="001049D6" w:rsidP="00E23BC4">
      <w:pPr>
        <w:ind w:firstLine="284"/>
        <w:rPr>
          <w:spacing w:val="6"/>
          <w:sz w:val="26"/>
          <w:szCs w:val="24"/>
        </w:rPr>
      </w:pPr>
      <w:r w:rsidRPr="005A760B">
        <w:rPr>
          <w:spacing w:val="6"/>
          <w:sz w:val="26"/>
          <w:szCs w:val="24"/>
        </w:rPr>
        <w:t xml:space="preserve">El 86 por ciento del gasto total corresponde a los municipios y concejos y el 14 por ciento restante a mancomunidades y agrupaciones. </w:t>
      </w:r>
      <w:r w:rsidRPr="005A760B">
        <w:rPr>
          <w:spacing w:val="6"/>
          <w:sz w:val="26"/>
          <w:szCs w:val="24"/>
        </w:rPr>
        <w:br w:type="page"/>
      </w:r>
    </w:p>
    <w:p w:rsidR="001049D6" w:rsidRPr="005A760B" w:rsidRDefault="001049D6" w:rsidP="007804CA">
      <w:pPr>
        <w:pStyle w:val="texto"/>
        <w:spacing w:after="120"/>
      </w:pPr>
      <w:r w:rsidRPr="005A760B">
        <w:t>En el siguiente cuadro mostramos la clasificación funcional de estos gastos:</w:t>
      </w:r>
    </w:p>
    <w:p w:rsidR="006F6712" w:rsidRPr="005A760B" w:rsidRDefault="006F6712" w:rsidP="006F6712">
      <w:pPr>
        <w:pStyle w:val="texto"/>
        <w:spacing w:after="40"/>
        <w:jc w:val="right"/>
        <w:rPr>
          <w:i/>
          <w:sz w:val="20"/>
          <w:szCs w:val="20"/>
        </w:rPr>
      </w:pPr>
      <w:r w:rsidRPr="005A760B">
        <w:t xml:space="preserve">                                                </w:t>
      </w:r>
      <w:r w:rsidRPr="005A760B">
        <w:rPr>
          <w:sz w:val="20"/>
          <w:szCs w:val="20"/>
        </w:rPr>
        <w:t>(</w:t>
      </w:r>
      <w:r w:rsidRPr="005A760B">
        <w:rPr>
          <w:rFonts w:ascii="Arial Narrow" w:hAnsi="Arial Narrow"/>
          <w:sz w:val="20"/>
          <w:szCs w:val="20"/>
        </w:rPr>
        <w:t>en millones)</w:t>
      </w:r>
    </w:p>
    <w:tbl>
      <w:tblPr>
        <w:tblW w:w="5000" w:type="pct"/>
        <w:jc w:val="center"/>
        <w:tblCellMar>
          <w:left w:w="70" w:type="dxa"/>
          <w:right w:w="70" w:type="dxa"/>
        </w:tblCellMar>
        <w:tblLook w:val="04A0" w:firstRow="1" w:lastRow="0" w:firstColumn="1" w:lastColumn="0" w:noHBand="0" w:noVBand="1"/>
      </w:tblPr>
      <w:tblGrid>
        <w:gridCol w:w="4184"/>
        <w:gridCol w:w="1152"/>
        <w:gridCol w:w="1309"/>
        <w:gridCol w:w="1045"/>
        <w:gridCol w:w="1239"/>
      </w:tblGrid>
      <w:tr w:rsidR="005278F2" w:rsidRPr="005A760B" w:rsidTr="007103FA">
        <w:trPr>
          <w:trHeight w:val="450"/>
          <w:jc w:val="center"/>
        </w:trPr>
        <w:tc>
          <w:tcPr>
            <w:tcW w:w="2343" w:type="pct"/>
            <w:tcBorders>
              <w:top w:val="single" w:sz="4" w:space="0" w:color="auto"/>
              <w:left w:val="nil"/>
              <w:bottom w:val="single" w:sz="4" w:space="0" w:color="auto"/>
              <w:right w:val="nil"/>
            </w:tcBorders>
            <w:shd w:val="clear" w:color="000000" w:fill="FABF8F"/>
            <w:vAlign w:val="center"/>
            <w:hideMark/>
          </w:tcPr>
          <w:p w:rsidR="006F6712" w:rsidRPr="005A760B" w:rsidRDefault="006F6712" w:rsidP="006F6712">
            <w:pPr>
              <w:spacing w:after="0"/>
              <w:ind w:firstLine="0"/>
              <w:rPr>
                <w:rFonts w:ascii="Arial" w:hAnsi="Arial" w:cs="Arial"/>
                <w:sz w:val="18"/>
                <w:szCs w:val="18"/>
                <w:lang w:val="es-ES" w:eastAsia="es-ES"/>
              </w:rPr>
            </w:pPr>
            <w:r w:rsidRPr="005A760B">
              <w:rPr>
                <w:rFonts w:ascii="Arial" w:hAnsi="Arial" w:cs="Arial"/>
                <w:sz w:val="18"/>
                <w:szCs w:val="18"/>
                <w:lang w:val="es-ES" w:eastAsia="es-ES"/>
              </w:rPr>
              <w:t>Función</w:t>
            </w:r>
          </w:p>
        </w:tc>
        <w:tc>
          <w:tcPr>
            <w:tcW w:w="645" w:type="pct"/>
            <w:tcBorders>
              <w:top w:val="single" w:sz="4" w:space="0" w:color="auto"/>
              <w:left w:val="nil"/>
              <w:bottom w:val="single" w:sz="4" w:space="0" w:color="auto"/>
              <w:right w:val="nil"/>
            </w:tcBorders>
            <w:shd w:val="clear" w:color="000000" w:fill="FABF8F"/>
            <w:vAlign w:val="center"/>
            <w:hideMark/>
          </w:tcPr>
          <w:p w:rsidR="006F6712" w:rsidRPr="005A760B" w:rsidRDefault="006F6712" w:rsidP="006F6712">
            <w:pPr>
              <w:spacing w:after="0"/>
              <w:ind w:firstLine="0"/>
              <w:jc w:val="right"/>
              <w:rPr>
                <w:rFonts w:ascii="Arial" w:hAnsi="Arial" w:cs="Arial"/>
                <w:sz w:val="18"/>
                <w:szCs w:val="18"/>
                <w:lang w:val="es-ES" w:eastAsia="es-ES"/>
              </w:rPr>
            </w:pPr>
            <w:r w:rsidRPr="005A760B">
              <w:rPr>
                <w:rFonts w:ascii="Arial" w:hAnsi="Arial" w:cs="Arial"/>
                <w:sz w:val="18"/>
                <w:szCs w:val="18"/>
                <w:lang w:val="es-ES" w:eastAsia="es-ES"/>
              </w:rPr>
              <w:t>Importe 2017</w:t>
            </w:r>
          </w:p>
        </w:tc>
        <w:tc>
          <w:tcPr>
            <w:tcW w:w="733" w:type="pct"/>
            <w:tcBorders>
              <w:top w:val="single" w:sz="4" w:space="0" w:color="auto"/>
              <w:left w:val="nil"/>
              <w:bottom w:val="single" w:sz="4" w:space="0" w:color="auto"/>
              <w:right w:val="nil"/>
            </w:tcBorders>
            <w:shd w:val="clear" w:color="000000" w:fill="FABF8F"/>
            <w:vAlign w:val="center"/>
            <w:hideMark/>
          </w:tcPr>
          <w:p w:rsidR="006F6712" w:rsidRPr="005A760B" w:rsidRDefault="006F6712" w:rsidP="006F6712">
            <w:pPr>
              <w:spacing w:after="0"/>
              <w:ind w:firstLine="0"/>
              <w:jc w:val="right"/>
              <w:rPr>
                <w:rFonts w:ascii="Arial" w:hAnsi="Arial" w:cs="Arial"/>
                <w:sz w:val="18"/>
                <w:szCs w:val="18"/>
                <w:lang w:val="es-ES" w:eastAsia="es-ES"/>
              </w:rPr>
            </w:pPr>
            <w:r w:rsidRPr="005A760B">
              <w:rPr>
                <w:rFonts w:ascii="Arial" w:hAnsi="Arial" w:cs="Arial"/>
                <w:sz w:val="18"/>
                <w:szCs w:val="18"/>
                <w:lang w:val="es-ES" w:eastAsia="es-ES"/>
              </w:rPr>
              <w:t>Importe 2018</w:t>
            </w:r>
          </w:p>
        </w:tc>
        <w:tc>
          <w:tcPr>
            <w:tcW w:w="585" w:type="pct"/>
            <w:tcBorders>
              <w:top w:val="single" w:sz="4" w:space="0" w:color="auto"/>
              <w:left w:val="nil"/>
              <w:bottom w:val="single" w:sz="4" w:space="0" w:color="auto"/>
              <w:right w:val="nil"/>
            </w:tcBorders>
            <w:shd w:val="clear" w:color="000000" w:fill="FABF8F"/>
            <w:vAlign w:val="center"/>
            <w:hideMark/>
          </w:tcPr>
          <w:p w:rsidR="006F6712" w:rsidRPr="005A760B" w:rsidRDefault="006F6712" w:rsidP="006F6712">
            <w:pPr>
              <w:spacing w:after="0"/>
              <w:ind w:firstLine="0"/>
              <w:jc w:val="right"/>
              <w:rPr>
                <w:rFonts w:ascii="Arial" w:hAnsi="Arial" w:cs="Arial"/>
                <w:sz w:val="18"/>
                <w:szCs w:val="18"/>
                <w:lang w:val="es-ES" w:eastAsia="es-ES"/>
              </w:rPr>
            </w:pPr>
            <w:r w:rsidRPr="005A760B">
              <w:rPr>
                <w:rFonts w:ascii="Arial" w:hAnsi="Arial" w:cs="Arial"/>
                <w:sz w:val="18"/>
                <w:szCs w:val="18"/>
                <w:lang w:val="es-ES" w:eastAsia="es-ES"/>
              </w:rPr>
              <w:t>% s/Gasto total 2018</w:t>
            </w:r>
          </w:p>
        </w:tc>
        <w:tc>
          <w:tcPr>
            <w:tcW w:w="694" w:type="pct"/>
            <w:tcBorders>
              <w:top w:val="single" w:sz="4" w:space="0" w:color="auto"/>
              <w:left w:val="nil"/>
              <w:bottom w:val="single" w:sz="4" w:space="0" w:color="auto"/>
              <w:right w:val="nil"/>
            </w:tcBorders>
            <w:shd w:val="clear" w:color="000000" w:fill="FABF8F"/>
            <w:vAlign w:val="center"/>
            <w:hideMark/>
          </w:tcPr>
          <w:p w:rsidR="006F6712" w:rsidRPr="005A760B" w:rsidRDefault="006F6712" w:rsidP="007804CA">
            <w:pPr>
              <w:spacing w:after="0"/>
              <w:ind w:firstLine="0"/>
              <w:jc w:val="right"/>
              <w:rPr>
                <w:rFonts w:ascii="Arial" w:hAnsi="Arial" w:cs="Arial"/>
                <w:sz w:val="18"/>
                <w:szCs w:val="18"/>
                <w:lang w:val="es-ES" w:eastAsia="es-ES"/>
              </w:rPr>
            </w:pPr>
            <w:r w:rsidRPr="005A760B">
              <w:rPr>
                <w:rFonts w:ascii="Arial" w:hAnsi="Arial" w:cs="Arial"/>
                <w:sz w:val="18"/>
                <w:szCs w:val="18"/>
                <w:lang w:val="es-ES" w:eastAsia="es-ES"/>
              </w:rPr>
              <w:t xml:space="preserve">% </w:t>
            </w:r>
            <w:r w:rsidR="008857DE" w:rsidRPr="005A760B">
              <w:rPr>
                <w:rFonts w:ascii="Arial" w:hAnsi="Arial" w:cs="Arial"/>
                <w:sz w:val="18"/>
                <w:szCs w:val="18"/>
                <w:lang w:val="es-ES" w:eastAsia="es-ES"/>
              </w:rPr>
              <w:t>V</w:t>
            </w:r>
            <w:r w:rsidRPr="005A760B">
              <w:rPr>
                <w:rFonts w:ascii="Arial" w:hAnsi="Arial" w:cs="Arial"/>
                <w:sz w:val="18"/>
                <w:szCs w:val="18"/>
                <w:lang w:val="es-ES" w:eastAsia="es-ES"/>
              </w:rPr>
              <w:t>ar</w:t>
            </w:r>
            <w:r w:rsidR="007804CA">
              <w:rPr>
                <w:rFonts w:ascii="Arial" w:hAnsi="Arial" w:cs="Arial"/>
                <w:sz w:val="18"/>
                <w:szCs w:val="18"/>
                <w:lang w:val="es-ES" w:eastAsia="es-ES"/>
              </w:rPr>
              <w:t>iación</w:t>
            </w:r>
            <w:r w:rsidRPr="005A760B">
              <w:rPr>
                <w:rFonts w:ascii="Arial" w:hAnsi="Arial" w:cs="Arial"/>
                <w:sz w:val="18"/>
                <w:szCs w:val="18"/>
                <w:lang w:val="es-ES" w:eastAsia="es-ES"/>
              </w:rPr>
              <w:t xml:space="preserve"> 2018/2017</w:t>
            </w:r>
          </w:p>
        </w:tc>
      </w:tr>
      <w:tr w:rsidR="005278F2" w:rsidRPr="005A760B" w:rsidTr="007103FA">
        <w:trPr>
          <w:trHeight w:val="255"/>
          <w:jc w:val="center"/>
        </w:trPr>
        <w:tc>
          <w:tcPr>
            <w:tcW w:w="234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rPr>
                <w:rFonts w:ascii="Arial Narrow" w:hAnsi="Arial Narrow"/>
                <w:lang w:val="es-ES" w:eastAsia="es-ES"/>
              </w:rPr>
            </w:pPr>
            <w:r w:rsidRPr="005A760B">
              <w:rPr>
                <w:rFonts w:ascii="Arial Narrow" w:hAnsi="Arial Narrow"/>
                <w:lang w:val="es-ES" w:eastAsia="es-ES"/>
              </w:rPr>
              <w:t>Bienestar comunitario</w:t>
            </w:r>
          </w:p>
        </w:tc>
        <w:tc>
          <w:tcPr>
            <w:tcW w:w="64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104,45</w:t>
            </w:r>
          </w:p>
        </w:tc>
        <w:tc>
          <w:tcPr>
            <w:tcW w:w="73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108,48</w:t>
            </w:r>
          </w:p>
        </w:tc>
        <w:tc>
          <w:tcPr>
            <w:tcW w:w="58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14</w:t>
            </w:r>
          </w:p>
        </w:tc>
        <w:tc>
          <w:tcPr>
            <w:tcW w:w="694" w:type="pct"/>
            <w:tcBorders>
              <w:top w:val="nil"/>
              <w:left w:val="nil"/>
              <w:bottom w:val="single" w:sz="4" w:space="0" w:color="auto"/>
              <w:right w:val="nil"/>
            </w:tcBorders>
            <w:shd w:val="clear" w:color="auto" w:fill="auto"/>
            <w:noWrap/>
            <w:vAlign w:val="center"/>
            <w:hideMark/>
          </w:tcPr>
          <w:p w:rsidR="006F6712" w:rsidRPr="005A760B" w:rsidRDefault="006F6712" w:rsidP="007804CA">
            <w:pPr>
              <w:spacing w:after="0"/>
              <w:ind w:firstLine="0"/>
              <w:jc w:val="right"/>
              <w:rPr>
                <w:rFonts w:ascii="Calibri" w:hAnsi="Calibri" w:cs="Calibri"/>
                <w:lang w:val="es-ES" w:eastAsia="es-ES"/>
              </w:rPr>
            </w:pPr>
            <w:r w:rsidRPr="005A760B">
              <w:rPr>
                <w:rFonts w:ascii="Calibri" w:hAnsi="Calibri" w:cs="Calibri"/>
                <w:lang w:val="es-ES" w:eastAsia="es-ES"/>
              </w:rPr>
              <w:t>4</w:t>
            </w:r>
          </w:p>
        </w:tc>
      </w:tr>
      <w:tr w:rsidR="005278F2" w:rsidRPr="005A760B" w:rsidTr="007103FA">
        <w:trPr>
          <w:trHeight w:val="255"/>
          <w:jc w:val="center"/>
        </w:trPr>
        <w:tc>
          <w:tcPr>
            <w:tcW w:w="234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rPr>
                <w:rFonts w:ascii="Arial Narrow" w:hAnsi="Arial Narrow"/>
                <w:lang w:val="es-ES" w:eastAsia="es-ES"/>
              </w:rPr>
            </w:pPr>
            <w:r w:rsidRPr="005A760B">
              <w:rPr>
                <w:rFonts w:ascii="Arial Narrow" w:hAnsi="Arial Narrow"/>
                <w:lang w:val="es-ES" w:eastAsia="es-ES"/>
              </w:rPr>
              <w:t>Servicios de carácter general</w:t>
            </w:r>
          </w:p>
        </w:tc>
        <w:tc>
          <w:tcPr>
            <w:tcW w:w="64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87,34</w:t>
            </w:r>
          </w:p>
        </w:tc>
        <w:tc>
          <w:tcPr>
            <w:tcW w:w="73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92,34</w:t>
            </w:r>
          </w:p>
        </w:tc>
        <w:tc>
          <w:tcPr>
            <w:tcW w:w="58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12</w:t>
            </w:r>
          </w:p>
        </w:tc>
        <w:tc>
          <w:tcPr>
            <w:tcW w:w="694" w:type="pct"/>
            <w:tcBorders>
              <w:top w:val="nil"/>
              <w:left w:val="nil"/>
              <w:bottom w:val="single" w:sz="4" w:space="0" w:color="auto"/>
              <w:right w:val="nil"/>
            </w:tcBorders>
            <w:shd w:val="clear" w:color="auto" w:fill="auto"/>
            <w:noWrap/>
            <w:vAlign w:val="center"/>
            <w:hideMark/>
          </w:tcPr>
          <w:p w:rsidR="006F6712" w:rsidRPr="005A760B" w:rsidRDefault="006F6712" w:rsidP="007804CA">
            <w:pPr>
              <w:spacing w:after="0"/>
              <w:ind w:firstLine="0"/>
              <w:jc w:val="right"/>
              <w:rPr>
                <w:rFonts w:ascii="Calibri" w:hAnsi="Calibri" w:cs="Calibri"/>
                <w:lang w:val="es-ES" w:eastAsia="es-ES"/>
              </w:rPr>
            </w:pPr>
            <w:r w:rsidRPr="005A760B">
              <w:rPr>
                <w:rFonts w:ascii="Calibri" w:hAnsi="Calibri" w:cs="Calibri"/>
                <w:lang w:val="es-ES" w:eastAsia="es-ES"/>
              </w:rPr>
              <w:t>6</w:t>
            </w:r>
          </w:p>
        </w:tc>
      </w:tr>
      <w:tr w:rsidR="005278F2" w:rsidRPr="005A760B" w:rsidTr="007103FA">
        <w:trPr>
          <w:trHeight w:val="255"/>
          <w:jc w:val="center"/>
        </w:trPr>
        <w:tc>
          <w:tcPr>
            <w:tcW w:w="234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rPr>
                <w:rFonts w:ascii="Arial Narrow" w:hAnsi="Arial Narrow"/>
                <w:lang w:val="es-ES" w:eastAsia="es-ES"/>
              </w:rPr>
            </w:pPr>
            <w:r w:rsidRPr="005A760B">
              <w:rPr>
                <w:rFonts w:ascii="Arial Narrow" w:hAnsi="Arial Narrow"/>
                <w:lang w:val="es-ES" w:eastAsia="es-ES"/>
              </w:rPr>
              <w:t>Educación</w:t>
            </w:r>
          </w:p>
        </w:tc>
        <w:tc>
          <w:tcPr>
            <w:tcW w:w="64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66,36</w:t>
            </w:r>
          </w:p>
        </w:tc>
        <w:tc>
          <w:tcPr>
            <w:tcW w:w="73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70,41</w:t>
            </w:r>
          </w:p>
        </w:tc>
        <w:tc>
          <w:tcPr>
            <w:tcW w:w="58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9</w:t>
            </w:r>
          </w:p>
        </w:tc>
        <w:tc>
          <w:tcPr>
            <w:tcW w:w="694" w:type="pct"/>
            <w:tcBorders>
              <w:top w:val="nil"/>
              <w:left w:val="nil"/>
              <w:bottom w:val="single" w:sz="4" w:space="0" w:color="auto"/>
              <w:right w:val="nil"/>
            </w:tcBorders>
            <w:shd w:val="clear" w:color="auto" w:fill="auto"/>
            <w:noWrap/>
            <w:vAlign w:val="center"/>
            <w:hideMark/>
          </w:tcPr>
          <w:p w:rsidR="006F6712" w:rsidRPr="005A760B" w:rsidRDefault="006F6712" w:rsidP="007804CA">
            <w:pPr>
              <w:spacing w:after="0"/>
              <w:ind w:firstLine="0"/>
              <w:jc w:val="right"/>
              <w:rPr>
                <w:rFonts w:ascii="Calibri" w:hAnsi="Calibri" w:cs="Calibri"/>
                <w:lang w:val="es-ES" w:eastAsia="es-ES"/>
              </w:rPr>
            </w:pPr>
            <w:r w:rsidRPr="005A760B">
              <w:rPr>
                <w:rFonts w:ascii="Calibri" w:hAnsi="Calibri" w:cs="Calibri"/>
                <w:lang w:val="es-ES" w:eastAsia="es-ES"/>
              </w:rPr>
              <w:t>6</w:t>
            </w:r>
          </w:p>
        </w:tc>
      </w:tr>
      <w:tr w:rsidR="005278F2" w:rsidRPr="005A760B" w:rsidTr="007103FA">
        <w:trPr>
          <w:trHeight w:val="255"/>
          <w:jc w:val="center"/>
        </w:trPr>
        <w:tc>
          <w:tcPr>
            <w:tcW w:w="234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rPr>
                <w:rFonts w:ascii="Arial Narrow" w:hAnsi="Arial Narrow"/>
                <w:lang w:val="es-ES" w:eastAsia="es-ES"/>
              </w:rPr>
            </w:pPr>
            <w:r w:rsidRPr="005A760B">
              <w:rPr>
                <w:rFonts w:ascii="Arial Narrow" w:hAnsi="Arial Narrow"/>
                <w:lang w:val="es-ES" w:eastAsia="es-ES"/>
              </w:rPr>
              <w:t>Servicios sociales y promoción social</w:t>
            </w:r>
          </w:p>
        </w:tc>
        <w:tc>
          <w:tcPr>
            <w:tcW w:w="64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66,80</w:t>
            </w:r>
          </w:p>
        </w:tc>
        <w:tc>
          <w:tcPr>
            <w:tcW w:w="73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67,45</w:t>
            </w:r>
          </w:p>
        </w:tc>
        <w:tc>
          <w:tcPr>
            <w:tcW w:w="58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9</w:t>
            </w:r>
          </w:p>
        </w:tc>
        <w:tc>
          <w:tcPr>
            <w:tcW w:w="694" w:type="pct"/>
            <w:tcBorders>
              <w:top w:val="nil"/>
              <w:left w:val="nil"/>
              <w:bottom w:val="single" w:sz="4" w:space="0" w:color="auto"/>
              <w:right w:val="nil"/>
            </w:tcBorders>
            <w:shd w:val="clear" w:color="auto" w:fill="auto"/>
            <w:noWrap/>
            <w:vAlign w:val="center"/>
            <w:hideMark/>
          </w:tcPr>
          <w:p w:rsidR="006F6712" w:rsidRPr="005A760B" w:rsidRDefault="006F6712" w:rsidP="007804CA">
            <w:pPr>
              <w:spacing w:after="0"/>
              <w:ind w:firstLine="0"/>
              <w:jc w:val="right"/>
              <w:rPr>
                <w:rFonts w:ascii="Calibri" w:hAnsi="Calibri" w:cs="Calibri"/>
                <w:lang w:val="es-ES" w:eastAsia="es-ES"/>
              </w:rPr>
            </w:pPr>
            <w:r w:rsidRPr="005A760B">
              <w:rPr>
                <w:rFonts w:ascii="Calibri" w:hAnsi="Calibri" w:cs="Calibri"/>
                <w:lang w:val="es-ES" w:eastAsia="es-ES"/>
              </w:rPr>
              <w:t>1</w:t>
            </w:r>
          </w:p>
        </w:tc>
      </w:tr>
      <w:tr w:rsidR="005278F2" w:rsidRPr="005A760B" w:rsidTr="007103FA">
        <w:trPr>
          <w:trHeight w:val="255"/>
          <w:jc w:val="center"/>
        </w:trPr>
        <w:tc>
          <w:tcPr>
            <w:tcW w:w="234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rPr>
                <w:rFonts w:ascii="Arial Narrow" w:hAnsi="Arial Narrow"/>
                <w:lang w:val="es-ES" w:eastAsia="es-ES"/>
              </w:rPr>
            </w:pPr>
            <w:r w:rsidRPr="005A760B">
              <w:rPr>
                <w:rFonts w:ascii="Arial Narrow" w:hAnsi="Arial Narrow"/>
                <w:lang w:val="es-ES" w:eastAsia="es-ES"/>
              </w:rPr>
              <w:t>Cultura</w:t>
            </w:r>
          </w:p>
        </w:tc>
        <w:tc>
          <w:tcPr>
            <w:tcW w:w="64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57,43</w:t>
            </w:r>
          </w:p>
        </w:tc>
        <w:tc>
          <w:tcPr>
            <w:tcW w:w="73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64,78</w:t>
            </w:r>
          </w:p>
        </w:tc>
        <w:tc>
          <w:tcPr>
            <w:tcW w:w="58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8</w:t>
            </w:r>
          </w:p>
        </w:tc>
        <w:tc>
          <w:tcPr>
            <w:tcW w:w="694" w:type="pct"/>
            <w:tcBorders>
              <w:top w:val="nil"/>
              <w:left w:val="nil"/>
              <w:bottom w:val="single" w:sz="4" w:space="0" w:color="auto"/>
              <w:right w:val="nil"/>
            </w:tcBorders>
            <w:shd w:val="clear" w:color="auto" w:fill="auto"/>
            <w:noWrap/>
            <w:vAlign w:val="center"/>
            <w:hideMark/>
          </w:tcPr>
          <w:p w:rsidR="006F6712" w:rsidRPr="005A760B" w:rsidRDefault="006F6712" w:rsidP="007804CA">
            <w:pPr>
              <w:spacing w:after="0"/>
              <w:ind w:firstLine="0"/>
              <w:jc w:val="right"/>
              <w:rPr>
                <w:rFonts w:ascii="Calibri" w:hAnsi="Calibri" w:cs="Calibri"/>
                <w:lang w:val="es-ES" w:eastAsia="es-ES"/>
              </w:rPr>
            </w:pPr>
            <w:r w:rsidRPr="005A760B">
              <w:rPr>
                <w:rFonts w:ascii="Calibri" w:hAnsi="Calibri" w:cs="Calibri"/>
                <w:lang w:val="es-ES" w:eastAsia="es-ES"/>
              </w:rPr>
              <w:t>13</w:t>
            </w:r>
          </w:p>
        </w:tc>
      </w:tr>
      <w:tr w:rsidR="005278F2" w:rsidRPr="005A760B" w:rsidTr="007103FA">
        <w:trPr>
          <w:trHeight w:val="255"/>
          <w:jc w:val="center"/>
        </w:trPr>
        <w:tc>
          <w:tcPr>
            <w:tcW w:w="234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rPr>
                <w:rFonts w:ascii="Arial Narrow" w:hAnsi="Arial Narrow"/>
                <w:lang w:val="es-ES" w:eastAsia="es-ES"/>
              </w:rPr>
            </w:pPr>
            <w:r w:rsidRPr="005A760B">
              <w:rPr>
                <w:rFonts w:ascii="Arial Narrow" w:hAnsi="Arial Narrow"/>
                <w:lang w:val="es-ES" w:eastAsia="es-ES"/>
              </w:rPr>
              <w:t>Vivienda y urbanismo</w:t>
            </w:r>
          </w:p>
        </w:tc>
        <w:tc>
          <w:tcPr>
            <w:tcW w:w="64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59,79</w:t>
            </w:r>
          </w:p>
        </w:tc>
        <w:tc>
          <w:tcPr>
            <w:tcW w:w="73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63,33</w:t>
            </w:r>
          </w:p>
        </w:tc>
        <w:tc>
          <w:tcPr>
            <w:tcW w:w="58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8</w:t>
            </w:r>
          </w:p>
        </w:tc>
        <w:tc>
          <w:tcPr>
            <w:tcW w:w="694" w:type="pct"/>
            <w:tcBorders>
              <w:top w:val="nil"/>
              <w:left w:val="nil"/>
              <w:bottom w:val="single" w:sz="4" w:space="0" w:color="auto"/>
              <w:right w:val="nil"/>
            </w:tcBorders>
            <w:shd w:val="clear" w:color="auto" w:fill="auto"/>
            <w:noWrap/>
            <w:vAlign w:val="center"/>
            <w:hideMark/>
          </w:tcPr>
          <w:p w:rsidR="006F6712" w:rsidRPr="005A760B" w:rsidRDefault="006F6712" w:rsidP="007804CA">
            <w:pPr>
              <w:spacing w:after="0"/>
              <w:ind w:firstLine="0"/>
              <w:jc w:val="right"/>
              <w:rPr>
                <w:rFonts w:ascii="Calibri" w:hAnsi="Calibri" w:cs="Calibri"/>
                <w:lang w:val="es-ES" w:eastAsia="es-ES"/>
              </w:rPr>
            </w:pPr>
            <w:r w:rsidRPr="005A760B">
              <w:rPr>
                <w:rFonts w:ascii="Calibri" w:hAnsi="Calibri" w:cs="Calibri"/>
                <w:lang w:val="es-ES" w:eastAsia="es-ES"/>
              </w:rPr>
              <w:t>6</w:t>
            </w:r>
          </w:p>
        </w:tc>
      </w:tr>
      <w:tr w:rsidR="005278F2" w:rsidRPr="005A760B" w:rsidTr="007103FA">
        <w:trPr>
          <w:trHeight w:val="255"/>
          <w:jc w:val="center"/>
        </w:trPr>
        <w:tc>
          <w:tcPr>
            <w:tcW w:w="234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rPr>
                <w:rFonts w:ascii="Arial Narrow" w:hAnsi="Arial Narrow"/>
                <w:lang w:val="es-ES" w:eastAsia="es-ES"/>
              </w:rPr>
            </w:pPr>
            <w:r w:rsidRPr="005A760B">
              <w:rPr>
                <w:rFonts w:ascii="Arial Narrow" w:hAnsi="Arial Narrow"/>
                <w:lang w:val="es-ES" w:eastAsia="es-ES"/>
              </w:rPr>
              <w:t>Seguridad y movilidad ciudadana</w:t>
            </w:r>
          </w:p>
        </w:tc>
        <w:tc>
          <w:tcPr>
            <w:tcW w:w="64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50,06</w:t>
            </w:r>
          </w:p>
        </w:tc>
        <w:tc>
          <w:tcPr>
            <w:tcW w:w="73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53,36</w:t>
            </w:r>
          </w:p>
        </w:tc>
        <w:tc>
          <w:tcPr>
            <w:tcW w:w="58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7</w:t>
            </w:r>
          </w:p>
        </w:tc>
        <w:tc>
          <w:tcPr>
            <w:tcW w:w="694" w:type="pct"/>
            <w:tcBorders>
              <w:top w:val="nil"/>
              <w:left w:val="nil"/>
              <w:bottom w:val="single" w:sz="4" w:space="0" w:color="auto"/>
              <w:right w:val="nil"/>
            </w:tcBorders>
            <w:shd w:val="clear" w:color="auto" w:fill="auto"/>
            <w:noWrap/>
            <w:vAlign w:val="center"/>
            <w:hideMark/>
          </w:tcPr>
          <w:p w:rsidR="006F6712" w:rsidRPr="005A760B" w:rsidRDefault="006F6712" w:rsidP="007804CA">
            <w:pPr>
              <w:spacing w:after="0"/>
              <w:ind w:firstLine="0"/>
              <w:jc w:val="right"/>
              <w:rPr>
                <w:rFonts w:ascii="Calibri" w:hAnsi="Calibri" w:cs="Calibri"/>
                <w:lang w:val="es-ES" w:eastAsia="es-ES"/>
              </w:rPr>
            </w:pPr>
            <w:r w:rsidRPr="005A760B">
              <w:rPr>
                <w:rFonts w:ascii="Calibri" w:hAnsi="Calibri" w:cs="Calibri"/>
                <w:lang w:val="es-ES" w:eastAsia="es-ES"/>
              </w:rPr>
              <w:t>7</w:t>
            </w:r>
          </w:p>
        </w:tc>
      </w:tr>
      <w:tr w:rsidR="005278F2" w:rsidRPr="005A760B" w:rsidTr="007103FA">
        <w:trPr>
          <w:trHeight w:val="255"/>
          <w:jc w:val="center"/>
        </w:trPr>
        <w:tc>
          <w:tcPr>
            <w:tcW w:w="234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rPr>
                <w:rFonts w:ascii="Arial Narrow" w:hAnsi="Arial Narrow"/>
                <w:lang w:val="es-ES" w:eastAsia="es-ES"/>
              </w:rPr>
            </w:pPr>
            <w:r w:rsidRPr="005A760B">
              <w:rPr>
                <w:rFonts w:ascii="Arial Narrow" w:hAnsi="Arial Narrow"/>
                <w:lang w:val="es-ES" w:eastAsia="es-ES"/>
              </w:rPr>
              <w:t>Pensiones</w:t>
            </w:r>
          </w:p>
        </w:tc>
        <w:tc>
          <w:tcPr>
            <w:tcW w:w="64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49,88</w:t>
            </w:r>
          </w:p>
        </w:tc>
        <w:tc>
          <w:tcPr>
            <w:tcW w:w="73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51,88</w:t>
            </w:r>
          </w:p>
        </w:tc>
        <w:tc>
          <w:tcPr>
            <w:tcW w:w="58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7</w:t>
            </w:r>
          </w:p>
        </w:tc>
        <w:tc>
          <w:tcPr>
            <w:tcW w:w="694" w:type="pct"/>
            <w:tcBorders>
              <w:top w:val="nil"/>
              <w:left w:val="nil"/>
              <w:bottom w:val="single" w:sz="4" w:space="0" w:color="auto"/>
              <w:right w:val="nil"/>
            </w:tcBorders>
            <w:shd w:val="clear" w:color="auto" w:fill="auto"/>
            <w:noWrap/>
            <w:vAlign w:val="center"/>
            <w:hideMark/>
          </w:tcPr>
          <w:p w:rsidR="006F6712" w:rsidRPr="005A760B" w:rsidRDefault="006F6712" w:rsidP="007804CA">
            <w:pPr>
              <w:spacing w:after="0"/>
              <w:ind w:firstLine="0"/>
              <w:jc w:val="right"/>
              <w:rPr>
                <w:rFonts w:ascii="Calibri" w:hAnsi="Calibri" w:cs="Calibri"/>
                <w:lang w:val="es-ES" w:eastAsia="es-ES"/>
              </w:rPr>
            </w:pPr>
            <w:r w:rsidRPr="005A760B">
              <w:rPr>
                <w:rFonts w:ascii="Calibri" w:hAnsi="Calibri" w:cs="Calibri"/>
                <w:lang w:val="es-ES" w:eastAsia="es-ES"/>
              </w:rPr>
              <w:t>4</w:t>
            </w:r>
          </w:p>
        </w:tc>
      </w:tr>
      <w:tr w:rsidR="005278F2" w:rsidRPr="005A760B" w:rsidTr="007103FA">
        <w:trPr>
          <w:trHeight w:val="255"/>
          <w:jc w:val="center"/>
        </w:trPr>
        <w:tc>
          <w:tcPr>
            <w:tcW w:w="234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rPr>
                <w:rFonts w:ascii="Arial Narrow" w:hAnsi="Arial Narrow"/>
                <w:lang w:val="es-ES" w:eastAsia="es-ES"/>
              </w:rPr>
            </w:pPr>
            <w:r w:rsidRPr="005A760B">
              <w:rPr>
                <w:rFonts w:ascii="Arial Narrow" w:hAnsi="Arial Narrow"/>
                <w:lang w:val="es-ES" w:eastAsia="es-ES"/>
              </w:rPr>
              <w:t>Deporte</w:t>
            </w:r>
          </w:p>
        </w:tc>
        <w:tc>
          <w:tcPr>
            <w:tcW w:w="64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41,07</w:t>
            </w:r>
          </w:p>
        </w:tc>
        <w:tc>
          <w:tcPr>
            <w:tcW w:w="73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48,81</w:t>
            </w:r>
          </w:p>
        </w:tc>
        <w:tc>
          <w:tcPr>
            <w:tcW w:w="58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6</w:t>
            </w:r>
          </w:p>
        </w:tc>
        <w:tc>
          <w:tcPr>
            <w:tcW w:w="694" w:type="pct"/>
            <w:tcBorders>
              <w:top w:val="nil"/>
              <w:left w:val="nil"/>
              <w:bottom w:val="single" w:sz="4" w:space="0" w:color="auto"/>
              <w:right w:val="nil"/>
            </w:tcBorders>
            <w:shd w:val="clear" w:color="auto" w:fill="auto"/>
            <w:noWrap/>
            <w:vAlign w:val="center"/>
            <w:hideMark/>
          </w:tcPr>
          <w:p w:rsidR="006F6712" w:rsidRPr="005A760B" w:rsidRDefault="006F6712" w:rsidP="007804CA">
            <w:pPr>
              <w:spacing w:after="0"/>
              <w:ind w:firstLine="0"/>
              <w:jc w:val="right"/>
              <w:rPr>
                <w:rFonts w:ascii="Calibri" w:hAnsi="Calibri" w:cs="Calibri"/>
                <w:lang w:val="es-ES" w:eastAsia="es-ES"/>
              </w:rPr>
            </w:pPr>
            <w:r w:rsidRPr="005A760B">
              <w:rPr>
                <w:rFonts w:ascii="Calibri" w:hAnsi="Calibri" w:cs="Calibri"/>
                <w:lang w:val="es-ES" w:eastAsia="es-ES"/>
              </w:rPr>
              <w:t>19</w:t>
            </w:r>
          </w:p>
        </w:tc>
      </w:tr>
      <w:tr w:rsidR="005278F2" w:rsidRPr="005A760B" w:rsidTr="007103FA">
        <w:trPr>
          <w:trHeight w:val="255"/>
          <w:jc w:val="center"/>
        </w:trPr>
        <w:tc>
          <w:tcPr>
            <w:tcW w:w="234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rPr>
                <w:rFonts w:ascii="Arial Narrow" w:hAnsi="Arial Narrow"/>
                <w:lang w:val="es-ES" w:eastAsia="es-ES"/>
              </w:rPr>
            </w:pPr>
            <w:r w:rsidRPr="005A760B">
              <w:rPr>
                <w:rFonts w:ascii="Arial Narrow" w:hAnsi="Arial Narrow"/>
                <w:lang w:val="es-ES" w:eastAsia="es-ES"/>
              </w:rPr>
              <w:t>Deuda pública</w:t>
            </w:r>
          </w:p>
        </w:tc>
        <w:tc>
          <w:tcPr>
            <w:tcW w:w="64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46,23</w:t>
            </w:r>
          </w:p>
        </w:tc>
        <w:tc>
          <w:tcPr>
            <w:tcW w:w="73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33,37</w:t>
            </w:r>
          </w:p>
        </w:tc>
        <w:tc>
          <w:tcPr>
            <w:tcW w:w="58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4</w:t>
            </w:r>
          </w:p>
        </w:tc>
        <w:tc>
          <w:tcPr>
            <w:tcW w:w="694" w:type="pct"/>
            <w:tcBorders>
              <w:top w:val="nil"/>
              <w:left w:val="nil"/>
              <w:bottom w:val="single" w:sz="4" w:space="0" w:color="auto"/>
              <w:right w:val="nil"/>
            </w:tcBorders>
            <w:shd w:val="clear" w:color="auto" w:fill="auto"/>
            <w:noWrap/>
            <w:vAlign w:val="center"/>
            <w:hideMark/>
          </w:tcPr>
          <w:p w:rsidR="006F6712" w:rsidRPr="005A760B" w:rsidRDefault="006F6712" w:rsidP="007804CA">
            <w:pPr>
              <w:spacing w:after="0"/>
              <w:ind w:firstLine="0"/>
              <w:jc w:val="right"/>
              <w:rPr>
                <w:rFonts w:ascii="Calibri" w:hAnsi="Calibri" w:cs="Calibri"/>
                <w:lang w:val="es-ES" w:eastAsia="es-ES"/>
              </w:rPr>
            </w:pPr>
            <w:r w:rsidRPr="005A760B">
              <w:rPr>
                <w:rFonts w:ascii="Calibri" w:hAnsi="Calibri" w:cs="Calibri"/>
                <w:lang w:val="es-ES" w:eastAsia="es-ES"/>
              </w:rPr>
              <w:t>-28</w:t>
            </w:r>
          </w:p>
        </w:tc>
      </w:tr>
      <w:tr w:rsidR="005278F2" w:rsidRPr="005A760B" w:rsidTr="007103FA">
        <w:trPr>
          <w:trHeight w:val="255"/>
          <w:jc w:val="center"/>
        </w:trPr>
        <w:tc>
          <w:tcPr>
            <w:tcW w:w="234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rPr>
                <w:rFonts w:ascii="Arial Narrow" w:hAnsi="Arial Narrow"/>
                <w:lang w:val="es-ES" w:eastAsia="es-ES"/>
              </w:rPr>
            </w:pPr>
            <w:r w:rsidRPr="005A760B">
              <w:rPr>
                <w:rFonts w:ascii="Arial Narrow" w:hAnsi="Arial Narrow"/>
                <w:lang w:val="es-ES" w:eastAsia="es-ES"/>
              </w:rPr>
              <w:t>Otras</w:t>
            </w:r>
          </w:p>
        </w:tc>
        <w:tc>
          <w:tcPr>
            <w:tcW w:w="64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122,62</w:t>
            </w:r>
          </w:p>
        </w:tc>
        <w:tc>
          <w:tcPr>
            <w:tcW w:w="733"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133,76</w:t>
            </w:r>
          </w:p>
        </w:tc>
        <w:tc>
          <w:tcPr>
            <w:tcW w:w="585" w:type="pct"/>
            <w:tcBorders>
              <w:top w:val="nil"/>
              <w:left w:val="nil"/>
              <w:bottom w:val="single" w:sz="4" w:space="0" w:color="auto"/>
              <w:right w:val="nil"/>
            </w:tcBorders>
            <w:shd w:val="clear" w:color="auto" w:fill="auto"/>
            <w:vAlign w:val="center"/>
            <w:hideMark/>
          </w:tcPr>
          <w:p w:rsidR="006F6712" w:rsidRPr="005A760B" w:rsidRDefault="006F6712" w:rsidP="006F6712">
            <w:pPr>
              <w:spacing w:after="0"/>
              <w:ind w:firstLine="0"/>
              <w:jc w:val="right"/>
              <w:rPr>
                <w:rFonts w:ascii="Arial Narrow" w:hAnsi="Arial Narrow"/>
                <w:lang w:val="es-ES" w:eastAsia="es-ES"/>
              </w:rPr>
            </w:pPr>
            <w:r w:rsidRPr="005A760B">
              <w:rPr>
                <w:rFonts w:ascii="Arial Narrow" w:hAnsi="Arial Narrow"/>
                <w:lang w:val="es-ES" w:eastAsia="es-ES"/>
              </w:rPr>
              <w:t>17</w:t>
            </w:r>
          </w:p>
        </w:tc>
        <w:tc>
          <w:tcPr>
            <w:tcW w:w="694" w:type="pct"/>
            <w:tcBorders>
              <w:top w:val="nil"/>
              <w:left w:val="nil"/>
              <w:bottom w:val="single" w:sz="4" w:space="0" w:color="auto"/>
              <w:right w:val="nil"/>
            </w:tcBorders>
            <w:shd w:val="clear" w:color="auto" w:fill="auto"/>
            <w:noWrap/>
            <w:vAlign w:val="center"/>
            <w:hideMark/>
          </w:tcPr>
          <w:p w:rsidR="006F6712" w:rsidRPr="005A760B" w:rsidRDefault="006F6712" w:rsidP="007804CA">
            <w:pPr>
              <w:spacing w:after="0"/>
              <w:ind w:firstLine="0"/>
              <w:jc w:val="right"/>
              <w:rPr>
                <w:rFonts w:ascii="Calibri" w:hAnsi="Calibri" w:cs="Calibri"/>
                <w:lang w:val="es-ES" w:eastAsia="es-ES"/>
              </w:rPr>
            </w:pPr>
            <w:r w:rsidRPr="005A760B">
              <w:rPr>
                <w:rFonts w:ascii="Calibri" w:hAnsi="Calibri" w:cs="Calibri"/>
                <w:lang w:val="es-ES" w:eastAsia="es-ES"/>
              </w:rPr>
              <w:t>9</w:t>
            </w:r>
          </w:p>
        </w:tc>
      </w:tr>
      <w:tr w:rsidR="005278F2" w:rsidRPr="005A760B" w:rsidTr="007103FA">
        <w:trPr>
          <w:trHeight w:val="330"/>
          <w:jc w:val="center"/>
        </w:trPr>
        <w:tc>
          <w:tcPr>
            <w:tcW w:w="2343" w:type="pct"/>
            <w:tcBorders>
              <w:top w:val="nil"/>
              <w:left w:val="nil"/>
              <w:bottom w:val="single" w:sz="4" w:space="0" w:color="auto"/>
              <w:right w:val="nil"/>
            </w:tcBorders>
            <w:shd w:val="clear" w:color="000000" w:fill="FABF8F"/>
            <w:vAlign w:val="center"/>
            <w:hideMark/>
          </w:tcPr>
          <w:p w:rsidR="006F6712" w:rsidRPr="005A760B" w:rsidRDefault="006F6712" w:rsidP="006F6712">
            <w:pPr>
              <w:spacing w:after="0"/>
              <w:ind w:firstLine="0"/>
              <w:rPr>
                <w:rFonts w:ascii="Arial" w:hAnsi="Arial" w:cs="Arial"/>
                <w:sz w:val="18"/>
                <w:szCs w:val="18"/>
                <w:lang w:val="es-ES" w:eastAsia="es-ES"/>
              </w:rPr>
            </w:pPr>
            <w:r w:rsidRPr="005A760B">
              <w:rPr>
                <w:rFonts w:ascii="Arial" w:hAnsi="Arial" w:cs="Arial"/>
                <w:sz w:val="18"/>
                <w:szCs w:val="18"/>
                <w:lang w:val="es-ES" w:eastAsia="es-ES"/>
              </w:rPr>
              <w:t>Total</w:t>
            </w:r>
          </w:p>
        </w:tc>
        <w:tc>
          <w:tcPr>
            <w:tcW w:w="645" w:type="pct"/>
            <w:tcBorders>
              <w:top w:val="nil"/>
              <w:left w:val="nil"/>
              <w:bottom w:val="single" w:sz="4" w:space="0" w:color="auto"/>
              <w:right w:val="nil"/>
            </w:tcBorders>
            <w:shd w:val="clear" w:color="000000" w:fill="FABF8F"/>
            <w:vAlign w:val="center"/>
            <w:hideMark/>
          </w:tcPr>
          <w:p w:rsidR="006F6712" w:rsidRPr="005A760B" w:rsidRDefault="006F6712" w:rsidP="006F6712">
            <w:pPr>
              <w:spacing w:after="0"/>
              <w:ind w:firstLine="0"/>
              <w:jc w:val="right"/>
              <w:rPr>
                <w:rFonts w:ascii="Arial" w:hAnsi="Arial" w:cs="Arial"/>
                <w:sz w:val="18"/>
                <w:szCs w:val="18"/>
                <w:lang w:val="es-ES" w:eastAsia="es-ES"/>
              </w:rPr>
            </w:pPr>
            <w:r w:rsidRPr="005A760B">
              <w:rPr>
                <w:rFonts w:ascii="Arial" w:hAnsi="Arial" w:cs="Arial"/>
                <w:sz w:val="18"/>
                <w:szCs w:val="18"/>
                <w:lang w:val="es-ES" w:eastAsia="es-ES"/>
              </w:rPr>
              <w:t>752,03</w:t>
            </w:r>
          </w:p>
        </w:tc>
        <w:tc>
          <w:tcPr>
            <w:tcW w:w="733" w:type="pct"/>
            <w:tcBorders>
              <w:top w:val="nil"/>
              <w:left w:val="nil"/>
              <w:bottom w:val="single" w:sz="4" w:space="0" w:color="auto"/>
              <w:right w:val="nil"/>
            </w:tcBorders>
            <w:shd w:val="clear" w:color="000000" w:fill="FABF8F"/>
            <w:vAlign w:val="center"/>
            <w:hideMark/>
          </w:tcPr>
          <w:p w:rsidR="006F6712" w:rsidRPr="005A760B" w:rsidRDefault="006F6712" w:rsidP="006F6712">
            <w:pPr>
              <w:spacing w:after="0"/>
              <w:ind w:firstLine="0"/>
              <w:jc w:val="right"/>
              <w:rPr>
                <w:rFonts w:ascii="Arial" w:hAnsi="Arial" w:cs="Arial"/>
                <w:sz w:val="18"/>
                <w:szCs w:val="18"/>
                <w:lang w:val="es-ES" w:eastAsia="es-ES"/>
              </w:rPr>
            </w:pPr>
            <w:r w:rsidRPr="005A760B">
              <w:rPr>
                <w:rFonts w:ascii="Arial" w:hAnsi="Arial" w:cs="Arial"/>
                <w:sz w:val="18"/>
                <w:szCs w:val="18"/>
                <w:lang w:val="es-ES" w:eastAsia="es-ES"/>
              </w:rPr>
              <w:t>787,98</w:t>
            </w:r>
          </w:p>
        </w:tc>
        <w:tc>
          <w:tcPr>
            <w:tcW w:w="585" w:type="pct"/>
            <w:tcBorders>
              <w:top w:val="nil"/>
              <w:left w:val="nil"/>
              <w:bottom w:val="single" w:sz="4" w:space="0" w:color="auto"/>
              <w:right w:val="nil"/>
            </w:tcBorders>
            <w:shd w:val="clear" w:color="000000" w:fill="FABF8F"/>
            <w:vAlign w:val="center"/>
            <w:hideMark/>
          </w:tcPr>
          <w:p w:rsidR="006F6712" w:rsidRPr="005A760B" w:rsidRDefault="006F6712" w:rsidP="006F6712">
            <w:pPr>
              <w:spacing w:after="0"/>
              <w:ind w:firstLine="0"/>
              <w:jc w:val="right"/>
              <w:rPr>
                <w:rFonts w:ascii="Arial" w:hAnsi="Arial" w:cs="Arial"/>
                <w:sz w:val="18"/>
                <w:szCs w:val="18"/>
                <w:lang w:val="es-ES" w:eastAsia="es-ES"/>
              </w:rPr>
            </w:pPr>
            <w:r w:rsidRPr="005A760B">
              <w:rPr>
                <w:rFonts w:ascii="Arial" w:hAnsi="Arial" w:cs="Arial"/>
                <w:sz w:val="18"/>
                <w:szCs w:val="18"/>
                <w:lang w:val="es-ES" w:eastAsia="es-ES"/>
              </w:rPr>
              <w:t>100</w:t>
            </w:r>
          </w:p>
        </w:tc>
        <w:tc>
          <w:tcPr>
            <w:tcW w:w="694" w:type="pct"/>
            <w:tcBorders>
              <w:top w:val="nil"/>
              <w:left w:val="nil"/>
              <w:bottom w:val="single" w:sz="4" w:space="0" w:color="auto"/>
              <w:right w:val="nil"/>
            </w:tcBorders>
            <w:shd w:val="clear" w:color="000000" w:fill="FABF8F"/>
            <w:vAlign w:val="center"/>
            <w:hideMark/>
          </w:tcPr>
          <w:p w:rsidR="006F6712" w:rsidRPr="005A760B" w:rsidRDefault="006F6712" w:rsidP="007804CA">
            <w:pPr>
              <w:spacing w:after="0"/>
              <w:ind w:firstLine="0"/>
              <w:jc w:val="right"/>
              <w:rPr>
                <w:rFonts w:ascii="Arial" w:hAnsi="Arial" w:cs="Arial"/>
                <w:sz w:val="18"/>
                <w:szCs w:val="18"/>
                <w:lang w:val="es-ES" w:eastAsia="es-ES"/>
              </w:rPr>
            </w:pPr>
            <w:r w:rsidRPr="005A760B">
              <w:rPr>
                <w:rFonts w:ascii="Arial" w:hAnsi="Arial" w:cs="Arial"/>
                <w:sz w:val="18"/>
                <w:szCs w:val="18"/>
                <w:lang w:val="es-ES" w:eastAsia="es-ES"/>
              </w:rPr>
              <w:t>5</w:t>
            </w:r>
          </w:p>
        </w:tc>
      </w:tr>
    </w:tbl>
    <w:p w:rsidR="001049D6" w:rsidRPr="005A760B" w:rsidRDefault="001049D6" w:rsidP="00000E86">
      <w:pPr>
        <w:pStyle w:val="texto"/>
        <w:spacing w:before="200" w:after="120"/>
      </w:pPr>
      <w:r w:rsidRPr="005A760B">
        <w:t>El bienestar comunitario (recogida, gestión y tratamiento de residuos, aba</w:t>
      </w:r>
      <w:r w:rsidRPr="005A760B">
        <w:t>s</w:t>
      </w:r>
      <w:r w:rsidRPr="005A760B">
        <w:t>tecimiento de agua, alumbrado o limpieza entre otros) es la política de gasto que supuso un mayor importe en 2018 en el sector público local con 108,48 m</w:t>
      </w:r>
      <w:r w:rsidRPr="005A760B">
        <w:t>i</w:t>
      </w:r>
      <w:r w:rsidRPr="005A760B">
        <w:t>llones (14 por ciento del total), seguida de los servicios de carácter general que supusieron el 12 por ciento con 92,34 millones.</w:t>
      </w:r>
    </w:p>
    <w:p w:rsidR="001049D6" w:rsidRPr="005A760B" w:rsidRDefault="001049D6" w:rsidP="00000E86">
      <w:pPr>
        <w:pStyle w:val="texto"/>
        <w:spacing w:after="240"/>
      </w:pPr>
      <w:r w:rsidRPr="005A760B">
        <w:t xml:space="preserve">La única política de gasto que disminuye respecto al año anterior es la de la deuda pública, </w:t>
      </w:r>
      <w:r w:rsidR="00E9290F" w:rsidRPr="005A760B">
        <w:t xml:space="preserve">con una variación </w:t>
      </w:r>
      <w:r w:rsidR="006F6712" w:rsidRPr="005A760B">
        <w:t>del</w:t>
      </w:r>
      <w:r w:rsidR="00E9290F" w:rsidRPr="005A760B">
        <w:t xml:space="preserve"> 28</w:t>
      </w:r>
      <w:r w:rsidRPr="005A760B">
        <w:t xml:space="preserve"> por ciento. El resto </w:t>
      </w:r>
      <w:r w:rsidR="008A5FED" w:rsidRPr="005A760B">
        <w:t>de políticas de ga</w:t>
      </w:r>
      <w:r w:rsidR="008A5FED" w:rsidRPr="005A760B">
        <w:t>s</w:t>
      </w:r>
      <w:r w:rsidR="008A5FED" w:rsidRPr="005A760B">
        <w:t>to han aumentado respecto al año 2017.</w:t>
      </w:r>
      <w:r w:rsidR="005F216E" w:rsidRPr="005A760B">
        <w:t xml:space="preserve"> </w:t>
      </w:r>
    </w:p>
    <w:p w:rsidR="001049D6" w:rsidRPr="005A760B" w:rsidRDefault="001049D6" w:rsidP="001049D6">
      <w:pPr>
        <w:pStyle w:val="atitulo2"/>
        <w:spacing w:before="180" w:after="120"/>
        <w:rPr>
          <w:color w:val="auto"/>
        </w:rPr>
      </w:pPr>
      <w:bookmarkStart w:id="66" w:name="_Toc465686690"/>
      <w:bookmarkStart w:id="67" w:name="_Toc529773884"/>
      <w:bookmarkStart w:id="68" w:name="_Toc24100145"/>
      <w:bookmarkStart w:id="69" w:name="_Toc52348293"/>
      <w:bookmarkStart w:id="70" w:name="_Toc54691926"/>
      <w:r w:rsidRPr="005A760B">
        <w:rPr>
          <w:color w:val="auto"/>
        </w:rPr>
        <w:t xml:space="preserve">V.3. </w:t>
      </w:r>
      <w:bookmarkEnd w:id="66"/>
      <w:r w:rsidRPr="005A760B">
        <w:rPr>
          <w:color w:val="auto"/>
        </w:rPr>
        <w:t>Indicadores</w:t>
      </w:r>
      <w:bookmarkEnd w:id="67"/>
      <w:bookmarkEnd w:id="68"/>
      <w:bookmarkEnd w:id="69"/>
      <w:bookmarkEnd w:id="70"/>
    </w:p>
    <w:p w:rsidR="001049D6" w:rsidRPr="005A760B" w:rsidRDefault="001049D6" w:rsidP="00E23BC4">
      <w:pPr>
        <w:pStyle w:val="texto"/>
        <w:spacing w:after="240"/>
      </w:pPr>
      <w:r w:rsidRPr="005A760B">
        <w:t>En el siguiente cuadro mostramos la evolución y distribución de cada 100 euros gastados en el sector público local y su financiación:</w:t>
      </w:r>
    </w:p>
    <w:tbl>
      <w:tblPr>
        <w:tblW w:w="877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56"/>
        <w:gridCol w:w="1125"/>
        <w:gridCol w:w="641"/>
        <w:gridCol w:w="2689"/>
        <w:gridCol w:w="1023"/>
        <w:gridCol w:w="644"/>
      </w:tblGrid>
      <w:tr w:rsidR="001049D6" w:rsidRPr="005A760B" w:rsidTr="007103FA">
        <w:trPr>
          <w:trHeight w:val="312"/>
          <w:jc w:val="center"/>
        </w:trPr>
        <w:tc>
          <w:tcPr>
            <w:tcW w:w="2656" w:type="dxa"/>
            <w:shd w:val="clear" w:color="auto" w:fill="FABF8F" w:themeFill="accent6" w:themeFillTint="99"/>
            <w:vAlign w:val="center"/>
          </w:tcPr>
          <w:p w:rsidR="001049D6" w:rsidRPr="005A760B" w:rsidRDefault="001049D6" w:rsidP="00E23BC4">
            <w:pPr>
              <w:pStyle w:val="cuadroCabe"/>
            </w:pPr>
            <w:r w:rsidRPr="005A760B">
              <w:t>Naturaleza del gasto</w:t>
            </w:r>
          </w:p>
        </w:tc>
        <w:tc>
          <w:tcPr>
            <w:tcW w:w="1125" w:type="dxa"/>
            <w:tcBorders>
              <w:right w:val="nil"/>
            </w:tcBorders>
            <w:shd w:val="clear" w:color="auto" w:fill="FABF8F" w:themeFill="accent6" w:themeFillTint="99"/>
            <w:vAlign w:val="center"/>
          </w:tcPr>
          <w:p w:rsidR="001049D6" w:rsidRPr="005A760B" w:rsidRDefault="001049D6" w:rsidP="00E23BC4">
            <w:pPr>
              <w:pStyle w:val="cuadroCabe"/>
              <w:jc w:val="right"/>
            </w:pPr>
            <w:r w:rsidRPr="005A760B">
              <w:t xml:space="preserve">2017 </w:t>
            </w:r>
          </w:p>
        </w:tc>
        <w:tc>
          <w:tcPr>
            <w:tcW w:w="641" w:type="dxa"/>
            <w:tcBorders>
              <w:left w:val="nil"/>
              <w:right w:val="single" w:sz="4" w:space="0" w:color="auto"/>
            </w:tcBorders>
            <w:shd w:val="clear" w:color="auto" w:fill="FABF8F" w:themeFill="accent6" w:themeFillTint="99"/>
            <w:vAlign w:val="center"/>
          </w:tcPr>
          <w:p w:rsidR="001049D6" w:rsidRPr="005A760B" w:rsidRDefault="001049D6" w:rsidP="00E23BC4">
            <w:pPr>
              <w:pStyle w:val="cuadroCabe"/>
              <w:jc w:val="right"/>
            </w:pPr>
            <w:r w:rsidRPr="005A760B">
              <w:t>2018</w:t>
            </w:r>
          </w:p>
        </w:tc>
        <w:tc>
          <w:tcPr>
            <w:tcW w:w="2689" w:type="dxa"/>
            <w:tcBorders>
              <w:left w:val="single" w:sz="4" w:space="0" w:color="auto"/>
            </w:tcBorders>
            <w:shd w:val="clear" w:color="auto" w:fill="FABF8F" w:themeFill="accent6" w:themeFillTint="99"/>
            <w:vAlign w:val="center"/>
          </w:tcPr>
          <w:p w:rsidR="001049D6" w:rsidRPr="005A760B" w:rsidRDefault="001049D6" w:rsidP="00E23BC4">
            <w:pPr>
              <w:pStyle w:val="cuadroCabe"/>
            </w:pPr>
            <w:r w:rsidRPr="005A760B">
              <w:t>Fuente de financiación</w:t>
            </w:r>
          </w:p>
        </w:tc>
        <w:tc>
          <w:tcPr>
            <w:tcW w:w="1023" w:type="dxa"/>
            <w:tcBorders>
              <w:right w:val="nil"/>
            </w:tcBorders>
            <w:shd w:val="clear" w:color="auto" w:fill="FABF8F" w:themeFill="accent6" w:themeFillTint="99"/>
            <w:vAlign w:val="center"/>
          </w:tcPr>
          <w:p w:rsidR="001049D6" w:rsidRPr="005A760B" w:rsidRDefault="001049D6" w:rsidP="00E23BC4">
            <w:pPr>
              <w:pStyle w:val="cuadroCabe"/>
              <w:jc w:val="right"/>
            </w:pPr>
            <w:r w:rsidRPr="005A760B">
              <w:t>2017</w:t>
            </w:r>
          </w:p>
        </w:tc>
        <w:tc>
          <w:tcPr>
            <w:tcW w:w="644" w:type="dxa"/>
            <w:tcBorders>
              <w:left w:val="nil"/>
            </w:tcBorders>
            <w:shd w:val="clear" w:color="auto" w:fill="FABF8F" w:themeFill="accent6" w:themeFillTint="99"/>
            <w:vAlign w:val="center"/>
          </w:tcPr>
          <w:p w:rsidR="001049D6" w:rsidRPr="005A760B" w:rsidRDefault="001049D6" w:rsidP="00E23BC4">
            <w:pPr>
              <w:pStyle w:val="cuadroCabe"/>
              <w:jc w:val="right"/>
            </w:pPr>
            <w:r w:rsidRPr="005A760B">
              <w:t>2018</w:t>
            </w:r>
          </w:p>
        </w:tc>
      </w:tr>
      <w:tr w:rsidR="001049D6" w:rsidRPr="005A760B" w:rsidTr="007103FA">
        <w:trPr>
          <w:trHeight w:val="284"/>
          <w:jc w:val="center"/>
        </w:trPr>
        <w:tc>
          <w:tcPr>
            <w:tcW w:w="2656" w:type="dxa"/>
            <w:tcBorders>
              <w:bottom w:val="single" w:sz="2" w:space="0" w:color="auto"/>
            </w:tcBorders>
            <w:vAlign w:val="center"/>
          </w:tcPr>
          <w:p w:rsidR="001049D6" w:rsidRPr="005A760B" w:rsidRDefault="001049D6" w:rsidP="00E23BC4">
            <w:pPr>
              <w:pStyle w:val="cuatexto"/>
              <w:rPr>
                <w:szCs w:val="18"/>
                <w:lang w:val="es-ES" w:eastAsia="es-ES"/>
              </w:rPr>
            </w:pPr>
            <w:r w:rsidRPr="005A760B">
              <w:rPr>
                <w:szCs w:val="18"/>
                <w:lang w:val="es-ES" w:eastAsia="es-ES"/>
              </w:rPr>
              <w:t>Personal</w:t>
            </w:r>
          </w:p>
        </w:tc>
        <w:tc>
          <w:tcPr>
            <w:tcW w:w="1125" w:type="dxa"/>
            <w:tcBorders>
              <w:bottom w:val="single" w:sz="2" w:space="0" w:color="auto"/>
              <w:right w:val="nil"/>
            </w:tcBorders>
            <w:vAlign w:val="center"/>
          </w:tcPr>
          <w:p w:rsidR="001049D6" w:rsidRPr="005A760B" w:rsidRDefault="001049D6" w:rsidP="00E23BC4">
            <w:pPr>
              <w:pStyle w:val="cuatexto"/>
              <w:jc w:val="right"/>
              <w:rPr>
                <w:szCs w:val="18"/>
                <w:lang w:val="es-ES" w:eastAsia="es-ES"/>
              </w:rPr>
            </w:pPr>
            <w:r w:rsidRPr="005A760B">
              <w:rPr>
                <w:szCs w:val="18"/>
                <w:lang w:val="es-ES" w:eastAsia="es-ES"/>
              </w:rPr>
              <w:t>37</w:t>
            </w:r>
          </w:p>
        </w:tc>
        <w:tc>
          <w:tcPr>
            <w:tcW w:w="641" w:type="dxa"/>
            <w:tcBorders>
              <w:left w:val="nil"/>
              <w:bottom w:val="single" w:sz="2" w:space="0" w:color="auto"/>
              <w:right w:val="single" w:sz="4" w:space="0" w:color="auto"/>
            </w:tcBorders>
            <w:vAlign w:val="center"/>
          </w:tcPr>
          <w:p w:rsidR="001049D6" w:rsidRPr="005A760B" w:rsidRDefault="001049D6" w:rsidP="00E23BC4">
            <w:pPr>
              <w:pStyle w:val="cuatexto"/>
              <w:jc w:val="right"/>
              <w:rPr>
                <w:szCs w:val="18"/>
                <w:lang w:val="es-ES" w:eastAsia="es-ES"/>
              </w:rPr>
            </w:pPr>
            <w:r w:rsidRPr="005A760B">
              <w:rPr>
                <w:szCs w:val="18"/>
                <w:lang w:val="es-ES" w:eastAsia="es-ES"/>
              </w:rPr>
              <w:t>36</w:t>
            </w:r>
          </w:p>
        </w:tc>
        <w:tc>
          <w:tcPr>
            <w:tcW w:w="2689" w:type="dxa"/>
            <w:tcBorders>
              <w:left w:val="single" w:sz="4" w:space="0" w:color="auto"/>
              <w:bottom w:val="single" w:sz="2" w:space="0" w:color="auto"/>
            </w:tcBorders>
            <w:vAlign w:val="center"/>
          </w:tcPr>
          <w:p w:rsidR="001049D6" w:rsidRPr="005A760B" w:rsidRDefault="001049D6" w:rsidP="00E23BC4">
            <w:pPr>
              <w:pStyle w:val="cuatexto"/>
              <w:rPr>
                <w:szCs w:val="18"/>
                <w:lang w:val="es-ES" w:eastAsia="es-ES"/>
              </w:rPr>
            </w:pPr>
            <w:r w:rsidRPr="005A760B">
              <w:rPr>
                <w:szCs w:val="18"/>
                <w:lang w:val="es-ES" w:eastAsia="es-ES"/>
              </w:rPr>
              <w:t>Ingresos tributarios</w:t>
            </w:r>
          </w:p>
        </w:tc>
        <w:tc>
          <w:tcPr>
            <w:tcW w:w="1023" w:type="dxa"/>
            <w:tcBorders>
              <w:bottom w:val="single" w:sz="2" w:space="0" w:color="auto"/>
              <w:right w:val="nil"/>
            </w:tcBorders>
            <w:vAlign w:val="center"/>
          </w:tcPr>
          <w:p w:rsidR="001049D6" w:rsidRPr="005A760B" w:rsidRDefault="001049D6" w:rsidP="00E23BC4">
            <w:pPr>
              <w:pStyle w:val="cuatexto"/>
              <w:jc w:val="right"/>
              <w:rPr>
                <w:szCs w:val="18"/>
                <w:lang w:val="es-ES" w:eastAsia="es-ES"/>
              </w:rPr>
            </w:pPr>
            <w:r w:rsidRPr="005A760B">
              <w:rPr>
                <w:szCs w:val="18"/>
                <w:lang w:val="es-ES" w:eastAsia="es-ES"/>
              </w:rPr>
              <w:t>47</w:t>
            </w:r>
          </w:p>
        </w:tc>
        <w:tc>
          <w:tcPr>
            <w:tcW w:w="644" w:type="dxa"/>
            <w:tcBorders>
              <w:left w:val="nil"/>
              <w:bottom w:val="single" w:sz="2" w:space="0" w:color="auto"/>
            </w:tcBorders>
            <w:vAlign w:val="center"/>
          </w:tcPr>
          <w:p w:rsidR="001049D6" w:rsidRPr="005A760B" w:rsidRDefault="001049D6" w:rsidP="00E23BC4">
            <w:pPr>
              <w:pStyle w:val="cuatexto"/>
              <w:jc w:val="right"/>
              <w:rPr>
                <w:szCs w:val="18"/>
                <w:lang w:val="es-ES" w:eastAsia="es-ES"/>
              </w:rPr>
            </w:pPr>
            <w:r w:rsidRPr="005A760B">
              <w:rPr>
                <w:szCs w:val="18"/>
                <w:lang w:val="es-ES" w:eastAsia="es-ES"/>
              </w:rPr>
              <w:t>46</w:t>
            </w:r>
          </w:p>
        </w:tc>
      </w:tr>
      <w:tr w:rsidR="001049D6" w:rsidRPr="005A760B" w:rsidTr="007103FA">
        <w:trPr>
          <w:trHeight w:val="284"/>
          <w:jc w:val="center"/>
        </w:trPr>
        <w:tc>
          <w:tcPr>
            <w:tcW w:w="2656" w:type="dxa"/>
            <w:tcBorders>
              <w:top w:val="single" w:sz="2" w:space="0" w:color="auto"/>
              <w:bottom w:val="single" w:sz="2" w:space="0" w:color="auto"/>
            </w:tcBorders>
            <w:vAlign w:val="center"/>
          </w:tcPr>
          <w:p w:rsidR="001049D6" w:rsidRPr="005A760B" w:rsidRDefault="00E23BC4" w:rsidP="00E050C5">
            <w:pPr>
              <w:pStyle w:val="cuatexto"/>
              <w:rPr>
                <w:szCs w:val="18"/>
                <w:lang w:val="es-ES" w:eastAsia="es-ES"/>
              </w:rPr>
            </w:pPr>
            <w:r w:rsidRPr="005A760B">
              <w:rPr>
                <w:szCs w:val="18"/>
                <w:lang w:val="es-ES" w:eastAsia="es-ES"/>
              </w:rPr>
              <w:t>Bienes corr</w:t>
            </w:r>
            <w:r w:rsidR="00E050C5" w:rsidRPr="005A760B">
              <w:rPr>
                <w:szCs w:val="18"/>
                <w:lang w:val="es-ES" w:eastAsia="es-ES"/>
              </w:rPr>
              <w:t>ientes</w:t>
            </w:r>
            <w:r w:rsidR="001049D6" w:rsidRPr="005A760B">
              <w:rPr>
                <w:szCs w:val="18"/>
                <w:lang w:val="es-ES" w:eastAsia="es-ES"/>
              </w:rPr>
              <w:t xml:space="preserve"> y servicios</w:t>
            </w:r>
          </w:p>
        </w:tc>
        <w:tc>
          <w:tcPr>
            <w:tcW w:w="1125" w:type="dxa"/>
            <w:tcBorders>
              <w:top w:val="single" w:sz="2" w:space="0" w:color="auto"/>
              <w:bottom w:val="single" w:sz="2" w:space="0" w:color="auto"/>
              <w:right w:val="nil"/>
            </w:tcBorders>
            <w:vAlign w:val="center"/>
          </w:tcPr>
          <w:p w:rsidR="001049D6" w:rsidRPr="005A760B" w:rsidRDefault="001049D6" w:rsidP="00E23BC4">
            <w:pPr>
              <w:pStyle w:val="cuatexto"/>
              <w:jc w:val="right"/>
              <w:rPr>
                <w:szCs w:val="18"/>
                <w:lang w:val="es-ES" w:eastAsia="es-ES"/>
              </w:rPr>
            </w:pPr>
            <w:r w:rsidRPr="005A760B">
              <w:rPr>
                <w:szCs w:val="18"/>
                <w:lang w:val="es-ES" w:eastAsia="es-ES"/>
              </w:rPr>
              <w:t>35</w:t>
            </w:r>
          </w:p>
        </w:tc>
        <w:tc>
          <w:tcPr>
            <w:tcW w:w="641" w:type="dxa"/>
            <w:tcBorders>
              <w:top w:val="single" w:sz="2" w:space="0" w:color="auto"/>
              <w:left w:val="nil"/>
              <w:bottom w:val="single" w:sz="2" w:space="0" w:color="auto"/>
              <w:right w:val="single" w:sz="4" w:space="0" w:color="auto"/>
            </w:tcBorders>
            <w:vAlign w:val="center"/>
          </w:tcPr>
          <w:p w:rsidR="001049D6" w:rsidRPr="005A760B" w:rsidRDefault="001049D6" w:rsidP="00E23BC4">
            <w:pPr>
              <w:pStyle w:val="cuatexto"/>
              <w:jc w:val="right"/>
              <w:rPr>
                <w:szCs w:val="18"/>
                <w:lang w:val="es-ES" w:eastAsia="es-ES"/>
              </w:rPr>
            </w:pPr>
            <w:r w:rsidRPr="005A760B">
              <w:rPr>
                <w:szCs w:val="18"/>
                <w:lang w:val="es-ES" w:eastAsia="es-ES"/>
              </w:rPr>
              <w:t>35</w:t>
            </w:r>
          </w:p>
        </w:tc>
        <w:tc>
          <w:tcPr>
            <w:tcW w:w="2689" w:type="dxa"/>
            <w:tcBorders>
              <w:top w:val="single" w:sz="2" w:space="0" w:color="auto"/>
              <w:left w:val="single" w:sz="4" w:space="0" w:color="auto"/>
              <w:bottom w:val="single" w:sz="2" w:space="0" w:color="auto"/>
            </w:tcBorders>
            <w:vAlign w:val="center"/>
          </w:tcPr>
          <w:p w:rsidR="001049D6" w:rsidRPr="005A760B" w:rsidRDefault="001049D6" w:rsidP="00E23BC4">
            <w:pPr>
              <w:pStyle w:val="cuatexto"/>
              <w:rPr>
                <w:szCs w:val="18"/>
                <w:lang w:val="es-ES" w:eastAsia="es-ES"/>
              </w:rPr>
            </w:pPr>
            <w:r w:rsidRPr="005A760B">
              <w:rPr>
                <w:szCs w:val="18"/>
                <w:lang w:val="es-ES" w:eastAsia="es-ES"/>
              </w:rPr>
              <w:t>Ingresos por transferencias</w:t>
            </w:r>
          </w:p>
        </w:tc>
        <w:tc>
          <w:tcPr>
            <w:tcW w:w="1023" w:type="dxa"/>
            <w:tcBorders>
              <w:top w:val="single" w:sz="2" w:space="0" w:color="auto"/>
              <w:bottom w:val="single" w:sz="2" w:space="0" w:color="auto"/>
              <w:right w:val="nil"/>
            </w:tcBorders>
            <w:vAlign w:val="center"/>
          </w:tcPr>
          <w:p w:rsidR="001049D6" w:rsidRPr="005A760B" w:rsidRDefault="001049D6" w:rsidP="00E23BC4">
            <w:pPr>
              <w:pStyle w:val="cuatexto"/>
              <w:jc w:val="right"/>
              <w:rPr>
                <w:szCs w:val="18"/>
                <w:lang w:val="es-ES" w:eastAsia="es-ES"/>
              </w:rPr>
            </w:pPr>
            <w:r w:rsidRPr="005A760B">
              <w:rPr>
                <w:szCs w:val="18"/>
                <w:lang w:val="es-ES" w:eastAsia="es-ES"/>
              </w:rPr>
              <w:t>44</w:t>
            </w:r>
          </w:p>
        </w:tc>
        <w:tc>
          <w:tcPr>
            <w:tcW w:w="644" w:type="dxa"/>
            <w:tcBorders>
              <w:top w:val="single" w:sz="2" w:space="0" w:color="auto"/>
              <w:left w:val="nil"/>
              <w:bottom w:val="single" w:sz="2" w:space="0" w:color="auto"/>
            </w:tcBorders>
            <w:vAlign w:val="center"/>
          </w:tcPr>
          <w:p w:rsidR="001049D6" w:rsidRPr="005A760B" w:rsidRDefault="001049D6" w:rsidP="00E23BC4">
            <w:pPr>
              <w:pStyle w:val="cuatexto"/>
              <w:jc w:val="right"/>
              <w:rPr>
                <w:szCs w:val="18"/>
                <w:lang w:val="es-ES" w:eastAsia="es-ES"/>
              </w:rPr>
            </w:pPr>
            <w:r w:rsidRPr="005A760B">
              <w:rPr>
                <w:szCs w:val="18"/>
                <w:lang w:val="es-ES" w:eastAsia="es-ES"/>
              </w:rPr>
              <w:t>46</w:t>
            </w:r>
          </w:p>
        </w:tc>
      </w:tr>
      <w:tr w:rsidR="001049D6" w:rsidRPr="005A760B" w:rsidTr="007103FA">
        <w:trPr>
          <w:trHeight w:val="284"/>
          <w:jc w:val="center"/>
        </w:trPr>
        <w:tc>
          <w:tcPr>
            <w:tcW w:w="2656" w:type="dxa"/>
            <w:tcBorders>
              <w:top w:val="single" w:sz="2" w:space="0" w:color="auto"/>
              <w:bottom w:val="single" w:sz="2" w:space="0" w:color="auto"/>
            </w:tcBorders>
            <w:vAlign w:val="center"/>
          </w:tcPr>
          <w:p w:rsidR="001049D6" w:rsidRPr="005A760B" w:rsidRDefault="001049D6" w:rsidP="00E23BC4">
            <w:pPr>
              <w:pStyle w:val="cuatexto"/>
              <w:rPr>
                <w:szCs w:val="18"/>
                <w:lang w:val="es-ES" w:eastAsia="es-ES"/>
              </w:rPr>
            </w:pPr>
            <w:r w:rsidRPr="005A760B">
              <w:rPr>
                <w:szCs w:val="18"/>
                <w:lang w:val="es-ES" w:eastAsia="es-ES"/>
              </w:rPr>
              <w:t>Gastos transferencias</w:t>
            </w:r>
          </w:p>
        </w:tc>
        <w:tc>
          <w:tcPr>
            <w:tcW w:w="1125" w:type="dxa"/>
            <w:tcBorders>
              <w:top w:val="single" w:sz="2" w:space="0" w:color="auto"/>
              <w:bottom w:val="single" w:sz="2" w:space="0" w:color="auto"/>
              <w:right w:val="nil"/>
            </w:tcBorders>
            <w:vAlign w:val="center"/>
          </w:tcPr>
          <w:p w:rsidR="001049D6" w:rsidRPr="005A760B" w:rsidRDefault="001049D6" w:rsidP="00E23BC4">
            <w:pPr>
              <w:pStyle w:val="cuatexto"/>
              <w:jc w:val="right"/>
              <w:rPr>
                <w:szCs w:val="18"/>
                <w:lang w:val="es-ES" w:eastAsia="es-ES"/>
              </w:rPr>
            </w:pPr>
            <w:r w:rsidRPr="005A760B">
              <w:rPr>
                <w:szCs w:val="18"/>
                <w:lang w:val="es-ES" w:eastAsia="es-ES"/>
              </w:rPr>
              <w:t>10</w:t>
            </w:r>
          </w:p>
        </w:tc>
        <w:tc>
          <w:tcPr>
            <w:tcW w:w="641" w:type="dxa"/>
            <w:tcBorders>
              <w:top w:val="single" w:sz="2" w:space="0" w:color="auto"/>
              <w:left w:val="nil"/>
              <w:bottom w:val="single" w:sz="2" w:space="0" w:color="auto"/>
              <w:right w:val="single" w:sz="4" w:space="0" w:color="auto"/>
            </w:tcBorders>
            <w:vAlign w:val="center"/>
          </w:tcPr>
          <w:p w:rsidR="001049D6" w:rsidRPr="005A760B" w:rsidRDefault="001049D6" w:rsidP="00E23BC4">
            <w:pPr>
              <w:pStyle w:val="cuatexto"/>
              <w:jc w:val="right"/>
              <w:rPr>
                <w:szCs w:val="18"/>
                <w:lang w:val="es-ES" w:eastAsia="es-ES"/>
              </w:rPr>
            </w:pPr>
            <w:r w:rsidRPr="005A760B">
              <w:rPr>
                <w:szCs w:val="18"/>
                <w:lang w:val="es-ES" w:eastAsia="es-ES"/>
              </w:rPr>
              <w:t>10</w:t>
            </w:r>
          </w:p>
        </w:tc>
        <w:tc>
          <w:tcPr>
            <w:tcW w:w="2689" w:type="dxa"/>
            <w:tcBorders>
              <w:top w:val="single" w:sz="2" w:space="0" w:color="auto"/>
              <w:left w:val="single" w:sz="4" w:space="0" w:color="auto"/>
              <w:bottom w:val="single" w:sz="2" w:space="0" w:color="auto"/>
            </w:tcBorders>
            <w:vAlign w:val="center"/>
          </w:tcPr>
          <w:p w:rsidR="001049D6" w:rsidRPr="005A760B" w:rsidRDefault="001049D6" w:rsidP="00E23BC4">
            <w:pPr>
              <w:pStyle w:val="cuatexto"/>
              <w:rPr>
                <w:szCs w:val="18"/>
                <w:lang w:val="es-ES" w:eastAsia="es-ES"/>
              </w:rPr>
            </w:pPr>
            <w:r w:rsidRPr="005A760B">
              <w:rPr>
                <w:szCs w:val="18"/>
                <w:lang w:val="es-ES" w:eastAsia="es-ES"/>
              </w:rPr>
              <w:t>Ingresos patrimoniales y otros</w:t>
            </w:r>
          </w:p>
        </w:tc>
        <w:tc>
          <w:tcPr>
            <w:tcW w:w="1023" w:type="dxa"/>
            <w:tcBorders>
              <w:top w:val="single" w:sz="2" w:space="0" w:color="auto"/>
              <w:bottom w:val="single" w:sz="2" w:space="0" w:color="auto"/>
              <w:right w:val="nil"/>
            </w:tcBorders>
            <w:vAlign w:val="center"/>
          </w:tcPr>
          <w:p w:rsidR="001049D6" w:rsidRPr="005A760B" w:rsidRDefault="001049D6" w:rsidP="00E23BC4">
            <w:pPr>
              <w:pStyle w:val="cuatexto"/>
              <w:jc w:val="right"/>
              <w:rPr>
                <w:szCs w:val="18"/>
                <w:lang w:val="es-ES" w:eastAsia="es-ES"/>
              </w:rPr>
            </w:pPr>
            <w:r w:rsidRPr="005A760B">
              <w:rPr>
                <w:szCs w:val="18"/>
                <w:lang w:val="es-ES" w:eastAsia="es-ES"/>
              </w:rPr>
              <w:t>8</w:t>
            </w:r>
          </w:p>
        </w:tc>
        <w:tc>
          <w:tcPr>
            <w:tcW w:w="644" w:type="dxa"/>
            <w:tcBorders>
              <w:top w:val="single" w:sz="2" w:space="0" w:color="auto"/>
              <w:left w:val="nil"/>
              <w:bottom w:val="single" w:sz="2" w:space="0" w:color="auto"/>
            </w:tcBorders>
            <w:vAlign w:val="center"/>
          </w:tcPr>
          <w:p w:rsidR="001049D6" w:rsidRPr="005A760B" w:rsidRDefault="001049D6" w:rsidP="00E23BC4">
            <w:pPr>
              <w:pStyle w:val="cuatexto"/>
              <w:jc w:val="right"/>
              <w:rPr>
                <w:szCs w:val="18"/>
                <w:lang w:val="es-ES" w:eastAsia="es-ES"/>
              </w:rPr>
            </w:pPr>
            <w:r w:rsidRPr="005A760B">
              <w:rPr>
                <w:szCs w:val="18"/>
                <w:lang w:val="es-ES" w:eastAsia="es-ES"/>
              </w:rPr>
              <w:t>7</w:t>
            </w:r>
          </w:p>
        </w:tc>
      </w:tr>
      <w:tr w:rsidR="001049D6" w:rsidRPr="005A760B" w:rsidTr="007103FA">
        <w:trPr>
          <w:trHeight w:val="284"/>
          <w:jc w:val="center"/>
        </w:trPr>
        <w:tc>
          <w:tcPr>
            <w:tcW w:w="2656" w:type="dxa"/>
            <w:tcBorders>
              <w:top w:val="single" w:sz="2" w:space="0" w:color="auto"/>
              <w:bottom w:val="single" w:sz="2" w:space="0" w:color="auto"/>
            </w:tcBorders>
            <w:vAlign w:val="center"/>
          </w:tcPr>
          <w:p w:rsidR="001049D6" w:rsidRPr="005A760B" w:rsidRDefault="001049D6" w:rsidP="00E23BC4">
            <w:pPr>
              <w:pStyle w:val="cuatexto"/>
              <w:rPr>
                <w:szCs w:val="18"/>
                <w:lang w:val="es-ES" w:eastAsia="es-ES"/>
              </w:rPr>
            </w:pPr>
            <w:r w:rsidRPr="005A760B">
              <w:rPr>
                <w:szCs w:val="18"/>
                <w:lang w:val="es-ES" w:eastAsia="es-ES"/>
              </w:rPr>
              <w:t>Inversiones reales</w:t>
            </w:r>
          </w:p>
        </w:tc>
        <w:tc>
          <w:tcPr>
            <w:tcW w:w="1125" w:type="dxa"/>
            <w:tcBorders>
              <w:top w:val="single" w:sz="2" w:space="0" w:color="auto"/>
              <w:bottom w:val="single" w:sz="2" w:space="0" w:color="auto"/>
              <w:right w:val="nil"/>
            </w:tcBorders>
            <w:vAlign w:val="center"/>
          </w:tcPr>
          <w:p w:rsidR="001049D6" w:rsidRPr="005A760B" w:rsidRDefault="001049D6" w:rsidP="00E23BC4">
            <w:pPr>
              <w:pStyle w:val="cuatexto"/>
              <w:jc w:val="right"/>
              <w:rPr>
                <w:szCs w:val="18"/>
                <w:lang w:val="es-ES" w:eastAsia="es-ES"/>
              </w:rPr>
            </w:pPr>
            <w:r w:rsidRPr="005A760B">
              <w:rPr>
                <w:szCs w:val="18"/>
                <w:lang w:val="es-ES" w:eastAsia="es-ES"/>
              </w:rPr>
              <w:t>12</w:t>
            </w:r>
          </w:p>
        </w:tc>
        <w:tc>
          <w:tcPr>
            <w:tcW w:w="641" w:type="dxa"/>
            <w:tcBorders>
              <w:top w:val="single" w:sz="2" w:space="0" w:color="auto"/>
              <w:left w:val="nil"/>
              <w:bottom w:val="single" w:sz="2" w:space="0" w:color="auto"/>
              <w:right w:val="single" w:sz="4" w:space="0" w:color="auto"/>
            </w:tcBorders>
            <w:vAlign w:val="center"/>
          </w:tcPr>
          <w:p w:rsidR="001049D6" w:rsidRPr="005A760B" w:rsidRDefault="001049D6" w:rsidP="00E23BC4">
            <w:pPr>
              <w:pStyle w:val="cuatexto"/>
              <w:jc w:val="right"/>
              <w:rPr>
                <w:szCs w:val="18"/>
                <w:lang w:val="es-ES" w:eastAsia="es-ES"/>
              </w:rPr>
            </w:pPr>
            <w:r w:rsidRPr="005A760B">
              <w:rPr>
                <w:szCs w:val="18"/>
                <w:lang w:val="es-ES" w:eastAsia="es-ES"/>
              </w:rPr>
              <w:t>15</w:t>
            </w:r>
          </w:p>
        </w:tc>
        <w:tc>
          <w:tcPr>
            <w:tcW w:w="2689" w:type="dxa"/>
            <w:tcBorders>
              <w:top w:val="single" w:sz="2" w:space="0" w:color="auto"/>
              <w:left w:val="single" w:sz="4" w:space="0" w:color="auto"/>
              <w:bottom w:val="single" w:sz="2" w:space="0" w:color="auto"/>
            </w:tcBorders>
            <w:vAlign w:val="center"/>
          </w:tcPr>
          <w:p w:rsidR="001049D6" w:rsidRPr="005A760B" w:rsidRDefault="001049D6" w:rsidP="00E23BC4">
            <w:pPr>
              <w:pStyle w:val="cuatexto"/>
              <w:rPr>
                <w:szCs w:val="18"/>
                <w:lang w:val="es-ES" w:eastAsia="es-ES"/>
              </w:rPr>
            </w:pPr>
            <w:r w:rsidRPr="005A760B">
              <w:rPr>
                <w:szCs w:val="18"/>
                <w:lang w:val="es-ES" w:eastAsia="es-ES"/>
              </w:rPr>
              <w:t>Endeudamiento</w:t>
            </w:r>
          </w:p>
        </w:tc>
        <w:tc>
          <w:tcPr>
            <w:tcW w:w="1023" w:type="dxa"/>
            <w:tcBorders>
              <w:top w:val="single" w:sz="2" w:space="0" w:color="auto"/>
              <w:bottom w:val="single" w:sz="2" w:space="0" w:color="auto"/>
              <w:right w:val="nil"/>
            </w:tcBorders>
            <w:vAlign w:val="center"/>
          </w:tcPr>
          <w:p w:rsidR="001049D6" w:rsidRPr="005A760B" w:rsidRDefault="001049D6" w:rsidP="00E23BC4">
            <w:pPr>
              <w:pStyle w:val="cuatexto"/>
              <w:jc w:val="right"/>
              <w:rPr>
                <w:szCs w:val="18"/>
                <w:lang w:val="es-ES" w:eastAsia="es-ES"/>
              </w:rPr>
            </w:pPr>
            <w:r w:rsidRPr="005A760B">
              <w:rPr>
                <w:szCs w:val="18"/>
                <w:lang w:val="es-ES" w:eastAsia="es-ES"/>
              </w:rPr>
              <w:t>1</w:t>
            </w:r>
          </w:p>
        </w:tc>
        <w:tc>
          <w:tcPr>
            <w:tcW w:w="644" w:type="dxa"/>
            <w:tcBorders>
              <w:top w:val="single" w:sz="2" w:space="0" w:color="auto"/>
              <w:left w:val="nil"/>
              <w:bottom w:val="single" w:sz="2" w:space="0" w:color="auto"/>
            </w:tcBorders>
            <w:vAlign w:val="center"/>
          </w:tcPr>
          <w:p w:rsidR="001049D6" w:rsidRPr="005A760B" w:rsidRDefault="001049D6" w:rsidP="00E23BC4">
            <w:pPr>
              <w:pStyle w:val="cuatexto"/>
              <w:jc w:val="right"/>
              <w:rPr>
                <w:szCs w:val="18"/>
                <w:lang w:val="es-ES" w:eastAsia="es-ES"/>
              </w:rPr>
            </w:pPr>
            <w:r w:rsidRPr="005A760B">
              <w:rPr>
                <w:szCs w:val="18"/>
                <w:lang w:val="es-ES" w:eastAsia="es-ES"/>
              </w:rPr>
              <w:t>1</w:t>
            </w:r>
          </w:p>
        </w:tc>
      </w:tr>
      <w:tr w:rsidR="001049D6" w:rsidRPr="005A760B" w:rsidTr="007103FA">
        <w:trPr>
          <w:trHeight w:val="284"/>
          <w:jc w:val="center"/>
        </w:trPr>
        <w:tc>
          <w:tcPr>
            <w:tcW w:w="2656" w:type="dxa"/>
            <w:tcBorders>
              <w:top w:val="single" w:sz="2" w:space="0" w:color="auto"/>
              <w:bottom w:val="single" w:sz="2" w:space="0" w:color="auto"/>
            </w:tcBorders>
            <w:vAlign w:val="center"/>
          </w:tcPr>
          <w:p w:rsidR="001049D6" w:rsidRPr="005A760B" w:rsidRDefault="001049D6" w:rsidP="00E23BC4">
            <w:pPr>
              <w:pStyle w:val="cuatexto"/>
              <w:rPr>
                <w:szCs w:val="18"/>
                <w:lang w:val="es-ES" w:eastAsia="es-ES"/>
              </w:rPr>
            </w:pPr>
            <w:r w:rsidRPr="005A760B">
              <w:rPr>
                <w:szCs w:val="18"/>
                <w:lang w:val="es-ES" w:eastAsia="es-ES"/>
              </w:rPr>
              <w:t>Carga financiera</w:t>
            </w:r>
          </w:p>
        </w:tc>
        <w:tc>
          <w:tcPr>
            <w:tcW w:w="1125" w:type="dxa"/>
            <w:tcBorders>
              <w:top w:val="single" w:sz="2" w:space="0" w:color="auto"/>
              <w:bottom w:val="single" w:sz="2" w:space="0" w:color="auto"/>
              <w:right w:val="nil"/>
            </w:tcBorders>
            <w:vAlign w:val="center"/>
          </w:tcPr>
          <w:p w:rsidR="001049D6" w:rsidRPr="005A760B" w:rsidRDefault="001049D6" w:rsidP="00E23BC4">
            <w:pPr>
              <w:pStyle w:val="cuatexto"/>
              <w:jc w:val="right"/>
              <w:rPr>
                <w:szCs w:val="18"/>
                <w:lang w:val="es-ES" w:eastAsia="es-ES"/>
              </w:rPr>
            </w:pPr>
            <w:r w:rsidRPr="005A760B">
              <w:rPr>
                <w:szCs w:val="18"/>
                <w:lang w:val="es-ES" w:eastAsia="es-ES"/>
              </w:rPr>
              <w:t>6</w:t>
            </w:r>
          </w:p>
        </w:tc>
        <w:tc>
          <w:tcPr>
            <w:tcW w:w="641" w:type="dxa"/>
            <w:tcBorders>
              <w:top w:val="single" w:sz="2" w:space="0" w:color="auto"/>
              <w:left w:val="nil"/>
              <w:bottom w:val="single" w:sz="2" w:space="0" w:color="auto"/>
              <w:right w:val="single" w:sz="4" w:space="0" w:color="auto"/>
            </w:tcBorders>
            <w:vAlign w:val="center"/>
          </w:tcPr>
          <w:p w:rsidR="001049D6" w:rsidRPr="005A760B" w:rsidRDefault="001049D6" w:rsidP="00E23BC4">
            <w:pPr>
              <w:pStyle w:val="cuatexto"/>
              <w:jc w:val="right"/>
              <w:rPr>
                <w:szCs w:val="18"/>
                <w:lang w:val="es-ES" w:eastAsia="es-ES"/>
              </w:rPr>
            </w:pPr>
            <w:r w:rsidRPr="005A760B">
              <w:rPr>
                <w:szCs w:val="18"/>
                <w:lang w:val="es-ES" w:eastAsia="es-ES"/>
              </w:rPr>
              <w:t>4</w:t>
            </w:r>
          </w:p>
        </w:tc>
        <w:tc>
          <w:tcPr>
            <w:tcW w:w="2689" w:type="dxa"/>
            <w:tcBorders>
              <w:top w:val="single" w:sz="2" w:space="0" w:color="auto"/>
              <w:left w:val="single" w:sz="4" w:space="0" w:color="auto"/>
              <w:bottom w:val="single" w:sz="2" w:space="0" w:color="auto"/>
            </w:tcBorders>
            <w:vAlign w:val="center"/>
          </w:tcPr>
          <w:p w:rsidR="001049D6" w:rsidRPr="005A760B" w:rsidRDefault="001049D6" w:rsidP="00E23BC4">
            <w:pPr>
              <w:pStyle w:val="cuatexto"/>
              <w:rPr>
                <w:szCs w:val="18"/>
                <w:lang w:val="es-ES" w:eastAsia="es-ES"/>
              </w:rPr>
            </w:pPr>
          </w:p>
        </w:tc>
        <w:tc>
          <w:tcPr>
            <w:tcW w:w="1023" w:type="dxa"/>
            <w:tcBorders>
              <w:top w:val="single" w:sz="2" w:space="0" w:color="auto"/>
              <w:bottom w:val="single" w:sz="2" w:space="0" w:color="auto"/>
              <w:right w:val="nil"/>
            </w:tcBorders>
            <w:vAlign w:val="center"/>
          </w:tcPr>
          <w:p w:rsidR="001049D6" w:rsidRPr="005A760B" w:rsidRDefault="001049D6" w:rsidP="00E23BC4">
            <w:pPr>
              <w:pStyle w:val="cuatexto"/>
              <w:jc w:val="right"/>
              <w:rPr>
                <w:szCs w:val="18"/>
                <w:lang w:val="es-ES" w:eastAsia="es-ES"/>
              </w:rPr>
            </w:pPr>
          </w:p>
        </w:tc>
        <w:tc>
          <w:tcPr>
            <w:tcW w:w="644" w:type="dxa"/>
            <w:tcBorders>
              <w:top w:val="single" w:sz="2" w:space="0" w:color="auto"/>
              <w:left w:val="nil"/>
              <w:bottom w:val="single" w:sz="2" w:space="0" w:color="auto"/>
            </w:tcBorders>
            <w:vAlign w:val="center"/>
          </w:tcPr>
          <w:p w:rsidR="001049D6" w:rsidRPr="005A760B" w:rsidRDefault="001049D6" w:rsidP="00E23BC4">
            <w:pPr>
              <w:pStyle w:val="cuatexto"/>
              <w:jc w:val="right"/>
              <w:rPr>
                <w:szCs w:val="18"/>
                <w:lang w:val="es-ES" w:eastAsia="es-ES"/>
              </w:rPr>
            </w:pPr>
          </w:p>
        </w:tc>
      </w:tr>
      <w:tr w:rsidR="001049D6" w:rsidRPr="005A760B" w:rsidTr="007103FA">
        <w:trPr>
          <w:trHeight w:val="284"/>
          <w:jc w:val="center"/>
        </w:trPr>
        <w:tc>
          <w:tcPr>
            <w:tcW w:w="2656" w:type="dxa"/>
            <w:tcBorders>
              <w:top w:val="single" w:sz="2" w:space="0" w:color="auto"/>
              <w:bottom w:val="single" w:sz="4" w:space="0" w:color="auto"/>
            </w:tcBorders>
            <w:vAlign w:val="center"/>
          </w:tcPr>
          <w:p w:rsidR="001049D6" w:rsidRPr="005A760B" w:rsidRDefault="001049D6" w:rsidP="00E23BC4">
            <w:pPr>
              <w:pStyle w:val="cuatexto"/>
              <w:rPr>
                <w:szCs w:val="18"/>
                <w:lang w:val="es-ES" w:eastAsia="es-ES"/>
              </w:rPr>
            </w:pPr>
            <w:r w:rsidRPr="005A760B">
              <w:rPr>
                <w:szCs w:val="18"/>
                <w:lang w:val="es-ES" w:eastAsia="es-ES"/>
              </w:rPr>
              <w:t>Activos financieros</w:t>
            </w:r>
          </w:p>
        </w:tc>
        <w:tc>
          <w:tcPr>
            <w:tcW w:w="1125" w:type="dxa"/>
            <w:tcBorders>
              <w:top w:val="single" w:sz="2" w:space="0" w:color="auto"/>
              <w:bottom w:val="single" w:sz="4" w:space="0" w:color="auto"/>
              <w:right w:val="nil"/>
            </w:tcBorders>
            <w:vAlign w:val="center"/>
          </w:tcPr>
          <w:p w:rsidR="001049D6" w:rsidRPr="005A760B" w:rsidRDefault="001049D6" w:rsidP="00E23BC4">
            <w:pPr>
              <w:pStyle w:val="cuatexto"/>
              <w:jc w:val="right"/>
              <w:rPr>
                <w:szCs w:val="18"/>
                <w:lang w:val="es-ES" w:eastAsia="es-ES"/>
              </w:rPr>
            </w:pPr>
            <w:r w:rsidRPr="005A760B">
              <w:rPr>
                <w:szCs w:val="18"/>
                <w:lang w:val="es-ES" w:eastAsia="es-ES"/>
              </w:rPr>
              <w:t>0</w:t>
            </w:r>
          </w:p>
        </w:tc>
        <w:tc>
          <w:tcPr>
            <w:tcW w:w="641" w:type="dxa"/>
            <w:tcBorders>
              <w:top w:val="single" w:sz="2" w:space="0" w:color="auto"/>
              <w:left w:val="nil"/>
              <w:bottom w:val="single" w:sz="4" w:space="0" w:color="auto"/>
              <w:right w:val="single" w:sz="4" w:space="0" w:color="auto"/>
            </w:tcBorders>
            <w:vAlign w:val="center"/>
          </w:tcPr>
          <w:p w:rsidR="001049D6" w:rsidRPr="005A760B" w:rsidRDefault="001049D6" w:rsidP="00E23BC4">
            <w:pPr>
              <w:pStyle w:val="cuatexto"/>
              <w:jc w:val="right"/>
              <w:rPr>
                <w:szCs w:val="18"/>
                <w:lang w:val="es-ES" w:eastAsia="es-ES"/>
              </w:rPr>
            </w:pPr>
            <w:r w:rsidRPr="005A760B">
              <w:rPr>
                <w:szCs w:val="18"/>
                <w:lang w:val="es-ES" w:eastAsia="es-ES"/>
              </w:rPr>
              <w:t>0</w:t>
            </w:r>
          </w:p>
        </w:tc>
        <w:tc>
          <w:tcPr>
            <w:tcW w:w="2689" w:type="dxa"/>
            <w:tcBorders>
              <w:top w:val="single" w:sz="2" w:space="0" w:color="auto"/>
              <w:left w:val="single" w:sz="4" w:space="0" w:color="auto"/>
              <w:bottom w:val="single" w:sz="4" w:space="0" w:color="auto"/>
            </w:tcBorders>
            <w:vAlign w:val="center"/>
          </w:tcPr>
          <w:p w:rsidR="001049D6" w:rsidRPr="005A760B" w:rsidRDefault="001049D6" w:rsidP="00E23BC4">
            <w:pPr>
              <w:pStyle w:val="cuatexto"/>
              <w:rPr>
                <w:szCs w:val="18"/>
                <w:lang w:val="es-ES" w:eastAsia="es-ES"/>
              </w:rPr>
            </w:pPr>
          </w:p>
        </w:tc>
        <w:tc>
          <w:tcPr>
            <w:tcW w:w="1023" w:type="dxa"/>
            <w:tcBorders>
              <w:top w:val="single" w:sz="2" w:space="0" w:color="auto"/>
              <w:bottom w:val="single" w:sz="4" w:space="0" w:color="auto"/>
              <w:right w:val="nil"/>
            </w:tcBorders>
            <w:vAlign w:val="center"/>
          </w:tcPr>
          <w:p w:rsidR="001049D6" w:rsidRPr="005A760B" w:rsidRDefault="001049D6" w:rsidP="00E23BC4">
            <w:pPr>
              <w:pStyle w:val="cuatexto"/>
              <w:jc w:val="right"/>
              <w:rPr>
                <w:szCs w:val="18"/>
                <w:lang w:val="es-ES" w:eastAsia="es-ES"/>
              </w:rPr>
            </w:pPr>
          </w:p>
        </w:tc>
        <w:tc>
          <w:tcPr>
            <w:tcW w:w="644" w:type="dxa"/>
            <w:tcBorders>
              <w:top w:val="single" w:sz="2" w:space="0" w:color="auto"/>
              <w:left w:val="nil"/>
              <w:bottom w:val="single" w:sz="4" w:space="0" w:color="auto"/>
            </w:tcBorders>
            <w:vAlign w:val="center"/>
          </w:tcPr>
          <w:p w:rsidR="001049D6" w:rsidRPr="005A760B" w:rsidRDefault="001049D6" w:rsidP="00E23BC4">
            <w:pPr>
              <w:pStyle w:val="cuatexto"/>
              <w:jc w:val="right"/>
              <w:rPr>
                <w:szCs w:val="18"/>
                <w:lang w:val="es-ES" w:eastAsia="es-ES"/>
              </w:rPr>
            </w:pPr>
          </w:p>
        </w:tc>
      </w:tr>
      <w:tr w:rsidR="001049D6" w:rsidRPr="005A760B" w:rsidTr="007103FA">
        <w:trPr>
          <w:trHeight w:val="284"/>
          <w:jc w:val="center"/>
        </w:trPr>
        <w:tc>
          <w:tcPr>
            <w:tcW w:w="2656" w:type="dxa"/>
            <w:shd w:val="clear" w:color="auto" w:fill="FABF8F" w:themeFill="accent6" w:themeFillTint="99"/>
            <w:vAlign w:val="center"/>
          </w:tcPr>
          <w:p w:rsidR="001049D6" w:rsidRPr="005A760B" w:rsidRDefault="001049D6" w:rsidP="00E23BC4">
            <w:pPr>
              <w:pStyle w:val="cuadroCabe"/>
              <w:rPr>
                <w:lang w:val="es-ES" w:eastAsia="es-ES"/>
              </w:rPr>
            </w:pPr>
          </w:p>
        </w:tc>
        <w:tc>
          <w:tcPr>
            <w:tcW w:w="1125" w:type="dxa"/>
            <w:tcBorders>
              <w:right w:val="nil"/>
            </w:tcBorders>
            <w:shd w:val="clear" w:color="auto" w:fill="FABF8F" w:themeFill="accent6" w:themeFillTint="99"/>
            <w:vAlign w:val="center"/>
          </w:tcPr>
          <w:p w:rsidR="001049D6" w:rsidRPr="005A760B" w:rsidRDefault="001049D6" w:rsidP="00E23BC4">
            <w:pPr>
              <w:pStyle w:val="cuadroCabe"/>
              <w:jc w:val="right"/>
              <w:rPr>
                <w:lang w:val="es-ES" w:eastAsia="es-ES"/>
              </w:rPr>
            </w:pPr>
            <w:r w:rsidRPr="005A760B">
              <w:rPr>
                <w:lang w:val="es-ES" w:eastAsia="es-ES"/>
              </w:rPr>
              <w:t>100</w:t>
            </w:r>
          </w:p>
        </w:tc>
        <w:tc>
          <w:tcPr>
            <w:tcW w:w="641" w:type="dxa"/>
            <w:tcBorders>
              <w:left w:val="nil"/>
              <w:right w:val="single" w:sz="4" w:space="0" w:color="auto"/>
            </w:tcBorders>
            <w:shd w:val="clear" w:color="auto" w:fill="FABF8F" w:themeFill="accent6" w:themeFillTint="99"/>
            <w:vAlign w:val="center"/>
          </w:tcPr>
          <w:p w:rsidR="001049D6" w:rsidRPr="005A760B" w:rsidRDefault="001049D6" w:rsidP="00E23BC4">
            <w:pPr>
              <w:pStyle w:val="cuadroCabe"/>
              <w:jc w:val="right"/>
              <w:rPr>
                <w:lang w:val="es-ES" w:eastAsia="es-ES"/>
              </w:rPr>
            </w:pPr>
            <w:r w:rsidRPr="005A760B">
              <w:rPr>
                <w:lang w:val="es-ES" w:eastAsia="es-ES"/>
              </w:rPr>
              <w:t>100</w:t>
            </w:r>
          </w:p>
        </w:tc>
        <w:tc>
          <w:tcPr>
            <w:tcW w:w="2689" w:type="dxa"/>
            <w:tcBorders>
              <w:left w:val="single" w:sz="4" w:space="0" w:color="auto"/>
            </w:tcBorders>
            <w:shd w:val="clear" w:color="auto" w:fill="FABF8F" w:themeFill="accent6" w:themeFillTint="99"/>
            <w:vAlign w:val="center"/>
          </w:tcPr>
          <w:p w:rsidR="001049D6" w:rsidRPr="005A760B" w:rsidRDefault="001049D6" w:rsidP="00E23BC4">
            <w:pPr>
              <w:pStyle w:val="cuadroCabe"/>
              <w:rPr>
                <w:lang w:val="es-ES" w:eastAsia="es-ES"/>
              </w:rPr>
            </w:pPr>
          </w:p>
        </w:tc>
        <w:tc>
          <w:tcPr>
            <w:tcW w:w="1023" w:type="dxa"/>
            <w:tcBorders>
              <w:right w:val="nil"/>
            </w:tcBorders>
            <w:shd w:val="clear" w:color="auto" w:fill="FABF8F" w:themeFill="accent6" w:themeFillTint="99"/>
            <w:vAlign w:val="center"/>
          </w:tcPr>
          <w:p w:rsidR="001049D6" w:rsidRPr="005A760B" w:rsidRDefault="001049D6" w:rsidP="00E23BC4">
            <w:pPr>
              <w:pStyle w:val="cuadroCabe"/>
              <w:jc w:val="right"/>
              <w:rPr>
                <w:lang w:val="es-ES" w:eastAsia="es-ES"/>
              </w:rPr>
            </w:pPr>
            <w:r w:rsidRPr="005A760B">
              <w:rPr>
                <w:lang w:val="es-ES" w:eastAsia="es-ES"/>
              </w:rPr>
              <w:t>100</w:t>
            </w:r>
          </w:p>
        </w:tc>
        <w:tc>
          <w:tcPr>
            <w:tcW w:w="644" w:type="dxa"/>
            <w:tcBorders>
              <w:left w:val="nil"/>
            </w:tcBorders>
            <w:shd w:val="clear" w:color="auto" w:fill="FABF8F" w:themeFill="accent6" w:themeFillTint="99"/>
            <w:vAlign w:val="center"/>
          </w:tcPr>
          <w:p w:rsidR="001049D6" w:rsidRPr="005A760B" w:rsidRDefault="001049D6" w:rsidP="00E23BC4">
            <w:pPr>
              <w:pStyle w:val="cuadroCabe"/>
              <w:jc w:val="right"/>
              <w:rPr>
                <w:lang w:val="es-ES" w:eastAsia="es-ES"/>
              </w:rPr>
            </w:pPr>
            <w:r w:rsidRPr="005A760B">
              <w:rPr>
                <w:lang w:val="es-ES" w:eastAsia="es-ES"/>
              </w:rPr>
              <w:t>100</w:t>
            </w:r>
          </w:p>
        </w:tc>
      </w:tr>
    </w:tbl>
    <w:p w:rsidR="001049D6" w:rsidRPr="005A760B" w:rsidRDefault="001049D6" w:rsidP="00000E86">
      <w:pPr>
        <w:pStyle w:val="texto"/>
        <w:spacing w:before="220" w:after="120"/>
      </w:pPr>
      <w:r w:rsidRPr="005A760B">
        <w:t>Como se observa, las variaciones entre un ejercicio y otro no son significat</w:t>
      </w:r>
      <w:r w:rsidRPr="005A760B">
        <w:t>i</w:t>
      </w:r>
      <w:r w:rsidRPr="005A760B">
        <w:t>vas, si bien el peso del gasto en inversiones aumenta en tres puntos y se co</w:t>
      </w:r>
      <w:r w:rsidRPr="005A760B">
        <w:t>m</w:t>
      </w:r>
      <w:r w:rsidRPr="005A760B">
        <w:t>pensa con la disminución del peso de los gastos de personal y de la carga f</w:t>
      </w:r>
      <w:r w:rsidRPr="005A760B">
        <w:t>i</w:t>
      </w:r>
      <w:r w:rsidRPr="005A760B">
        <w:t>nanciera en uno y dos puntos respectivamente; en cuanto a los ingresos, el peso de los ingresos tributarios y patrimoniales disminuye en un punto porcentual cada uno y se compensa con el aumento producido en los ingresos por transf</w:t>
      </w:r>
      <w:r w:rsidRPr="005A760B">
        <w:t>e</w:t>
      </w:r>
      <w:r w:rsidRPr="005A760B">
        <w:t xml:space="preserve">rencias. </w:t>
      </w:r>
    </w:p>
    <w:p w:rsidR="001049D6" w:rsidRPr="005A760B" w:rsidRDefault="001049D6" w:rsidP="00000E86">
      <w:pPr>
        <w:pStyle w:val="texto"/>
        <w:spacing w:after="120"/>
      </w:pPr>
      <w:r w:rsidRPr="005A760B">
        <w:t>El incremento de gasto de inversiones y de los ingresos por transferencias, principalmente de capital, se debe a la evolución del Plan de Inversiones Loc</w:t>
      </w:r>
      <w:r w:rsidRPr="005A760B">
        <w:t>a</w:t>
      </w:r>
      <w:r w:rsidRPr="005A760B">
        <w:t xml:space="preserve">les 2017-2019.  </w:t>
      </w:r>
    </w:p>
    <w:p w:rsidR="001049D6" w:rsidRPr="005A760B" w:rsidRDefault="001049D6" w:rsidP="00CA21EA">
      <w:pPr>
        <w:pStyle w:val="texto"/>
        <w:spacing w:after="40"/>
      </w:pPr>
      <w:r w:rsidRPr="005A760B">
        <w:t>A continuación se muestra la evolución de algunos indicadores de la situ</w:t>
      </w:r>
      <w:r w:rsidRPr="005A760B">
        <w:t>a</w:t>
      </w:r>
      <w:r w:rsidRPr="005A760B">
        <w:t>ción financiera de las entidades locales en los años 2014-2018:</w:t>
      </w:r>
    </w:p>
    <w:p w:rsidR="001049D6" w:rsidRPr="005A760B" w:rsidRDefault="001049D6" w:rsidP="00CA21EA">
      <w:pPr>
        <w:pStyle w:val="texto"/>
        <w:spacing w:before="40" w:after="60"/>
        <w:jc w:val="right"/>
        <w:rPr>
          <w:rFonts w:ascii="Arial Narrow" w:hAnsi="Arial Narrow"/>
          <w:sz w:val="20"/>
          <w:szCs w:val="20"/>
        </w:rPr>
      </w:pPr>
      <w:r w:rsidRPr="005A760B">
        <w:rPr>
          <w:rFonts w:ascii="Arial Narrow" w:hAnsi="Arial Narrow"/>
          <w:sz w:val="20"/>
          <w:szCs w:val="20"/>
        </w:rPr>
        <w:t xml:space="preserve">(en </w:t>
      </w:r>
      <w:r w:rsidR="004C2414" w:rsidRPr="005A760B">
        <w:rPr>
          <w:rFonts w:ascii="Arial Narrow" w:hAnsi="Arial Narrow"/>
          <w:sz w:val="20"/>
          <w:szCs w:val="20"/>
        </w:rPr>
        <w:t>millones</w:t>
      </w:r>
      <w:r w:rsidRPr="005A760B">
        <w:rPr>
          <w:rFonts w:ascii="Arial Narrow" w:hAnsi="Arial Narrow"/>
          <w:sz w:val="20"/>
          <w:szCs w:val="20"/>
        </w:rPr>
        <w:t>)</w:t>
      </w:r>
    </w:p>
    <w:tbl>
      <w:tblPr>
        <w:tblW w:w="5000" w:type="pct"/>
        <w:jc w:val="center"/>
        <w:tblCellMar>
          <w:left w:w="70" w:type="dxa"/>
          <w:right w:w="70" w:type="dxa"/>
        </w:tblCellMar>
        <w:tblLook w:val="04A0" w:firstRow="1" w:lastRow="0" w:firstColumn="1" w:lastColumn="0" w:noHBand="0" w:noVBand="1"/>
      </w:tblPr>
      <w:tblGrid>
        <w:gridCol w:w="2754"/>
        <w:gridCol w:w="896"/>
        <w:gridCol w:w="896"/>
        <w:gridCol w:w="895"/>
        <w:gridCol w:w="895"/>
        <w:gridCol w:w="834"/>
        <w:gridCol w:w="852"/>
        <w:gridCol w:w="907"/>
      </w:tblGrid>
      <w:tr w:rsidR="001049D6" w:rsidRPr="005A760B" w:rsidTr="009059E5">
        <w:trPr>
          <w:trHeight w:val="284"/>
          <w:jc w:val="center"/>
        </w:trPr>
        <w:tc>
          <w:tcPr>
            <w:tcW w:w="1542"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662271">
            <w:pPr>
              <w:pStyle w:val="cuadroCabe"/>
              <w:rPr>
                <w:sz w:val="16"/>
                <w:szCs w:val="16"/>
                <w:lang w:val="es-ES" w:eastAsia="es-ES"/>
              </w:rPr>
            </w:pPr>
            <w:r w:rsidRPr="005A760B">
              <w:rPr>
                <w:sz w:val="16"/>
                <w:szCs w:val="16"/>
                <w:lang w:val="es-ES" w:eastAsia="es-ES"/>
              </w:rPr>
              <w:t>Indicadores</w:t>
            </w:r>
          </w:p>
        </w:tc>
        <w:tc>
          <w:tcPr>
            <w:tcW w:w="502"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662271">
            <w:pPr>
              <w:pStyle w:val="cuadroCabe"/>
              <w:jc w:val="right"/>
              <w:rPr>
                <w:sz w:val="16"/>
                <w:szCs w:val="16"/>
                <w:lang w:val="es-ES" w:eastAsia="es-ES"/>
              </w:rPr>
            </w:pPr>
            <w:r w:rsidRPr="005A760B">
              <w:rPr>
                <w:sz w:val="16"/>
                <w:szCs w:val="16"/>
                <w:lang w:val="es-ES" w:eastAsia="es-ES"/>
              </w:rPr>
              <w:t>2014</w:t>
            </w:r>
          </w:p>
        </w:tc>
        <w:tc>
          <w:tcPr>
            <w:tcW w:w="502"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662271">
            <w:pPr>
              <w:pStyle w:val="cuadroCabe"/>
              <w:jc w:val="right"/>
              <w:rPr>
                <w:sz w:val="16"/>
                <w:szCs w:val="16"/>
                <w:lang w:val="es-ES" w:eastAsia="es-ES"/>
              </w:rPr>
            </w:pPr>
            <w:r w:rsidRPr="005A760B">
              <w:rPr>
                <w:sz w:val="16"/>
                <w:szCs w:val="16"/>
                <w:lang w:val="es-ES" w:eastAsia="es-ES"/>
              </w:rPr>
              <w:t>2015</w:t>
            </w:r>
          </w:p>
        </w:tc>
        <w:tc>
          <w:tcPr>
            <w:tcW w:w="501"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662271">
            <w:pPr>
              <w:pStyle w:val="cuadroCabe"/>
              <w:jc w:val="right"/>
              <w:rPr>
                <w:sz w:val="16"/>
                <w:szCs w:val="16"/>
                <w:lang w:val="es-ES" w:eastAsia="es-ES"/>
              </w:rPr>
            </w:pPr>
            <w:r w:rsidRPr="005A760B">
              <w:rPr>
                <w:sz w:val="16"/>
                <w:szCs w:val="16"/>
                <w:lang w:val="es-ES" w:eastAsia="es-ES"/>
              </w:rPr>
              <w:t>2016</w:t>
            </w:r>
          </w:p>
        </w:tc>
        <w:tc>
          <w:tcPr>
            <w:tcW w:w="501"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662271">
            <w:pPr>
              <w:pStyle w:val="cuadroCabe"/>
              <w:jc w:val="right"/>
              <w:rPr>
                <w:sz w:val="16"/>
                <w:szCs w:val="16"/>
                <w:lang w:val="es-ES" w:eastAsia="es-ES"/>
              </w:rPr>
            </w:pPr>
            <w:r w:rsidRPr="005A760B">
              <w:rPr>
                <w:sz w:val="16"/>
                <w:szCs w:val="16"/>
                <w:lang w:val="es-ES" w:eastAsia="es-ES"/>
              </w:rPr>
              <w:t>2017</w:t>
            </w:r>
          </w:p>
        </w:tc>
        <w:tc>
          <w:tcPr>
            <w:tcW w:w="467"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662271">
            <w:pPr>
              <w:pStyle w:val="cuadroCabe"/>
              <w:jc w:val="right"/>
              <w:rPr>
                <w:sz w:val="16"/>
                <w:szCs w:val="16"/>
                <w:lang w:val="es-ES" w:eastAsia="es-ES"/>
              </w:rPr>
            </w:pPr>
            <w:r w:rsidRPr="005A760B">
              <w:rPr>
                <w:sz w:val="16"/>
                <w:szCs w:val="16"/>
                <w:lang w:val="es-ES" w:eastAsia="es-ES"/>
              </w:rPr>
              <w:t>2018</w:t>
            </w:r>
          </w:p>
        </w:tc>
        <w:tc>
          <w:tcPr>
            <w:tcW w:w="477"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662271">
            <w:pPr>
              <w:pStyle w:val="cuadroCabe"/>
              <w:rPr>
                <w:sz w:val="16"/>
                <w:szCs w:val="16"/>
                <w:lang w:val="es-ES" w:eastAsia="es-ES"/>
              </w:rPr>
            </w:pPr>
            <w:r w:rsidRPr="005A760B">
              <w:rPr>
                <w:sz w:val="16"/>
                <w:szCs w:val="16"/>
                <w:lang w:val="es-ES" w:eastAsia="es-ES"/>
              </w:rPr>
              <w:t xml:space="preserve">% </w:t>
            </w:r>
            <w:r w:rsidR="009059E5" w:rsidRPr="005A760B">
              <w:rPr>
                <w:sz w:val="16"/>
                <w:szCs w:val="16"/>
                <w:lang w:val="es-ES" w:eastAsia="es-ES"/>
              </w:rPr>
              <w:t>Varia</w:t>
            </w:r>
            <w:r w:rsidRPr="005A760B">
              <w:rPr>
                <w:sz w:val="16"/>
                <w:szCs w:val="16"/>
                <w:lang w:val="es-ES" w:eastAsia="es-ES"/>
              </w:rPr>
              <w:t>. 2018/14</w:t>
            </w:r>
          </w:p>
        </w:tc>
        <w:tc>
          <w:tcPr>
            <w:tcW w:w="508"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662271">
            <w:pPr>
              <w:pStyle w:val="cuadroCabe"/>
              <w:jc w:val="right"/>
              <w:rPr>
                <w:sz w:val="16"/>
                <w:szCs w:val="16"/>
                <w:lang w:val="es-ES" w:eastAsia="es-ES"/>
              </w:rPr>
            </w:pPr>
            <w:r w:rsidRPr="005A760B">
              <w:rPr>
                <w:sz w:val="16"/>
                <w:szCs w:val="16"/>
                <w:lang w:val="es-ES" w:eastAsia="es-ES"/>
              </w:rPr>
              <w:t xml:space="preserve">% </w:t>
            </w:r>
            <w:proofErr w:type="spellStart"/>
            <w:r w:rsidR="00CA21EA" w:rsidRPr="005A760B">
              <w:rPr>
                <w:sz w:val="16"/>
                <w:szCs w:val="16"/>
                <w:lang w:val="es-ES" w:eastAsia="es-ES"/>
              </w:rPr>
              <w:t>Variac</w:t>
            </w:r>
            <w:proofErr w:type="spellEnd"/>
            <w:r w:rsidRPr="005A760B">
              <w:rPr>
                <w:sz w:val="16"/>
                <w:szCs w:val="16"/>
                <w:lang w:val="es-ES" w:eastAsia="es-ES"/>
              </w:rPr>
              <w:t>. 2018/17</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lang w:val="es-ES" w:eastAsia="es-ES"/>
              </w:rPr>
            </w:pPr>
            <w:r w:rsidRPr="005A760B">
              <w:rPr>
                <w:rFonts w:cs="Calibri"/>
                <w:lang w:val="es-ES" w:eastAsia="es-ES"/>
              </w:rPr>
              <w:t>Total ingresos</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747,88</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751,27</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765,30</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784,48</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839,48</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12</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7</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lang w:val="es-ES" w:eastAsia="es-ES"/>
              </w:rPr>
            </w:pPr>
            <w:r w:rsidRPr="005A760B">
              <w:rPr>
                <w:rFonts w:cs="Calibri"/>
                <w:lang w:val="es-ES" w:eastAsia="es-ES"/>
              </w:rPr>
              <w:t>Total gastos</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720,77</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732,93</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717,40</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758,13</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787,98</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9</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4</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lang w:val="es-ES" w:eastAsia="es-ES"/>
              </w:rPr>
            </w:pPr>
            <w:r w:rsidRPr="005A760B">
              <w:rPr>
                <w:rFonts w:cs="Calibri"/>
                <w:lang w:val="es-ES" w:eastAsia="es-ES"/>
              </w:rPr>
              <w:t>Ingresos tributarios</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348,96</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359,12</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371,55</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368,83</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385,04</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10</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4</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lang w:val="es-ES" w:eastAsia="es-ES"/>
              </w:rPr>
            </w:pPr>
            <w:r w:rsidRPr="005A760B">
              <w:rPr>
                <w:rFonts w:cs="Calibri"/>
                <w:lang w:val="es-ES" w:eastAsia="es-ES"/>
              </w:rPr>
              <w:t>Ingresos por transferencias</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336,54</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323,05</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332</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347,39</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390,26</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16</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12</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lang w:val="es-ES" w:eastAsia="es-ES"/>
              </w:rPr>
            </w:pPr>
            <w:r w:rsidRPr="005A760B">
              <w:rPr>
                <w:rFonts w:cs="Calibri"/>
                <w:lang w:val="es-ES" w:eastAsia="es-ES"/>
              </w:rPr>
              <w:t>Gastos de funcionamiento</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584,5</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591,74</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598,92</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610,52</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626,02</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7</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3</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lang w:val="es-ES" w:eastAsia="es-ES"/>
              </w:rPr>
            </w:pPr>
            <w:r w:rsidRPr="005A760B">
              <w:rPr>
                <w:rFonts w:cs="Calibri"/>
                <w:lang w:val="es-ES" w:eastAsia="es-ES"/>
              </w:rPr>
              <w:t>Gasto</w:t>
            </w:r>
            <w:r w:rsidR="005F216E" w:rsidRPr="005A760B">
              <w:rPr>
                <w:rFonts w:cs="Calibri"/>
                <w:lang w:val="es-ES" w:eastAsia="es-ES"/>
              </w:rPr>
              <w:t>s</w:t>
            </w:r>
            <w:r w:rsidRPr="005A760B">
              <w:rPr>
                <w:rFonts w:cs="Calibri"/>
                <w:lang w:val="es-ES" w:eastAsia="es-ES"/>
              </w:rPr>
              <w:t xml:space="preserve"> de capital</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94,68</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79,57</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79,69</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98,25</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125,09</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32</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27</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8857DE">
            <w:pPr>
              <w:pStyle w:val="cuatexto"/>
              <w:rPr>
                <w:rFonts w:cs="Calibri"/>
                <w:lang w:val="es-ES" w:eastAsia="es-ES"/>
              </w:rPr>
            </w:pPr>
            <w:proofErr w:type="spellStart"/>
            <w:r w:rsidRPr="005A760B">
              <w:rPr>
                <w:rFonts w:cs="Calibri"/>
                <w:lang w:val="es-ES" w:eastAsia="es-ES"/>
              </w:rPr>
              <w:t>R</w:t>
            </w:r>
            <w:r w:rsidR="008857DE" w:rsidRPr="005A760B">
              <w:rPr>
                <w:rFonts w:cs="Calibri"/>
                <w:lang w:val="es-ES" w:eastAsia="es-ES"/>
              </w:rPr>
              <w:t>do.prtario.</w:t>
            </w:r>
            <w:r w:rsidRPr="005A760B">
              <w:rPr>
                <w:rFonts w:cs="Calibri"/>
                <w:lang w:val="es-ES" w:eastAsia="es-ES"/>
              </w:rPr>
              <w:t>no</w:t>
            </w:r>
            <w:proofErr w:type="spellEnd"/>
            <w:r w:rsidRPr="005A760B">
              <w:rPr>
                <w:rFonts w:cs="Calibri"/>
                <w:lang w:val="es-ES" w:eastAsia="es-ES"/>
              </w:rPr>
              <w:t xml:space="preserve"> financiero</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56,02</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60,42</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78,22</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62,70</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81,22</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45</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30</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lang w:val="es-ES" w:eastAsia="es-ES"/>
              </w:rPr>
            </w:pPr>
            <w:r w:rsidRPr="005A760B">
              <w:rPr>
                <w:rFonts w:cs="Calibri"/>
                <w:lang w:val="es-ES" w:eastAsia="es-ES"/>
              </w:rPr>
              <w:t xml:space="preserve">Ahorro bruto </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110,94</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112,95</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123,24</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112,17</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126,60</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14</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13</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lang w:val="es-ES" w:eastAsia="es-ES"/>
              </w:rPr>
            </w:pPr>
            <w:r w:rsidRPr="005A760B">
              <w:rPr>
                <w:rFonts w:cs="Calibri"/>
                <w:lang w:val="es-ES" w:eastAsia="es-ES"/>
              </w:rPr>
              <w:t>Carga financiera</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39,08</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49,89</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37,59</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47,59</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35,00</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-10</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-26</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lang w:val="es-ES" w:eastAsia="es-ES"/>
              </w:rPr>
            </w:pPr>
            <w:r w:rsidRPr="005A760B">
              <w:rPr>
                <w:rFonts w:cs="Calibri"/>
                <w:lang w:val="es-ES" w:eastAsia="es-ES"/>
              </w:rPr>
              <w:t xml:space="preserve">Ahorro neto </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71,8</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63</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85,41</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64,58</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91,60</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28</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42</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lang w:val="es-ES" w:eastAsia="es-ES"/>
              </w:rPr>
            </w:pPr>
            <w:r w:rsidRPr="005A760B">
              <w:rPr>
                <w:rFonts w:cs="Calibri"/>
                <w:lang w:val="es-ES" w:eastAsia="es-ES"/>
              </w:rPr>
              <w:t>Índice de carga financiera</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5,61</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7,08</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5,23</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6,58</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4,65</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-17</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-29</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lang w:val="es-ES" w:eastAsia="es-ES"/>
              </w:rPr>
            </w:pPr>
            <w:r w:rsidRPr="005A760B">
              <w:rPr>
                <w:rFonts w:cs="Calibri"/>
                <w:lang w:val="es-ES" w:eastAsia="es-ES"/>
              </w:rPr>
              <w:t xml:space="preserve">% ahorro bruto / </w:t>
            </w:r>
            <w:proofErr w:type="spellStart"/>
            <w:r w:rsidRPr="005A760B">
              <w:rPr>
                <w:rFonts w:cs="Calibri"/>
                <w:lang w:val="es-ES" w:eastAsia="es-ES"/>
              </w:rPr>
              <w:t>ingr</w:t>
            </w:r>
            <w:proofErr w:type="spellEnd"/>
            <w:r w:rsidR="00662271" w:rsidRPr="005A760B">
              <w:rPr>
                <w:rFonts w:cs="Calibri"/>
                <w:lang w:val="es-ES" w:eastAsia="es-ES"/>
              </w:rPr>
              <w:t>.</w:t>
            </w:r>
            <w:r w:rsidRPr="005A760B">
              <w:rPr>
                <w:rFonts w:cs="Calibri"/>
                <w:lang w:val="es-ES" w:eastAsia="es-ES"/>
              </w:rPr>
              <w:t xml:space="preserve"> corrientes</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15,83</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15,98</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17,15</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15,52</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16,82</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6</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8</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lang w:val="es-ES" w:eastAsia="es-ES"/>
              </w:rPr>
            </w:pPr>
            <w:r w:rsidRPr="005A760B">
              <w:rPr>
                <w:rFonts w:cs="Calibri"/>
                <w:lang w:val="es-ES" w:eastAsia="es-ES"/>
              </w:rPr>
              <w:t>% Capacidad de endeudamiento</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10,22</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9,19</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11,92</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8,94</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12,17</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19</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36</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rPr>
                <w:rFonts w:cs="Calibri"/>
                <w:lang w:val="es-ES" w:eastAsia="es-ES"/>
              </w:rPr>
            </w:pPr>
            <w:r w:rsidRPr="005A760B">
              <w:rPr>
                <w:rFonts w:cs="Calibri"/>
                <w:lang w:val="es-ES" w:eastAsia="es-ES"/>
              </w:rPr>
              <w:t>Deuda viva</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337,96</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301,39</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280,46</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234,26</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207,63</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-39</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-11</w:t>
            </w:r>
          </w:p>
        </w:tc>
      </w:tr>
      <w:tr w:rsidR="001049D6" w:rsidRPr="005A760B" w:rsidTr="009059E5">
        <w:trPr>
          <w:trHeight w:val="238"/>
          <w:jc w:val="center"/>
        </w:trPr>
        <w:tc>
          <w:tcPr>
            <w:tcW w:w="1542" w:type="pct"/>
            <w:tcBorders>
              <w:top w:val="nil"/>
              <w:left w:val="nil"/>
              <w:bottom w:val="single" w:sz="4" w:space="0" w:color="auto"/>
              <w:right w:val="nil"/>
            </w:tcBorders>
            <w:shd w:val="clear" w:color="auto" w:fill="auto"/>
            <w:vAlign w:val="center"/>
            <w:hideMark/>
          </w:tcPr>
          <w:p w:rsidR="001049D6" w:rsidRPr="005A760B" w:rsidRDefault="001049D6" w:rsidP="008857DE">
            <w:pPr>
              <w:pStyle w:val="cuatexto"/>
              <w:rPr>
                <w:rFonts w:cs="Calibri"/>
                <w:lang w:val="es-ES" w:eastAsia="es-ES"/>
              </w:rPr>
            </w:pPr>
            <w:proofErr w:type="spellStart"/>
            <w:r w:rsidRPr="005A760B">
              <w:rPr>
                <w:rFonts w:cs="Calibri"/>
                <w:lang w:val="es-ES" w:eastAsia="es-ES"/>
              </w:rPr>
              <w:t>Reman</w:t>
            </w:r>
            <w:r w:rsidR="008857DE" w:rsidRPr="005A760B">
              <w:rPr>
                <w:rFonts w:cs="Calibri"/>
                <w:lang w:val="es-ES" w:eastAsia="es-ES"/>
              </w:rPr>
              <w:t>.</w:t>
            </w:r>
            <w:r w:rsidRPr="005A760B">
              <w:rPr>
                <w:rFonts w:cs="Calibri"/>
                <w:lang w:val="es-ES" w:eastAsia="es-ES"/>
              </w:rPr>
              <w:t>Tesor</w:t>
            </w:r>
            <w:r w:rsidR="008857DE" w:rsidRPr="005A760B">
              <w:rPr>
                <w:rFonts w:cs="Calibri"/>
                <w:lang w:val="es-ES" w:eastAsia="es-ES"/>
              </w:rPr>
              <w:t>.</w:t>
            </w:r>
            <w:r w:rsidRPr="005A760B">
              <w:rPr>
                <w:rFonts w:cs="Calibri"/>
                <w:lang w:val="es-ES" w:eastAsia="es-ES"/>
              </w:rPr>
              <w:t>gastos</w:t>
            </w:r>
            <w:proofErr w:type="spellEnd"/>
            <w:r w:rsidRPr="005A760B">
              <w:rPr>
                <w:rFonts w:cs="Calibri"/>
                <w:lang w:val="es-ES" w:eastAsia="es-ES"/>
              </w:rPr>
              <w:t xml:space="preserve"> generales.</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171,28</w:t>
            </w:r>
          </w:p>
        </w:tc>
        <w:tc>
          <w:tcPr>
            <w:tcW w:w="502"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192,42</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226,99</w:t>
            </w:r>
          </w:p>
        </w:tc>
        <w:tc>
          <w:tcPr>
            <w:tcW w:w="501"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238,45</w:t>
            </w:r>
          </w:p>
        </w:tc>
        <w:tc>
          <w:tcPr>
            <w:tcW w:w="46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250,65</w:t>
            </w:r>
          </w:p>
        </w:tc>
        <w:tc>
          <w:tcPr>
            <w:tcW w:w="477"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46</w:t>
            </w:r>
          </w:p>
        </w:tc>
        <w:tc>
          <w:tcPr>
            <w:tcW w:w="508" w:type="pct"/>
            <w:tcBorders>
              <w:top w:val="nil"/>
              <w:left w:val="nil"/>
              <w:bottom w:val="single" w:sz="4"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5</w:t>
            </w:r>
          </w:p>
        </w:tc>
      </w:tr>
    </w:tbl>
    <w:p w:rsidR="001049D6" w:rsidRPr="005A760B" w:rsidRDefault="001049D6" w:rsidP="00000E86">
      <w:pPr>
        <w:pStyle w:val="texto"/>
        <w:spacing w:before="240"/>
      </w:pPr>
      <w:r w:rsidRPr="005A760B">
        <w:t>De los datos del cuadro anterior destacamos los siguientes:</w:t>
      </w:r>
    </w:p>
    <w:p w:rsidR="001049D6" w:rsidRPr="005A760B" w:rsidRDefault="001049D6" w:rsidP="00000E8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spacing w:val="4"/>
        </w:rPr>
      </w:pPr>
      <w:r w:rsidRPr="005A760B">
        <w:rPr>
          <w:rFonts w:cs="Arial"/>
          <w:spacing w:val="4"/>
        </w:rPr>
        <w:t>En comparación con 2017, los gastos aumentaron un cuatro por ciento mie</w:t>
      </w:r>
      <w:r w:rsidRPr="005A760B">
        <w:rPr>
          <w:rFonts w:cs="Arial"/>
          <w:spacing w:val="4"/>
        </w:rPr>
        <w:t>n</w:t>
      </w:r>
      <w:r w:rsidRPr="005A760B">
        <w:rPr>
          <w:rFonts w:cs="Arial"/>
          <w:spacing w:val="4"/>
        </w:rPr>
        <w:t>tras que los ingresos un siete por ciento. La evolución respecto a 2014 presenta el mismo signo</w:t>
      </w:r>
      <w:r w:rsidR="001B6928">
        <w:rPr>
          <w:rFonts w:cs="Arial"/>
          <w:spacing w:val="4"/>
        </w:rPr>
        <w:t>,</w:t>
      </w:r>
      <w:r w:rsidRPr="005A760B">
        <w:rPr>
          <w:rFonts w:cs="Arial"/>
          <w:spacing w:val="4"/>
        </w:rPr>
        <w:t xml:space="preserve"> si bien los porcentajes de variación han sido de un nueve por ciento en cuanto a los gastos y un 12 por ciento en cuanto a los ingresos.</w:t>
      </w:r>
    </w:p>
    <w:p w:rsidR="001049D6" w:rsidRPr="005A760B" w:rsidRDefault="001049D6" w:rsidP="00000E8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Los gastos de capital supusieron 125,09 millones, siendo el gasto que más aumenta respecto al ejercicio 2017, un porcentaje de incremento que alcanza el 27 por ciento.</w:t>
      </w:r>
    </w:p>
    <w:p w:rsidR="001049D6" w:rsidRPr="005A760B" w:rsidRDefault="001049D6" w:rsidP="00000E8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 xml:space="preserve">En 2018, el sector público local generó un ahorro neto de </w:t>
      </w:r>
      <w:r w:rsidR="0045051C" w:rsidRPr="005A760B">
        <w:rPr>
          <w:rFonts w:cs="Arial"/>
        </w:rPr>
        <w:t>91,6</w:t>
      </w:r>
      <w:r w:rsidRPr="005A760B">
        <w:rPr>
          <w:rFonts w:cs="Arial"/>
        </w:rPr>
        <w:t xml:space="preserve"> millones, una vez atendidos los gastos de funcionamiento y la carga financiera de la de</w:t>
      </w:r>
      <w:r w:rsidRPr="005A760B">
        <w:rPr>
          <w:rFonts w:cs="Arial"/>
        </w:rPr>
        <w:t>u</w:t>
      </w:r>
      <w:r w:rsidRPr="005A760B">
        <w:rPr>
          <w:rFonts w:cs="Arial"/>
        </w:rPr>
        <w:t xml:space="preserve">da. Este ahorro es superior al obtenido en 2014 en un </w:t>
      </w:r>
      <w:r w:rsidR="0045051C" w:rsidRPr="005A760B">
        <w:rPr>
          <w:rFonts w:cs="Arial"/>
        </w:rPr>
        <w:t>28</w:t>
      </w:r>
      <w:r w:rsidRPr="005A760B">
        <w:rPr>
          <w:rFonts w:cs="Arial"/>
        </w:rPr>
        <w:t xml:space="preserve"> por ciento</w:t>
      </w:r>
      <w:r w:rsidR="0045051C" w:rsidRPr="005A760B">
        <w:rPr>
          <w:rFonts w:cs="Arial"/>
        </w:rPr>
        <w:t xml:space="preserve"> y ha aume</w:t>
      </w:r>
      <w:r w:rsidR="0045051C" w:rsidRPr="005A760B">
        <w:rPr>
          <w:rFonts w:cs="Arial"/>
        </w:rPr>
        <w:t>n</w:t>
      </w:r>
      <w:r w:rsidR="0045051C" w:rsidRPr="005A760B">
        <w:rPr>
          <w:rFonts w:cs="Arial"/>
        </w:rPr>
        <w:t xml:space="preserve">tado </w:t>
      </w:r>
      <w:r w:rsidRPr="005A760B">
        <w:rPr>
          <w:rFonts w:cs="Arial"/>
        </w:rPr>
        <w:t xml:space="preserve">respecto a 2017 en un </w:t>
      </w:r>
      <w:r w:rsidR="0045051C" w:rsidRPr="005A760B">
        <w:rPr>
          <w:rFonts w:cs="Arial"/>
        </w:rPr>
        <w:t>42</w:t>
      </w:r>
      <w:r w:rsidRPr="005A760B">
        <w:rPr>
          <w:rFonts w:cs="Arial"/>
        </w:rPr>
        <w:t xml:space="preserve"> por ciento. Dicho </w:t>
      </w:r>
      <w:r w:rsidR="0045051C" w:rsidRPr="005A760B">
        <w:rPr>
          <w:rFonts w:cs="Arial"/>
        </w:rPr>
        <w:t>in</w:t>
      </w:r>
      <w:r w:rsidRPr="005A760B">
        <w:rPr>
          <w:rFonts w:cs="Arial"/>
        </w:rPr>
        <w:t xml:space="preserve">cremento es debido al </w:t>
      </w:r>
      <w:r w:rsidR="0045051C" w:rsidRPr="005A760B">
        <w:rPr>
          <w:rFonts w:cs="Arial"/>
        </w:rPr>
        <w:t>a</w:t>
      </w:r>
      <w:r w:rsidR="0045051C" w:rsidRPr="005A760B">
        <w:rPr>
          <w:rFonts w:cs="Arial"/>
        </w:rPr>
        <w:t>u</w:t>
      </w:r>
      <w:r w:rsidR="0045051C" w:rsidRPr="005A760B">
        <w:rPr>
          <w:rFonts w:cs="Arial"/>
        </w:rPr>
        <w:t>mento</w:t>
      </w:r>
      <w:r w:rsidRPr="005A760B">
        <w:rPr>
          <w:rFonts w:cs="Arial"/>
        </w:rPr>
        <w:t xml:space="preserve"> del ahorro </w:t>
      </w:r>
      <w:r w:rsidR="00662271" w:rsidRPr="005A760B">
        <w:rPr>
          <w:rFonts w:cs="Arial"/>
        </w:rPr>
        <w:t>bruto,</w:t>
      </w:r>
      <w:r w:rsidRPr="005A760B">
        <w:rPr>
          <w:rFonts w:cs="Arial"/>
        </w:rPr>
        <w:t xml:space="preserve"> así como al </w:t>
      </w:r>
      <w:r w:rsidR="0045051C" w:rsidRPr="005A760B">
        <w:rPr>
          <w:rFonts w:cs="Arial"/>
        </w:rPr>
        <w:t>de</w:t>
      </w:r>
      <w:r w:rsidRPr="005A760B">
        <w:rPr>
          <w:rFonts w:cs="Arial"/>
        </w:rPr>
        <w:t xml:space="preserve">cremento de carga financiera, esta última ha </w:t>
      </w:r>
      <w:r w:rsidR="0045051C" w:rsidRPr="005A760B">
        <w:rPr>
          <w:rFonts w:cs="Arial"/>
        </w:rPr>
        <w:t>disminui</w:t>
      </w:r>
      <w:r w:rsidRPr="005A760B">
        <w:rPr>
          <w:rFonts w:cs="Arial"/>
        </w:rPr>
        <w:t>do un 26 por ciento respecto a 2017.</w:t>
      </w:r>
    </w:p>
    <w:p w:rsidR="001049D6" w:rsidRPr="005A760B" w:rsidRDefault="001049D6" w:rsidP="00000E8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spacing w:val="8"/>
        </w:rPr>
      </w:pPr>
      <w:r w:rsidRPr="005A760B">
        <w:rPr>
          <w:rFonts w:cs="Arial"/>
          <w:spacing w:val="8"/>
        </w:rPr>
        <w:t xml:space="preserve">La deuda viva de las entidades locales de Navarra en 2018 ascendía a </w:t>
      </w:r>
      <w:r w:rsidR="0020398D" w:rsidRPr="005A760B">
        <w:rPr>
          <w:rFonts w:cs="Arial"/>
          <w:spacing w:val="8"/>
        </w:rPr>
        <w:t>20</w:t>
      </w:r>
      <w:r w:rsidR="0045051C" w:rsidRPr="005A760B">
        <w:rPr>
          <w:rFonts w:cs="Arial"/>
          <w:spacing w:val="8"/>
        </w:rPr>
        <w:t>7,63</w:t>
      </w:r>
      <w:r w:rsidRPr="005A760B">
        <w:rPr>
          <w:rFonts w:cs="Arial"/>
          <w:spacing w:val="8"/>
        </w:rPr>
        <w:t xml:space="preserve"> millones, a un tipo medio de interés del 1,5</w:t>
      </w:r>
      <w:r w:rsidR="0045051C" w:rsidRPr="005A760B">
        <w:rPr>
          <w:rFonts w:cs="Arial"/>
          <w:spacing w:val="8"/>
        </w:rPr>
        <w:t>0</w:t>
      </w:r>
      <w:r w:rsidRPr="005A760B">
        <w:rPr>
          <w:rFonts w:cs="Arial"/>
          <w:spacing w:val="8"/>
        </w:rPr>
        <w:t xml:space="preserve"> por ciento y con un plazo medio de vencimiento de 10,</w:t>
      </w:r>
      <w:r w:rsidR="0045051C" w:rsidRPr="005A760B">
        <w:rPr>
          <w:rFonts w:cs="Arial"/>
          <w:spacing w:val="8"/>
        </w:rPr>
        <w:t>07</w:t>
      </w:r>
      <w:r w:rsidRPr="005A760B">
        <w:rPr>
          <w:rFonts w:cs="Arial"/>
          <w:spacing w:val="8"/>
        </w:rPr>
        <w:t xml:space="preserve"> años. Si comparamos los datos con 201</w:t>
      </w:r>
      <w:r w:rsidR="0045051C" w:rsidRPr="005A760B">
        <w:rPr>
          <w:rFonts w:cs="Arial"/>
          <w:spacing w:val="8"/>
        </w:rPr>
        <w:t>4</w:t>
      </w:r>
      <w:r w:rsidRPr="005A760B">
        <w:rPr>
          <w:rFonts w:cs="Arial"/>
          <w:spacing w:val="8"/>
        </w:rPr>
        <w:t xml:space="preserve"> y 2017, se observa un descenso del </w:t>
      </w:r>
      <w:r w:rsidR="0045051C" w:rsidRPr="005A760B">
        <w:rPr>
          <w:rFonts w:cs="Arial"/>
          <w:spacing w:val="8"/>
        </w:rPr>
        <w:t>39</w:t>
      </w:r>
      <w:r w:rsidRPr="005A760B">
        <w:rPr>
          <w:rFonts w:cs="Arial"/>
          <w:spacing w:val="8"/>
        </w:rPr>
        <w:t xml:space="preserve"> y del 1</w:t>
      </w:r>
      <w:r w:rsidR="0045051C" w:rsidRPr="005A760B">
        <w:rPr>
          <w:rFonts w:cs="Arial"/>
          <w:spacing w:val="8"/>
        </w:rPr>
        <w:t>1</w:t>
      </w:r>
      <w:r w:rsidRPr="005A760B">
        <w:rPr>
          <w:rFonts w:cs="Arial"/>
          <w:spacing w:val="8"/>
        </w:rPr>
        <w:t xml:space="preserve"> por ciento, respectivamente. E</w:t>
      </w:r>
      <w:r w:rsidRPr="005A760B">
        <w:rPr>
          <w:rFonts w:cs="Arial"/>
          <w:spacing w:val="8"/>
        </w:rPr>
        <w:t>s</w:t>
      </w:r>
      <w:r w:rsidRPr="005A760B">
        <w:rPr>
          <w:rFonts w:cs="Arial"/>
          <w:spacing w:val="8"/>
        </w:rPr>
        <w:t xml:space="preserve">tas disminuciones tan significativas se deben, en parte, a las exigencias </w:t>
      </w:r>
      <w:r w:rsidR="005F216E" w:rsidRPr="005A760B">
        <w:rPr>
          <w:rFonts w:cs="Arial"/>
          <w:spacing w:val="8"/>
        </w:rPr>
        <w:t xml:space="preserve">de la </w:t>
      </w:r>
      <w:r w:rsidRPr="005A760B">
        <w:rPr>
          <w:spacing w:val="8"/>
        </w:rPr>
        <w:t>Ley Orgánica 2/2012, de 27 de abril, de Estabilidad Presupuestar</w:t>
      </w:r>
      <w:r w:rsidR="005F216E" w:rsidRPr="005A760B">
        <w:rPr>
          <w:spacing w:val="8"/>
        </w:rPr>
        <w:t>ia y Sosten</w:t>
      </w:r>
      <w:r w:rsidR="005F216E" w:rsidRPr="005A760B">
        <w:rPr>
          <w:spacing w:val="8"/>
        </w:rPr>
        <w:t>i</w:t>
      </w:r>
      <w:r w:rsidR="005F216E" w:rsidRPr="005A760B">
        <w:rPr>
          <w:spacing w:val="8"/>
        </w:rPr>
        <w:t>bilidad Financiera (</w:t>
      </w:r>
      <w:proofErr w:type="spellStart"/>
      <w:r w:rsidRPr="005A760B">
        <w:rPr>
          <w:rFonts w:cs="Arial"/>
          <w:spacing w:val="8"/>
        </w:rPr>
        <w:t>LOEPySF</w:t>
      </w:r>
      <w:proofErr w:type="spellEnd"/>
      <w:r w:rsidR="005F216E" w:rsidRPr="005A760B">
        <w:rPr>
          <w:rFonts w:cs="Arial"/>
          <w:spacing w:val="8"/>
        </w:rPr>
        <w:t xml:space="preserve"> en adelante</w:t>
      </w:r>
      <w:r w:rsidRPr="005A760B">
        <w:rPr>
          <w:rFonts w:cs="Arial"/>
          <w:spacing w:val="8"/>
        </w:rPr>
        <w:t xml:space="preserve">), que han hecho que en 2018 se amortizara deuda por importe de </w:t>
      </w:r>
      <w:r w:rsidR="0045051C" w:rsidRPr="005A760B">
        <w:rPr>
          <w:rFonts w:cs="Arial"/>
          <w:spacing w:val="8"/>
        </w:rPr>
        <w:t>32,7</w:t>
      </w:r>
      <w:r w:rsidRPr="005A760B">
        <w:rPr>
          <w:rFonts w:cs="Arial"/>
          <w:spacing w:val="8"/>
        </w:rPr>
        <w:t xml:space="preserve"> millones </w:t>
      </w:r>
      <w:r w:rsidR="004C2414" w:rsidRPr="005A760B">
        <w:rPr>
          <w:rFonts w:cs="Arial"/>
          <w:spacing w:val="8"/>
        </w:rPr>
        <w:t>mientras que</w:t>
      </w:r>
      <w:r w:rsidRPr="005A760B">
        <w:rPr>
          <w:rFonts w:cs="Arial"/>
          <w:spacing w:val="8"/>
        </w:rPr>
        <w:t xml:space="preserve"> la nueva deuda</w:t>
      </w:r>
      <w:r w:rsidR="005F216E" w:rsidRPr="005A760B">
        <w:rPr>
          <w:rFonts w:cs="Arial"/>
          <w:spacing w:val="8"/>
        </w:rPr>
        <w:t xml:space="preserve"> concertada</w:t>
      </w:r>
      <w:r w:rsidRPr="005A760B">
        <w:rPr>
          <w:rFonts w:cs="Arial"/>
          <w:spacing w:val="8"/>
        </w:rPr>
        <w:t xml:space="preserve"> </w:t>
      </w:r>
      <w:r w:rsidR="004C2414" w:rsidRPr="005A760B">
        <w:rPr>
          <w:rFonts w:cs="Arial"/>
          <w:spacing w:val="8"/>
        </w:rPr>
        <w:t>fue tan solo de</w:t>
      </w:r>
      <w:r w:rsidRPr="005A760B">
        <w:rPr>
          <w:rFonts w:cs="Arial"/>
          <w:spacing w:val="8"/>
        </w:rPr>
        <w:t xml:space="preserve"> </w:t>
      </w:r>
      <w:r w:rsidR="0045051C" w:rsidRPr="005A760B">
        <w:rPr>
          <w:rFonts w:cs="Arial"/>
          <w:spacing w:val="8"/>
        </w:rPr>
        <w:t>4,1</w:t>
      </w:r>
      <w:r w:rsidRPr="005A760B">
        <w:rPr>
          <w:rFonts w:cs="Arial"/>
          <w:spacing w:val="8"/>
        </w:rPr>
        <w:t xml:space="preserve"> </w:t>
      </w:r>
      <w:r w:rsidR="0020398D" w:rsidRPr="005A760B">
        <w:rPr>
          <w:rFonts w:cs="Arial"/>
          <w:spacing w:val="8"/>
        </w:rPr>
        <w:t>millones.</w:t>
      </w:r>
    </w:p>
    <w:p w:rsidR="001049D6" w:rsidRPr="005A760B" w:rsidRDefault="001049D6" w:rsidP="00000E8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280"/>
        <w:ind w:left="0" w:firstLine="289"/>
        <w:rPr>
          <w:rFonts w:cs="Arial"/>
        </w:rPr>
      </w:pPr>
      <w:r w:rsidRPr="005A760B">
        <w:rPr>
          <w:rFonts w:cs="Arial"/>
        </w:rPr>
        <w:t>El remanente de tesorería para gastos generales, excedente de recursos g</w:t>
      </w:r>
      <w:r w:rsidRPr="005A760B">
        <w:rPr>
          <w:rFonts w:cs="Arial"/>
        </w:rPr>
        <w:t>e</w:t>
      </w:r>
      <w:r w:rsidRPr="005A760B">
        <w:rPr>
          <w:rFonts w:cs="Arial"/>
        </w:rPr>
        <w:t xml:space="preserve">nerados que puede ser utilizado para financiar modificaciones presupuestarias </w:t>
      </w:r>
      <w:r w:rsidR="004F1144" w:rsidRPr="005A760B">
        <w:rPr>
          <w:rFonts w:cs="Arial"/>
        </w:rPr>
        <w:t>de</w:t>
      </w:r>
      <w:r w:rsidRPr="005A760B">
        <w:rPr>
          <w:rFonts w:cs="Arial"/>
        </w:rPr>
        <w:t xml:space="preserve"> gastos en ejercicios siguientes, ascendió en 2018 a </w:t>
      </w:r>
      <w:r w:rsidR="00F96C33" w:rsidRPr="005A760B">
        <w:rPr>
          <w:rFonts w:cs="Arial"/>
        </w:rPr>
        <w:t>250,65</w:t>
      </w:r>
      <w:r w:rsidRPr="005A760B">
        <w:rPr>
          <w:rFonts w:cs="Arial"/>
        </w:rPr>
        <w:t xml:space="preserve"> millones, prese</w:t>
      </w:r>
      <w:r w:rsidRPr="005A760B">
        <w:rPr>
          <w:rFonts w:cs="Arial"/>
        </w:rPr>
        <w:t>n</w:t>
      </w:r>
      <w:r w:rsidRPr="005A760B">
        <w:rPr>
          <w:rFonts w:cs="Arial"/>
        </w:rPr>
        <w:t xml:space="preserve">tando también una tendencia creciente respecto a 2014 y 2017 al aumentar un </w:t>
      </w:r>
      <w:r w:rsidR="00F96C33" w:rsidRPr="005A760B">
        <w:rPr>
          <w:rFonts w:cs="Arial"/>
        </w:rPr>
        <w:t>46</w:t>
      </w:r>
      <w:r w:rsidRPr="005A760B">
        <w:rPr>
          <w:rFonts w:cs="Arial"/>
        </w:rPr>
        <w:t xml:space="preserve"> y un cinco por ciento respectivamente.</w:t>
      </w:r>
    </w:p>
    <w:p w:rsidR="001049D6" w:rsidRPr="005A760B" w:rsidRDefault="001049D6" w:rsidP="009059E5">
      <w:pPr>
        <w:pStyle w:val="atitulo2"/>
        <w:spacing w:after="200"/>
        <w:rPr>
          <w:color w:val="auto"/>
        </w:rPr>
      </w:pPr>
      <w:bookmarkStart w:id="71" w:name="_Toc529773885"/>
      <w:bookmarkStart w:id="72" w:name="_Toc24100146"/>
      <w:bookmarkStart w:id="73" w:name="_Toc52348294"/>
      <w:bookmarkStart w:id="74" w:name="_Toc54691927"/>
      <w:r w:rsidRPr="005A760B">
        <w:rPr>
          <w:color w:val="auto"/>
        </w:rPr>
        <w:t>V.4. Objetivos de estabilidad presupuestaria y sostenibilidad financiera</w:t>
      </w:r>
      <w:bookmarkEnd w:id="71"/>
      <w:bookmarkEnd w:id="72"/>
      <w:bookmarkEnd w:id="73"/>
      <w:bookmarkEnd w:id="74"/>
    </w:p>
    <w:p w:rsidR="001049D6" w:rsidRPr="005A760B" w:rsidRDefault="001049D6" w:rsidP="009059E5">
      <w:pPr>
        <w:tabs>
          <w:tab w:val="center" w:pos="2835"/>
          <w:tab w:val="center" w:pos="3969"/>
          <w:tab w:val="center" w:pos="5103"/>
          <w:tab w:val="center" w:pos="6237"/>
          <w:tab w:val="center" w:pos="7371"/>
        </w:tabs>
        <w:spacing w:after="160"/>
        <w:ind w:firstLine="284"/>
        <w:rPr>
          <w:spacing w:val="6"/>
          <w:sz w:val="26"/>
          <w:szCs w:val="24"/>
        </w:rPr>
      </w:pPr>
      <w:r w:rsidRPr="005A760B">
        <w:rPr>
          <w:spacing w:val="6"/>
          <w:sz w:val="26"/>
          <w:szCs w:val="24"/>
        </w:rPr>
        <w:t xml:space="preserve">De acuerdo con la </w:t>
      </w:r>
      <w:proofErr w:type="spellStart"/>
      <w:r w:rsidRPr="005A760B">
        <w:rPr>
          <w:spacing w:val="6"/>
          <w:sz w:val="26"/>
          <w:szCs w:val="24"/>
        </w:rPr>
        <w:t>LOEPySF</w:t>
      </w:r>
      <w:proofErr w:type="spellEnd"/>
      <w:r w:rsidRPr="005A760B">
        <w:rPr>
          <w:spacing w:val="6"/>
          <w:sz w:val="26"/>
          <w:szCs w:val="24"/>
        </w:rPr>
        <w:t>, el sector “Administración Pública Local” debe cumplir las siguientes reglas fiscales:</w:t>
      </w:r>
    </w:p>
    <w:p w:rsidR="001049D6" w:rsidRPr="005A760B" w:rsidRDefault="001049D6" w:rsidP="009059E5">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60"/>
        <w:ind w:left="0" w:firstLine="289"/>
        <w:rPr>
          <w:rFonts w:cs="Arial"/>
        </w:rPr>
      </w:pPr>
      <w:r w:rsidRPr="005A760B">
        <w:rPr>
          <w:rFonts w:cs="Arial"/>
        </w:rPr>
        <w:t xml:space="preserve"> Estabilidad presupuestaria, o equilibrio/capacidad de financiación en el ejercicio, medido en términos de contabilidad nacional.</w:t>
      </w:r>
    </w:p>
    <w:p w:rsidR="001049D6" w:rsidRPr="005A760B" w:rsidRDefault="001049D6" w:rsidP="009059E5">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60"/>
        <w:ind w:left="0" w:firstLine="289"/>
        <w:rPr>
          <w:rFonts w:cs="Arial"/>
        </w:rPr>
      </w:pPr>
      <w:r w:rsidRPr="005A760B">
        <w:rPr>
          <w:rFonts w:cs="Arial"/>
        </w:rPr>
        <w:t>Regla de gasto</w:t>
      </w:r>
      <w:r w:rsidR="00E050C5" w:rsidRPr="005A760B">
        <w:rPr>
          <w:rFonts w:cs="Arial"/>
        </w:rPr>
        <w:t>,</w:t>
      </w:r>
      <w:r w:rsidRPr="005A760B">
        <w:rPr>
          <w:rFonts w:cs="Arial"/>
        </w:rPr>
        <w:t xml:space="preserve"> la variación del gasto computable del sector en 2018 sobre el gasto de 2017 no puede superar la tasa de referencia del crecimiento del PIB, que para el citado ejercicio se fijó en el 2,4 por ciento.</w:t>
      </w:r>
    </w:p>
    <w:p w:rsidR="001049D6" w:rsidRPr="00000E86" w:rsidRDefault="001049D6" w:rsidP="009059E5">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60"/>
        <w:ind w:left="0" w:firstLine="289"/>
        <w:rPr>
          <w:rFonts w:cs="Arial"/>
        </w:rPr>
      </w:pPr>
      <w:r w:rsidRPr="00000E86">
        <w:rPr>
          <w:rFonts w:cs="Arial"/>
        </w:rPr>
        <w:t>Sostenibilidad de la deuda pública o que la deuda del sector, en términos de contabilidad nacional, no supere el 110 por ciento de sus ingresos corrientes.</w:t>
      </w:r>
    </w:p>
    <w:p w:rsidR="001049D6" w:rsidRPr="005A760B" w:rsidRDefault="001049D6" w:rsidP="009059E5">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60"/>
        <w:ind w:left="0" w:firstLine="289"/>
        <w:rPr>
          <w:rFonts w:cs="Arial"/>
        </w:rPr>
      </w:pPr>
      <w:r w:rsidRPr="005A760B">
        <w:rPr>
          <w:rFonts w:cs="Arial"/>
        </w:rPr>
        <w:t>Sostenibilidad de la deuda comercial, o el periodo medio de pago a pr</w:t>
      </w:r>
      <w:r w:rsidRPr="005A760B">
        <w:rPr>
          <w:rFonts w:cs="Arial"/>
        </w:rPr>
        <w:t>o</w:t>
      </w:r>
      <w:r w:rsidRPr="005A760B">
        <w:rPr>
          <w:rFonts w:cs="Arial"/>
        </w:rPr>
        <w:t>veedores no puede superar, en términos generales, el plazo de 30 días.</w:t>
      </w:r>
    </w:p>
    <w:p w:rsidR="001049D6" w:rsidRPr="005A760B" w:rsidRDefault="001049D6" w:rsidP="009059E5">
      <w:pPr>
        <w:tabs>
          <w:tab w:val="center" w:pos="2835"/>
          <w:tab w:val="center" w:pos="3969"/>
          <w:tab w:val="center" w:pos="5103"/>
          <w:tab w:val="center" w:pos="6237"/>
          <w:tab w:val="center" w:pos="7371"/>
        </w:tabs>
        <w:spacing w:after="160"/>
        <w:ind w:firstLine="284"/>
        <w:rPr>
          <w:spacing w:val="6"/>
          <w:sz w:val="26"/>
          <w:szCs w:val="24"/>
        </w:rPr>
      </w:pPr>
      <w:r w:rsidRPr="005A760B">
        <w:rPr>
          <w:spacing w:val="6"/>
          <w:sz w:val="26"/>
          <w:szCs w:val="24"/>
        </w:rPr>
        <w:t>En este ámbito, la información aportada por la Dirección General de Adm</w:t>
      </w:r>
      <w:r w:rsidRPr="005A760B">
        <w:rPr>
          <w:spacing w:val="6"/>
          <w:sz w:val="26"/>
          <w:szCs w:val="24"/>
        </w:rPr>
        <w:t>i</w:t>
      </w:r>
      <w:r w:rsidRPr="005A760B">
        <w:rPr>
          <w:spacing w:val="6"/>
          <w:sz w:val="26"/>
          <w:szCs w:val="24"/>
        </w:rPr>
        <w:t>nistración Local y Despoblación se limita a las entidades locales y sus org</w:t>
      </w:r>
      <w:r w:rsidRPr="005A760B">
        <w:rPr>
          <w:spacing w:val="6"/>
          <w:sz w:val="26"/>
          <w:szCs w:val="24"/>
        </w:rPr>
        <w:t>a</w:t>
      </w:r>
      <w:r w:rsidRPr="005A760B">
        <w:rPr>
          <w:spacing w:val="6"/>
          <w:sz w:val="26"/>
          <w:szCs w:val="24"/>
        </w:rPr>
        <w:t>nismos autónomos, sin configurar propiamente, en términos de contabilidad n</w:t>
      </w:r>
      <w:r w:rsidRPr="005A760B">
        <w:rPr>
          <w:spacing w:val="6"/>
          <w:sz w:val="26"/>
          <w:szCs w:val="24"/>
        </w:rPr>
        <w:t>a</w:t>
      </w:r>
      <w:r w:rsidRPr="005A760B">
        <w:rPr>
          <w:spacing w:val="6"/>
          <w:sz w:val="26"/>
          <w:szCs w:val="24"/>
        </w:rPr>
        <w:t>cional, el sector “Administración Pública Local de Navarra”. De acuerdo con estos datos, señalamos lo siguiente:</w:t>
      </w:r>
    </w:p>
    <w:p w:rsidR="001049D6" w:rsidRPr="005A760B" w:rsidRDefault="00662271" w:rsidP="00000E86">
      <w:pPr>
        <w:tabs>
          <w:tab w:val="center" w:pos="2835"/>
          <w:tab w:val="center" w:pos="3969"/>
          <w:tab w:val="center" w:pos="5103"/>
          <w:tab w:val="center" w:pos="6237"/>
          <w:tab w:val="center" w:pos="7371"/>
        </w:tabs>
        <w:spacing w:after="40"/>
        <w:ind w:firstLine="284"/>
        <w:rPr>
          <w:spacing w:val="6"/>
          <w:sz w:val="26"/>
          <w:szCs w:val="24"/>
        </w:rPr>
      </w:pPr>
      <w:r w:rsidRPr="005A760B">
        <w:rPr>
          <w:spacing w:val="6"/>
          <w:sz w:val="26"/>
          <w:szCs w:val="24"/>
        </w:rPr>
        <w:t xml:space="preserve">a) </w:t>
      </w:r>
      <w:r w:rsidR="001049D6" w:rsidRPr="005A760B">
        <w:rPr>
          <w:spacing w:val="6"/>
          <w:sz w:val="26"/>
          <w:szCs w:val="24"/>
        </w:rPr>
        <w:t xml:space="preserve">La capacidad de financiación del sector público local en 2018 asciende a </w:t>
      </w:r>
      <w:r w:rsidR="00F96C33" w:rsidRPr="005A760B">
        <w:rPr>
          <w:spacing w:val="6"/>
          <w:sz w:val="26"/>
          <w:szCs w:val="24"/>
        </w:rPr>
        <w:t xml:space="preserve">73,56 </w:t>
      </w:r>
      <w:r w:rsidR="001049D6" w:rsidRPr="005A760B">
        <w:rPr>
          <w:spacing w:val="6"/>
          <w:sz w:val="26"/>
          <w:szCs w:val="24"/>
        </w:rPr>
        <w:t>millones, lo que supone un 2</w:t>
      </w:r>
      <w:r w:rsidR="00F96C33" w:rsidRPr="005A760B">
        <w:rPr>
          <w:spacing w:val="6"/>
          <w:sz w:val="26"/>
          <w:szCs w:val="24"/>
        </w:rPr>
        <w:t>5</w:t>
      </w:r>
      <w:r w:rsidR="001049D6" w:rsidRPr="005A760B">
        <w:rPr>
          <w:spacing w:val="6"/>
          <w:sz w:val="26"/>
          <w:szCs w:val="24"/>
        </w:rPr>
        <w:t xml:space="preserve"> por ciento </w:t>
      </w:r>
      <w:r w:rsidR="00F96C33" w:rsidRPr="005A760B">
        <w:rPr>
          <w:spacing w:val="6"/>
          <w:sz w:val="26"/>
          <w:szCs w:val="24"/>
        </w:rPr>
        <w:t>más</w:t>
      </w:r>
      <w:r w:rsidR="001049D6" w:rsidRPr="005A760B">
        <w:rPr>
          <w:spacing w:val="6"/>
          <w:sz w:val="26"/>
          <w:szCs w:val="24"/>
        </w:rPr>
        <w:t xml:space="preserve"> que el ejercicio anterior; se ha cumplido</w:t>
      </w:r>
      <w:r w:rsidR="008A5FED" w:rsidRPr="005A760B">
        <w:rPr>
          <w:spacing w:val="6"/>
          <w:sz w:val="26"/>
          <w:szCs w:val="24"/>
        </w:rPr>
        <w:t>,</w:t>
      </w:r>
      <w:r w:rsidR="001049D6" w:rsidRPr="005A760B">
        <w:rPr>
          <w:spacing w:val="6"/>
          <w:sz w:val="26"/>
          <w:szCs w:val="24"/>
        </w:rPr>
        <w:t xml:space="preserve"> por lo tanto</w:t>
      </w:r>
      <w:r w:rsidR="008A5FED" w:rsidRPr="005A760B">
        <w:rPr>
          <w:spacing w:val="6"/>
          <w:sz w:val="26"/>
          <w:szCs w:val="24"/>
        </w:rPr>
        <w:t>,</w:t>
      </w:r>
      <w:r w:rsidR="001049D6" w:rsidRPr="005A760B">
        <w:rPr>
          <w:spacing w:val="6"/>
          <w:sz w:val="26"/>
          <w:szCs w:val="24"/>
        </w:rPr>
        <w:t xml:space="preserve"> con esta regla fiscal tal y como se desprende del s</w:t>
      </w:r>
      <w:r w:rsidR="001049D6" w:rsidRPr="005A760B">
        <w:rPr>
          <w:spacing w:val="6"/>
          <w:sz w:val="26"/>
          <w:szCs w:val="24"/>
        </w:rPr>
        <w:t>i</w:t>
      </w:r>
      <w:r w:rsidR="001049D6" w:rsidRPr="005A760B">
        <w:rPr>
          <w:spacing w:val="6"/>
          <w:sz w:val="26"/>
          <w:szCs w:val="24"/>
        </w:rPr>
        <w:t>guiente cuadro:</w:t>
      </w:r>
    </w:p>
    <w:p w:rsidR="001049D6" w:rsidRPr="005A760B" w:rsidRDefault="00AD4964" w:rsidP="009059E5">
      <w:pPr>
        <w:pStyle w:val="Prrafodelista"/>
        <w:tabs>
          <w:tab w:val="left" w:pos="567"/>
        </w:tabs>
        <w:spacing w:before="40" w:after="60"/>
        <w:ind w:left="284"/>
        <w:contextualSpacing w:val="0"/>
        <w:jc w:val="both"/>
        <w:rPr>
          <w:rFonts w:ascii="Arial Narrow" w:hAnsi="Arial Narrow"/>
          <w:spacing w:val="6"/>
          <w:sz w:val="26"/>
          <w:szCs w:val="24"/>
        </w:rPr>
      </w:pPr>
      <w:r w:rsidRPr="005A760B">
        <w:rPr>
          <w:rFonts w:ascii="Arial Narrow" w:hAnsi="Arial Narrow"/>
        </w:rPr>
        <w:t xml:space="preserve">                                                                                                                                                         </w:t>
      </w:r>
      <w:r w:rsidR="008404CA" w:rsidRPr="005A760B">
        <w:rPr>
          <w:rFonts w:ascii="Arial Narrow" w:hAnsi="Arial Narrow"/>
        </w:rPr>
        <w:t xml:space="preserve">         </w:t>
      </w:r>
      <w:r w:rsidR="001049D6" w:rsidRPr="005A760B">
        <w:rPr>
          <w:rFonts w:ascii="Arial Narrow" w:hAnsi="Arial Narrow"/>
        </w:rPr>
        <w:t xml:space="preserve"> (en </w:t>
      </w:r>
      <w:r w:rsidR="004C2414" w:rsidRPr="005A760B">
        <w:rPr>
          <w:rFonts w:ascii="Arial Narrow" w:hAnsi="Arial Narrow"/>
        </w:rPr>
        <w:t>millones</w:t>
      </w:r>
      <w:r w:rsidR="001049D6" w:rsidRPr="005A760B">
        <w:rPr>
          <w:rFonts w:ascii="Arial Narrow" w:hAnsi="Arial Narrow"/>
        </w:rPr>
        <w:t>)</w:t>
      </w:r>
    </w:p>
    <w:tbl>
      <w:tblPr>
        <w:tblW w:w="8749" w:type="dxa"/>
        <w:jc w:val="center"/>
        <w:tblBorders>
          <w:top w:val="single" w:sz="4" w:space="0" w:color="auto"/>
          <w:bottom w:val="single" w:sz="4" w:space="0" w:color="auto"/>
        </w:tblBorders>
        <w:tblLook w:val="00A0" w:firstRow="1" w:lastRow="0" w:firstColumn="1" w:lastColumn="0" w:noHBand="0" w:noVBand="0"/>
      </w:tblPr>
      <w:tblGrid>
        <w:gridCol w:w="4485"/>
        <w:gridCol w:w="4264"/>
      </w:tblGrid>
      <w:tr w:rsidR="009059E5" w:rsidRPr="005A760B" w:rsidTr="009059E5">
        <w:trPr>
          <w:trHeight w:val="340"/>
          <w:jc w:val="center"/>
        </w:trPr>
        <w:tc>
          <w:tcPr>
            <w:tcW w:w="4485" w:type="dxa"/>
            <w:tcBorders>
              <w:top w:val="single" w:sz="4" w:space="0" w:color="auto"/>
              <w:bottom w:val="single" w:sz="4" w:space="0" w:color="auto"/>
            </w:tcBorders>
            <w:shd w:val="clear" w:color="auto" w:fill="FABF8F" w:themeFill="accent6" w:themeFillTint="99"/>
            <w:vAlign w:val="center"/>
          </w:tcPr>
          <w:p w:rsidR="009059E5" w:rsidRPr="005A760B" w:rsidRDefault="009059E5" w:rsidP="00662271">
            <w:pPr>
              <w:pStyle w:val="cuadroCabe"/>
            </w:pPr>
            <w:r w:rsidRPr="005A760B">
              <w:t>Capacidad/necesidad de financiación</w:t>
            </w:r>
          </w:p>
        </w:tc>
        <w:tc>
          <w:tcPr>
            <w:tcW w:w="4264" w:type="dxa"/>
            <w:tcBorders>
              <w:top w:val="single" w:sz="4" w:space="0" w:color="auto"/>
              <w:bottom w:val="single" w:sz="4" w:space="0" w:color="auto"/>
            </w:tcBorders>
            <w:shd w:val="clear" w:color="auto" w:fill="FABF8F" w:themeFill="accent6" w:themeFillTint="99"/>
            <w:vAlign w:val="center"/>
          </w:tcPr>
          <w:p w:rsidR="009059E5" w:rsidRPr="005A760B" w:rsidRDefault="009059E5" w:rsidP="00662271">
            <w:pPr>
              <w:pStyle w:val="cuadroCabe"/>
              <w:jc w:val="right"/>
            </w:pPr>
            <w:r w:rsidRPr="005A760B">
              <w:t>Importe</w:t>
            </w:r>
          </w:p>
        </w:tc>
      </w:tr>
      <w:tr w:rsidR="009059E5" w:rsidRPr="005A760B" w:rsidTr="009059E5">
        <w:trPr>
          <w:trHeight w:val="284"/>
          <w:jc w:val="center"/>
        </w:trPr>
        <w:tc>
          <w:tcPr>
            <w:tcW w:w="4485" w:type="dxa"/>
            <w:tcBorders>
              <w:top w:val="single" w:sz="4" w:space="0" w:color="auto"/>
              <w:bottom w:val="single" w:sz="2" w:space="0" w:color="auto"/>
            </w:tcBorders>
            <w:vAlign w:val="center"/>
          </w:tcPr>
          <w:p w:rsidR="009059E5" w:rsidRPr="005A760B" w:rsidRDefault="009059E5" w:rsidP="001049D6">
            <w:pPr>
              <w:pStyle w:val="Prrafodelista"/>
              <w:spacing w:line="240" w:lineRule="atLeast"/>
              <w:ind w:left="0"/>
              <w:contextualSpacing w:val="0"/>
              <w:jc w:val="both"/>
              <w:rPr>
                <w:rFonts w:ascii="Arial Narrow" w:hAnsi="Arial Narrow"/>
                <w:spacing w:val="6"/>
              </w:rPr>
            </w:pPr>
            <w:r w:rsidRPr="005A760B">
              <w:rPr>
                <w:rFonts w:ascii="Arial Narrow" w:hAnsi="Arial Narrow"/>
                <w:spacing w:val="6"/>
              </w:rPr>
              <w:t>Saldo presupuestario no financiero</w:t>
            </w:r>
          </w:p>
        </w:tc>
        <w:tc>
          <w:tcPr>
            <w:tcW w:w="4264" w:type="dxa"/>
            <w:tcBorders>
              <w:top w:val="single" w:sz="4" w:space="0" w:color="auto"/>
              <w:bottom w:val="single" w:sz="2" w:space="0" w:color="auto"/>
            </w:tcBorders>
            <w:vAlign w:val="center"/>
          </w:tcPr>
          <w:p w:rsidR="009059E5" w:rsidRPr="005A760B" w:rsidRDefault="009059E5" w:rsidP="00662271">
            <w:pPr>
              <w:pStyle w:val="Prrafodelista"/>
              <w:spacing w:line="240" w:lineRule="atLeast"/>
              <w:ind w:left="0"/>
              <w:contextualSpacing w:val="0"/>
              <w:jc w:val="right"/>
              <w:rPr>
                <w:rFonts w:ascii="Arial Narrow" w:hAnsi="Arial Narrow"/>
                <w:spacing w:val="6"/>
              </w:rPr>
            </w:pPr>
            <w:r w:rsidRPr="005A760B">
              <w:rPr>
                <w:rFonts w:ascii="Arial Narrow" w:hAnsi="Arial Narrow"/>
                <w:spacing w:val="6"/>
              </w:rPr>
              <w:t>81,22</w:t>
            </w:r>
          </w:p>
        </w:tc>
      </w:tr>
      <w:tr w:rsidR="009059E5" w:rsidRPr="005A760B" w:rsidTr="009059E5">
        <w:trPr>
          <w:trHeight w:val="284"/>
          <w:jc w:val="center"/>
        </w:trPr>
        <w:tc>
          <w:tcPr>
            <w:tcW w:w="4485" w:type="dxa"/>
            <w:tcBorders>
              <w:top w:val="single" w:sz="2" w:space="0" w:color="auto"/>
              <w:bottom w:val="single" w:sz="4" w:space="0" w:color="auto"/>
            </w:tcBorders>
            <w:vAlign w:val="center"/>
          </w:tcPr>
          <w:p w:rsidR="009059E5" w:rsidRPr="005A760B" w:rsidRDefault="009059E5" w:rsidP="001049D6">
            <w:pPr>
              <w:pStyle w:val="Prrafodelista"/>
              <w:spacing w:line="240" w:lineRule="atLeast"/>
              <w:ind w:left="0"/>
              <w:contextualSpacing w:val="0"/>
              <w:jc w:val="both"/>
              <w:rPr>
                <w:rFonts w:ascii="Arial Narrow" w:hAnsi="Arial Narrow"/>
                <w:spacing w:val="6"/>
              </w:rPr>
            </w:pPr>
            <w:r w:rsidRPr="005A760B">
              <w:rPr>
                <w:rFonts w:ascii="Arial Narrow" w:hAnsi="Arial Narrow"/>
                <w:spacing w:val="6"/>
              </w:rPr>
              <w:t>Ajustes:</w:t>
            </w:r>
          </w:p>
          <w:p w:rsidR="009059E5" w:rsidRPr="005A760B" w:rsidRDefault="009059E5" w:rsidP="00AD4964">
            <w:pPr>
              <w:pStyle w:val="Prrafodelista"/>
              <w:spacing w:line="240" w:lineRule="atLeast"/>
              <w:ind w:left="0"/>
              <w:contextualSpacing w:val="0"/>
              <w:jc w:val="both"/>
              <w:rPr>
                <w:rFonts w:ascii="Arial Narrow" w:hAnsi="Arial Narrow"/>
                <w:spacing w:val="6"/>
              </w:rPr>
            </w:pPr>
            <w:r w:rsidRPr="005A760B">
              <w:rPr>
                <w:rFonts w:ascii="Arial Narrow" w:hAnsi="Arial Narrow"/>
                <w:spacing w:val="6"/>
              </w:rPr>
              <w:t>Ingresos de recaudación incierta</w:t>
            </w:r>
          </w:p>
          <w:p w:rsidR="009059E5" w:rsidRPr="005A760B" w:rsidRDefault="009059E5" w:rsidP="00AD4964">
            <w:pPr>
              <w:pStyle w:val="Prrafodelista"/>
              <w:spacing w:line="240" w:lineRule="atLeast"/>
              <w:ind w:left="0"/>
              <w:contextualSpacing w:val="0"/>
              <w:jc w:val="both"/>
              <w:rPr>
                <w:rFonts w:ascii="Arial Narrow" w:hAnsi="Arial Narrow"/>
                <w:spacing w:val="6"/>
              </w:rPr>
            </w:pPr>
            <w:r w:rsidRPr="005A760B">
              <w:rPr>
                <w:rFonts w:ascii="Arial Narrow" w:hAnsi="Arial Narrow"/>
                <w:spacing w:val="6"/>
              </w:rPr>
              <w:t>Transferencias recibidas de otras AAPP</w:t>
            </w:r>
          </w:p>
        </w:tc>
        <w:tc>
          <w:tcPr>
            <w:tcW w:w="4264" w:type="dxa"/>
            <w:tcBorders>
              <w:top w:val="single" w:sz="2" w:space="0" w:color="auto"/>
              <w:bottom w:val="single" w:sz="4" w:space="0" w:color="auto"/>
            </w:tcBorders>
            <w:vAlign w:val="center"/>
          </w:tcPr>
          <w:p w:rsidR="009059E5" w:rsidRPr="005A760B" w:rsidRDefault="009059E5" w:rsidP="00662271">
            <w:pPr>
              <w:pStyle w:val="Prrafodelista"/>
              <w:spacing w:line="240" w:lineRule="atLeast"/>
              <w:ind w:left="0"/>
              <w:contextualSpacing w:val="0"/>
              <w:jc w:val="right"/>
              <w:rPr>
                <w:rFonts w:ascii="Arial Narrow" w:hAnsi="Arial Narrow"/>
                <w:spacing w:val="6"/>
              </w:rPr>
            </w:pPr>
          </w:p>
          <w:p w:rsidR="009059E5" w:rsidRPr="005A760B" w:rsidRDefault="009059E5" w:rsidP="00AD4964">
            <w:pPr>
              <w:pStyle w:val="Prrafodelista"/>
              <w:spacing w:line="240" w:lineRule="atLeast"/>
              <w:ind w:left="0"/>
              <w:contextualSpacing w:val="0"/>
              <w:jc w:val="right"/>
              <w:rPr>
                <w:rFonts w:ascii="Arial Narrow" w:hAnsi="Arial Narrow"/>
                <w:spacing w:val="6"/>
              </w:rPr>
            </w:pPr>
            <w:r w:rsidRPr="005A760B">
              <w:rPr>
                <w:rFonts w:ascii="Arial Narrow" w:hAnsi="Arial Narrow"/>
                <w:spacing w:val="6"/>
              </w:rPr>
              <w:t>(12,08)</w:t>
            </w:r>
          </w:p>
          <w:p w:rsidR="009059E5" w:rsidRPr="005A760B" w:rsidRDefault="009059E5" w:rsidP="00662271">
            <w:pPr>
              <w:pStyle w:val="Prrafodelista"/>
              <w:spacing w:line="240" w:lineRule="atLeast"/>
              <w:ind w:left="0"/>
              <w:contextualSpacing w:val="0"/>
              <w:jc w:val="right"/>
              <w:rPr>
                <w:rFonts w:ascii="Arial Narrow" w:hAnsi="Arial Narrow"/>
                <w:spacing w:val="6"/>
              </w:rPr>
            </w:pPr>
            <w:r w:rsidRPr="005A760B">
              <w:rPr>
                <w:rFonts w:ascii="Arial Narrow" w:hAnsi="Arial Narrow"/>
                <w:spacing w:val="6"/>
              </w:rPr>
              <w:t>4,42</w:t>
            </w:r>
          </w:p>
        </w:tc>
      </w:tr>
      <w:tr w:rsidR="009059E5" w:rsidRPr="005A760B" w:rsidTr="009059E5">
        <w:trPr>
          <w:trHeight w:val="284"/>
          <w:jc w:val="center"/>
        </w:trPr>
        <w:tc>
          <w:tcPr>
            <w:tcW w:w="4485" w:type="dxa"/>
            <w:tcBorders>
              <w:top w:val="single" w:sz="4" w:space="0" w:color="auto"/>
              <w:bottom w:val="single" w:sz="4" w:space="0" w:color="auto"/>
            </w:tcBorders>
            <w:shd w:val="clear" w:color="auto" w:fill="FABF8F" w:themeFill="accent6" w:themeFillTint="99"/>
            <w:vAlign w:val="center"/>
          </w:tcPr>
          <w:p w:rsidR="009059E5" w:rsidRPr="005A760B" w:rsidRDefault="009059E5" w:rsidP="001049D6">
            <w:pPr>
              <w:pStyle w:val="Prrafodelista"/>
              <w:ind w:left="0"/>
              <w:contextualSpacing w:val="0"/>
              <w:jc w:val="both"/>
              <w:rPr>
                <w:rFonts w:ascii="Arial" w:hAnsi="Arial" w:cs="Arial"/>
                <w:spacing w:val="6"/>
                <w:sz w:val="18"/>
                <w:szCs w:val="18"/>
              </w:rPr>
            </w:pPr>
            <w:r w:rsidRPr="005A760B">
              <w:rPr>
                <w:rFonts w:ascii="Arial" w:hAnsi="Arial" w:cs="Arial"/>
                <w:spacing w:val="6"/>
                <w:sz w:val="18"/>
                <w:szCs w:val="18"/>
              </w:rPr>
              <w:t>Capacidad de financiación 2018</w:t>
            </w:r>
          </w:p>
        </w:tc>
        <w:tc>
          <w:tcPr>
            <w:tcW w:w="4264" w:type="dxa"/>
            <w:tcBorders>
              <w:top w:val="single" w:sz="4" w:space="0" w:color="auto"/>
              <w:bottom w:val="single" w:sz="4" w:space="0" w:color="auto"/>
            </w:tcBorders>
            <w:shd w:val="clear" w:color="auto" w:fill="FABF8F" w:themeFill="accent6" w:themeFillTint="99"/>
            <w:vAlign w:val="center"/>
          </w:tcPr>
          <w:p w:rsidR="009059E5" w:rsidRPr="005A760B" w:rsidRDefault="009059E5" w:rsidP="00662271">
            <w:pPr>
              <w:pStyle w:val="Prrafodelista"/>
              <w:ind w:left="0"/>
              <w:contextualSpacing w:val="0"/>
              <w:jc w:val="right"/>
              <w:rPr>
                <w:rFonts w:ascii="Arial" w:hAnsi="Arial" w:cs="Arial"/>
                <w:spacing w:val="6"/>
                <w:sz w:val="18"/>
                <w:szCs w:val="18"/>
              </w:rPr>
            </w:pPr>
            <w:r w:rsidRPr="005A760B">
              <w:rPr>
                <w:rFonts w:ascii="Arial" w:hAnsi="Arial" w:cs="Arial"/>
                <w:spacing w:val="6"/>
                <w:sz w:val="18"/>
                <w:szCs w:val="18"/>
              </w:rPr>
              <w:t>73,56</w:t>
            </w:r>
          </w:p>
        </w:tc>
      </w:tr>
    </w:tbl>
    <w:p w:rsidR="001049D6" w:rsidRPr="005A760B" w:rsidRDefault="00662271" w:rsidP="00662271">
      <w:pPr>
        <w:tabs>
          <w:tab w:val="center" w:pos="2835"/>
          <w:tab w:val="center" w:pos="3969"/>
          <w:tab w:val="center" w:pos="5103"/>
          <w:tab w:val="center" w:pos="6237"/>
          <w:tab w:val="center" w:pos="7371"/>
        </w:tabs>
        <w:spacing w:before="240"/>
        <w:ind w:firstLine="284"/>
        <w:rPr>
          <w:spacing w:val="6"/>
          <w:sz w:val="26"/>
          <w:szCs w:val="24"/>
        </w:rPr>
      </w:pPr>
      <w:r w:rsidRPr="005A760B">
        <w:rPr>
          <w:spacing w:val="6"/>
          <w:sz w:val="26"/>
          <w:szCs w:val="24"/>
        </w:rPr>
        <w:t xml:space="preserve">b) </w:t>
      </w:r>
      <w:r w:rsidR="001049D6" w:rsidRPr="005A760B">
        <w:rPr>
          <w:spacing w:val="6"/>
          <w:sz w:val="26"/>
          <w:szCs w:val="24"/>
        </w:rPr>
        <w:t xml:space="preserve">La deuda viva del sector a 31 de diciembre de 2018 ascendía a 207,63 </w:t>
      </w:r>
      <w:r w:rsidR="004C2414" w:rsidRPr="005A760B">
        <w:rPr>
          <w:spacing w:val="6"/>
          <w:sz w:val="26"/>
          <w:szCs w:val="24"/>
        </w:rPr>
        <w:t>m</w:t>
      </w:r>
      <w:r w:rsidR="004C2414" w:rsidRPr="005A760B">
        <w:rPr>
          <w:spacing w:val="6"/>
          <w:sz w:val="26"/>
          <w:szCs w:val="24"/>
        </w:rPr>
        <w:t>i</w:t>
      </w:r>
      <w:r w:rsidR="004C2414" w:rsidRPr="005A760B">
        <w:rPr>
          <w:spacing w:val="6"/>
          <w:sz w:val="26"/>
          <w:szCs w:val="24"/>
        </w:rPr>
        <w:t>llones</w:t>
      </w:r>
      <w:r w:rsidR="001B6928">
        <w:rPr>
          <w:spacing w:val="6"/>
          <w:sz w:val="26"/>
          <w:szCs w:val="24"/>
        </w:rPr>
        <w:t>,</w:t>
      </w:r>
      <w:r w:rsidR="001049D6" w:rsidRPr="005A760B">
        <w:rPr>
          <w:spacing w:val="6"/>
          <w:sz w:val="26"/>
          <w:szCs w:val="24"/>
        </w:rPr>
        <w:t xml:space="preserve"> lo que representa el 28 por ciento de los ingresos corrientes. Este po</w:t>
      </w:r>
      <w:r w:rsidR="001049D6" w:rsidRPr="005A760B">
        <w:rPr>
          <w:spacing w:val="6"/>
          <w:sz w:val="26"/>
          <w:szCs w:val="24"/>
        </w:rPr>
        <w:t>r</w:t>
      </w:r>
      <w:r w:rsidR="001049D6" w:rsidRPr="005A760B">
        <w:rPr>
          <w:spacing w:val="6"/>
          <w:sz w:val="26"/>
          <w:szCs w:val="24"/>
        </w:rPr>
        <w:t>centaje es inferior al límite del 110 por ciento establecido en la legislación v</w:t>
      </w:r>
      <w:r w:rsidR="001049D6" w:rsidRPr="005A760B">
        <w:rPr>
          <w:spacing w:val="6"/>
          <w:sz w:val="26"/>
          <w:szCs w:val="24"/>
        </w:rPr>
        <w:t>i</w:t>
      </w:r>
      <w:r w:rsidR="001049D6" w:rsidRPr="005A760B">
        <w:rPr>
          <w:spacing w:val="6"/>
          <w:sz w:val="26"/>
          <w:szCs w:val="24"/>
        </w:rPr>
        <w:t>gente, cumpliéndose, en consecuencia, con esta regla.</w:t>
      </w:r>
    </w:p>
    <w:p w:rsidR="001049D6" w:rsidRPr="005A760B" w:rsidRDefault="00662271" w:rsidP="00662271">
      <w:pPr>
        <w:tabs>
          <w:tab w:val="center" w:pos="2835"/>
          <w:tab w:val="center" w:pos="3969"/>
          <w:tab w:val="center" w:pos="5103"/>
          <w:tab w:val="center" w:pos="6237"/>
          <w:tab w:val="center" w:pos="7371"/>
        </w:tabs>
        <w:spacing w:before="120" w:after="240"/>
        <w:ind w:firstLine="284"/>
        <w:rPr>
          <w:spacing w:val="6"/>
          <w:sz w:val="26"/>
          <w:szCs w:val="24"/>
        </w:rPr>
      </w:pPr>
      <w:r w:rsidRPr="005A760B">
        <w:rPr>
          <w:spacing w:val="6"/>
          <w:sz w:val="26"/>
          <w:szCs w:val="24"/>
        </w:rPr>
        <w:t xml:space="preserve">c) </w:t>
      </w:r>
      <w:r w:rsidR="001049D6" w:rsidRPr="005A760B">
        <w:rPr>
          <w:spacing w:val="6"/>
          <w:sz w:val="26"/>
          <w:szCs w:val="24"/>
        </w:rPr>
        <w:t>No se aporta información sobre la regla de gasto y sobre los plazos de p</w:t>
      </w:r>
      <w:r w:rsidR="001049D6" w:rsidRPr="005A760B">
        <w:rPr>
          <w:spacing w:val="6"/>
          <w:sz w:val="26"/>
          <w:szCs w:val="24"/>
        </w:rPr>
        <w:t>a</w:t>
      </w:r>
      <w:r w:rsidR="001049D6" w:rsidRPr="005A760B">
        <w:rPr>
          <w:spacing w:val="6"/>
          <w:sz w:val="26"/>
          <w:szCs w:val="24"/>
        </w:rPr>
        <w:t>go de la deuda comercial. Sobre esta última regla, se ha verificado, de acuerdo con la publicación del Ministerio de Hacienda, que solo consta tal información de un total de 56-61 entidades locales de Navarra para los cuatro trimestres de 2018; de acuerdo con ella, el periodo medio de pago, como promedio del últ</w:t>
      </w:r>
      <w:r w:rsidR="001049D6" w:rsidRPr="005A760B">
        <w:rPr>
          <w:spacing w:val="6"/>
          <w:sz w:val="26"/>
          <w:szCs w:val="24"/>
        </w:rPr>
        <w:t>i</w:t>
      </w:r>
      <w:r w:rsidR="001049D6" w:rsidRPr="005A760B">
        <w:rPr>
          <w:spacing w:val="6"/>
          <w:sz w:val="26"/>
          <w:szCs w:val="24"/>
        </w:rPr>
        <w:t>mo trimestre del año se sitúa en 15,42 días, es decir, es un plazo inferior al l</w:t>
      </w:r>
      <w:r w:rsidR="001049D6" w:rsidRPr="005A760B">
        <w:rPr>
          <w:spacing w:val="6"/>
          <w:sz w:val="26"/>
          <w:szCs w:val="24"/>
        </w:rPr>
        <w:t>í</w:t>
      </w:r>
      <w:r w:rsidR="001049D6" w:rsidRPr="005A760B">
        <w:rPr>
          <w:spacing w:val="6"/>
          <w:sz w:val="26"/>
          <w:szCs w:val="24"/>
        </w:rPr>
        <w:t>mite de 30 días establecido. Las entidades que envían datos al Ministerio repr</w:t>
      </w:r>
      <w:r w:rsidR="001049D6" w:rsidRPr="005A760B">
        <w:rPr>
          <w:spacing w:val="6"/>
          <w:sz w:val="26"/>
          <w:szCs w:val="24"/>
        </w:rPr>
        <w:t>e</w:t>
      </w:r>
      <w:r w:rsidR="001049D6" w:rsidRPr="005A760B">
        <w:rPr>
          <w:spacing w:val="6"/>
          <w:sz w:val="26"/>
          <w:szCs w:val="24"/>
        </w:rPr>
        <w:t>sentan solamente el ocho por ciento del total de entidades locales de Navarra.</w:t>
      </w:r>
    </w:p>
    <w:p w:rsidR="00662271" w:rsidRPr="005A760B" w:rsidRDefault="00662271">
      <w:pPr>
        <w:spacing w:after="0"/>
        <w:ind w:firstLine="0"/>
        <w:jc w:val="left"/>
        <w:rPr>
          <w:rFonts w:ascii="Arial" w:hAnsi="Arial"/>
          <w:b/>
          <w:kern w:val="28"/>
          <w:sz w:val="25"/>
          <w:szCs w:val="26"/>
        </w:rPr>
      </w:pPr>
      <w:bookmarkStart w:id="75" w:name="_Toc24100147"/>
      <w:bookmarkStart w:id="76" w:name="_Toc52348295"/>
      <w:r w:rsidRPr="005A760B">
        <w:br w:type="page"/>
      </w:r>
    </w:p>
    <w:p w:rsidR="001049D6" w:rsidRPr="005A760B" w:rsidRDefault="001049D6" w:rsidP="001049D6">
      <w:pPr>
        <w:pStyle w:val="atitulo1"/>
        <w:rPr>
          <w:color w:val="auto"/>
        </w:rPr>
      </w:pPr>
      <w:bookmarkStart w:id="77" w:name="_Toc54691928"/>
      <w:r w:rsidRPr="005A760B">
        <w:rPr>
          <w:color w:val="auto"/>
        </w:rPr>
        <w:t>VI. Contratación administrativa</w:t>
      </w:r>
      <w:bookmarkEnd w:id="75"/>
      <w:bookmarkEnd w:id="76"/>
      <w:bookmarkEnd w:id="77"/>
    </w:p>
    <w:p w:rsidR="001049D6" w:rsidRPr="005A760B" w:rsidRDefault="001049D6" w:rsidP="00B5121B">
      <w:pPr>
        <w:pStyle w:val="texto"/>
      </w:pPr>
      <w:r w:rsidRPr="005A760B">
        <w:t xml:space="preserve">En este epígrafe se analizan los contratos adjudicados en el año 2018 por las entidades locales y sus entes dependientes, según la información del registro de contratos gestionado por la Junta de Contratación Pública. </w:t>
      </w:r>
    </w:p>
    <w:p w:rsidR="001049D6" w:rsidRPr="005A760B" w:rsidRDefault="001049D6" w:rsidP="001049D6">
      <w:pPr>
        <w:pStyle w:val="texto"/>
        <w:spacing w:after="240"/>
      </w:pPr>
      <w:r w:rsidRPr="005A760B">
        <w:t>Los datos básicos de los contratos adjudicados por las entidades locales fu</w:t>
      </w:r>
      <w:r w:rsidRPr="005A760B">
        <w:t>e</w:t>
      </w:r>
      <w:r w:rsidRPr="005A760B">
        <w:t>ron los siguientes:</w:t>
      </w:r>
    </w:p>
    <w:tbl>
      <w:tblPr>
        <w:tblW w:w="4984" w:type="pct"/>
        <w:jc w:val="center"/>
        <w:tblCellMar>
          <w:left w:w="70" w:type="dxa"/>
          <w:right w:w="70" w:type="dxa"/>
        </w:tblCellMar>
        <w:tblLook w:val="04A0" w:firstRow="1" w:lastRow="0" w:firstColumn="1" w:lastColumn="0" w:noHBand="0" w:noVBand="1"/>
      </w:tblPr>
      <w:tblGrid>
        <w:gridCol w:w="2062"/>
        <w:gridCol w:w="662"/>
        <w:gridCol w:w="1038"/>
        <w:gridCol w:w="196"/>
        <w:gridCol w:w="623"/>
        <w:gridCol w:w="942"/>
        <w:gridCol w:w="196"/>
        <w:gridCol w:w="461"/>
        <w:gridCol w:w="1050"/>
        <w:gridCol w:w="196"/>
        <w:gridCol w:w="440"/>
        <w:gridCol w:w="1034"/>
      </w:tblGrid>
      <w:tr w:rsidR="00B5121B" w:rsidRPr="005A760B" w:rsidTr="00667FE9">
        <w:trPr>
          <w:trHeight w:val="227"/>
          <w:jc w:val="center"/>
        </w:trPr>
        <w:tc>
          <w:tcPr>
            <w:tcW w:w="1159" w:type="pct"/>
            <w:vMerge w:val="restart"/>
            <w:tcBorders>
              <w:top w:val="single" w:sz="4" w:space="0" w:color="auto"/>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rPr>
                <w:sz w:val="16"/>
                <w:szCs w:val="16"/>
                <w:lang w:val="es-ES" w:eastAsia="es-ES"/>
              </w:rPr>
            </w:pPr>
            <w:r w:rsidRPr="005A760B">
              <w:rPr>
                <w:sz w:val="16"/>
                <w:szCs w:val="16"/>
                <w:lang w:val="es-ES" w:eastAsia="es-ES"/>
              </w:rPr>
              <w:t>Tipo de contrato</w:t>
            </w:r>
          </w:p>
        </w:tc>
        <w:tc>
          <w:tcPr>
            <w:tcW w:w="954"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2D7C75">
            <w:pPr>
              <w:pStyle w:val="cuadroCabe"/>
              <w:jc w:val="center"/>
              <w:rPr>
                <w:rFonts w:cs="Arial"/>
                <w:sz w:val="16"/>
                <w:szCs w:val="16"/>
                <w:lang w:val="es-ES" w:eastAsia="es-ES"/>
              </w:rPr>
            </w:pPr>
            <w:r w:rsidRPr="005A760B">
              <w:rPr>
                <w:rFonts w:cs="Arial"/>
                <w:sz w:val="16"/>
                <w:szCs w:val="16"/>
                <w:lang w:eastAsia="es-ES"/>
              </w:rPr>
              <w:t>Municipios</w:t>
            </w:r>
          </w:p>
        </w:tc>
        <w:tc>
          <w:tcPr>
            <w:tcW w:w="110" w:type="pct"/>
            <w:tcBorders>
              <w:top w:val="single" w:sz="4" w:space="0" w:color="auto"/>
              <w:left w:val="nil"/>
              <w:bottom w:val="nil"/>
              <w:right w:val="nil"/>
            </w:tcBorders>
            <w:shd w:val="clear" w:color="auto" w:fill="FABF8F" w:themeFill="accent6" w:themeFillTint="99"/>
            <w:vAlign w:val="center"/>
            <w:hideMark/>
          </w:tcPr>
          <w:p w:rsidR="001049D6" w:rsidRPr="005A760B" w:rsidRDefault="001049D6" w:rsidP="00667FE9">
            <w:pPr>
              <w:pStyle w:val="cuadroCabe"/>
              <w:jc w:val="right"/>
              <w:rPr>
                <w:rFonts w:cs="Arial"/>
                <w:sz w:val="16"/>
                <w:szCs w:val="16"/>
                <w:lang w:val="es-ES" w:eastAsia="es-ES"/>
              </w:rPr>
            </w:pPr>
          </w:p>
        </w:tc>
        <w:tc>
          <w:tcPr>
            <w:tcW w:w="878"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2D7C75">
            <w:pPr>
              <w:pStyle w:val="cuadroCabe"/>
              <w:jc w:val="center"/>
              <w:rPr>
                <w:rFonts w:cs="Arial"/>
                <w:sz w:val="16"/>
                <w:szCs w:val="16"/>
                <w:lang w:val="es-ES" w:eastAsia="es-ES"/>
              </w:rPr>
            </w:pPr>
            <w:r w:rsidRPr="005A760B">
              <w:rPr>
                <w:rFonts w:cs="Arial"/>
                <w:sz w:val="16"/>
                <w:szCs w:val="16"/>
                <w:lang w:eastAsia="es-ES"/>
              </w:rPr>
              <w:t>Concejos</w:t>
            </w:r>
          </w:p>
        </w:tc>
        <w:tc>
          <w:tcPr>
            <w:tcW w:w="110" w:type="pct"/>
            <w:tcBorders>
              <w:top w:val="single" w:sz="4" w:space="0" w:color="auto"/>
              <w:left w:val="nil"/>
              <w:bottom w:val="nil"/>
              <w:right w:val="nil"/>
            </w:tcBorders>
            <w:shd w:val="clear" w:color="auto" w:fill="FABF8F" w:themeFill="accent6" w:themeFillTint="99"/>
            <w:vAlign w:val="center"/>
            <w:hideMark/>
          </w:tcPr>
          <w:p w:rsidR="001049D6" w:rsidRPr="005A760B" w:rsidRDefault="001049D6" w:rsidP="00667FE9">
            <w:pPr>
              <w:pStyle w:val="cuadroCabe"/>
              <w:jc w:val="right"/>
              <w:rPr>
                <w:rFonts w:cs="Arial"/>
                <w:sz w:val="16"/>
                <w:szCs w:val="16"/>
                <w:lang w:val="es-ES" w:eastAsia="es-ES"/>
              </w:rPr>
            </w:pPr>
          </w:p>
        </w:tc>
        <w:tc>
          <w:tcPr>
            <w:tcW w:w="849"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7FE9">
            <w:pPr>
              <w:pStyle w:val="cuadroCabe"/>
              <w:jc w:val="right"/>
              <w:rPr>
                <w:rFonts w:cs="Arial"/>
                <w:sz w:val="16"/>
                <w:szCs w:val="16"/>
                <w:lang w:val="es-ES" w:eastAsia="es-ES"/>
              </w:rPr>
            </w:pPr>
            <w:r w:rsidRPr="005A760B">
              <w:rPr>
                <w:rFonts w:cs="Arial"/>
                <w:sz w:val="16"/>
                <w:szCs w:val="16"/>
                <w:lang w:eastAsia="es-ES"/>
              </w:rPr>
              <w:t>Mancomunidades</w:t>
            </w:r>
          </w:p>
        </w:tc>
        <w:tc>
          <w:tcPr>
            <w:tcW w:w="110" w:type="pct"/>
            <w:tcBorders>
              <w:top w:val="single" w:sz="4" w:space="0" w:color="auto"/>
              <w:left w:val="nil"/>
              <w:bottom w:val="nil"/>
              <w:right w:val="nil"/>
            </w:tcBorders>
            <w:shd w:val="clear" w:color="auto" w:fill="FABF8F" w:themeFill="accent6" w:themeFillTint="99"/>
            <w:vAlign w:val="center"/>
            <w:hideMark/>
          </w:tcPr>
          <w:p w:rsidR="001049D6" w:rsidRPr="005A760B" w:rsidRDefault="001049D6" w:rsidP="00667FE9">
            <w:pPr>
              <w:pStyle w:val="cuadroCabe"/>
              <w:jc w:val="right"/>
              <w:rPr>
                <w:rFonts w:cs="Arial"/>
                <w:sz w:val="16"/>
                <w:szCs w:val="16"/>
                <w:lang w:val="es-ES" w:eastAsia="es-ES"/>
              </w:rPr>
            </w:pPr>
          </w:p>
        </w:tc>
        <w:tc>
          <w:tcPr>
            <w:tcW w:w="830"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rsidR="001049D6" w:rsidRPr="005A760B" w:rsidRDefault="00B5121B" w:rsidP="002D7C75">
            <w:pPr>
              <w:pStyle w:val="cuadroCabe"/>
              <w:jc w:val="center"/>
              <w:rPr>
                <w:rFonts w:cs="Arial"/>
                <w:sz w:val="16"/>
                <w:szCs w:val="16"/>
                <w:lang w:val="es-ES" w:eastAsia="es-ES"/>
              </w:rPr>
            </w:pPr>
            <w:r w:rsidRPr="005A760B">
              <w:rPr>
                <w:rFonts w:cs="Arial"/>
                <w:sz w:val="16"/>
                <w:szCs w:val="16"/>
                <w:lang w:eastAsia="es-ES"/>
              </w:rPr>
              <w:t>Total</w:t>
            </w:r>
          </w:p>
        </w:tc>
      </w:tr>
      <w:tr w:rsidR="00B5121B" w:rsidRPr="005A760B" w:rsidTr="00B5121B">
        <w:trPr>
          <w:trHeight w:val="227"/>
          <w:jc w:val="center"/>
        </w:trPr>
        <w:tc>
          <w:tcPr>
            <w:tcW w:w="1159" w:type="pct"/>
            <w:vMerge/>
            <w:tcBorders>
              <w:top w:val="single" w:sz="4" w:space="0" w:color="auto"/>
              <w:left w:val="nil"/>
              <w:bottom w:val="single" w:sz="2" w:space="0" w:color="auto"/>
              <w:right w:val="nil"/>
            </w:tcBorders>
            <w:shd w:val="clear" w:color="auto" w:fill="FABF8F" w:themeFill="accent6" w:themeFillTint="99"/>
            <w:vAlign w:val="center"/>
            <w:hideMark/>
          </w:tcPr>
          <w:p w:rsidR="001049D6" w:rsidRPr="005A760B" w:rsidRDefault="001049D6" w:rsidP="00662271">
            <w:pPr>
              <w:pStyle w:val="cuadroCabe"/>
              <w:rPr>
                <w:sz w:val="16"/>
                <w:szCs w:val="16"/>
                <w:lang w:val="es-ES" w:eastAsia="es-ES"/>
              </w:rPr>
            </w:pPr>
          </w:p>
        </w:tc>
        <w:tc>
          <w:tcPr>
            <w:tcW w:w="372" w:type="pct"/>
            <w:tcBorders>
              <w:top w:val="nil"/>
              <w:left w:val="nil"/>
              <w:bottom w:val="single" w:sz="2"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rFonts w:cs="Arial"/>
                <w:sz w:val="16"/>
                <w:szCs w:val="16"/>
                <w:lang w:val="es-ES" w:eastAsia="es-ES"/>
              </w:rPr>
            </w:pPr>
            <w:r w:rsidRPr="005A760B">
              <w:rPr>
                <w:rFonts w:cs="Arial"/>
                <w:sz w:val="16"/>
                <w:szCs w:val="16"/>
                <w:lang w:val="es-ES" w:eastAsia="es-ES"/>
              </w:rPr>
              <w:t>Nº</w:t>
            </w:r>
          </w:p>
        </w:tc>
        <w:tc>
          <w:tcPr>
            <w:tcW w:w="583" w:type="pct"/>
            <w:tcBorders>
              <w:top w:val="nil"/>
              <w:left w:val="nil"/>
              <w:bottom w:val="single" w:sz="2" w:space="0" w:color="auto"/>
              <w:right w:val="nil"/>
            </w:tcBorders>
            <w:shd w:val="clear" w:color="auto" w:fill="FABF8F" w:themeFill="accent6" w:themeFillTint="99"/>
            <w:vAlign w:val="center"/>
            <w:hideMark/>
          </w:tcPr>
          <w:p w:rsidR="001049D6" w:rsidRPr="005A760B" w:rsidRDefault="001049D6" w:rsidP="00662271">
            <w:pPr>
              <w:pStyle w:val="cuadroCabe"/>
              <w:jc w:val="right"/>
              <w:rPr>
                <w:rFonts w:cs="Arial"/>
                <w:sz w:val="16"/>
                <w:szCs w:val="16"/>
                <w:lang w:val="es-ES" w:eastAsia="es-ES"/>
              </w:rPr>
            </w:pPr>
            <w:r w:rsidRPr="005A760B">
              <w:rPr>
                <w:rFonts w:cs="Arial"/>
                <w:sz w:val="16"/>
                <w:szCs w:val="16"/>
                <w:lang w:val="es-ES" w:eastAsia="es-ES"/>
              </w:rPr>
              <w:t xml:space="preserve">Importe </w:t>
            </w:r>
          </w:p>
        </w:tc>
        <w:tc>
          <w:tcPr>
            <w:tcW w:w="110" w:type="pct"/>
            <w:tcBorders>
              <w:top w:val="nil"/>
              <w:left w:val="nil"/>
              <w:bottom w:val="single" w:sz="2" w:space="0" w:color="auto"/>
              <w:right w:val="nil"/>
            </w:tcBorders>
            <w:shd w:val="clear" w:color="auto" w:fill="FABF8F" w:themeFill="accent6" w:themeFillTint="99"/>
            <w:vAlign w:val="center"/>
            <w:hideMark/>
          </w:tcPr>
          <w:p w:rsidR="001049D6" w:rsidRPr="005A760B" w:rsidRDefault="001049D6" w:rsidP="00662271">
            <w:pPr>
              <w:pStyle w:val="cuadroCabe"/>
              <w:jc w:val="right"/>
              <w:rPr>
                <w:rFonts w:cs="Arial"/>
                <w:sz w:val="16"/>
                <w:szCs w:val="16"/>
                <w:lang w:val="es-ES" w:eastAsia="es-ES"/>
              </w:rPr>
            </w:pPr>
            <w:r w:rsidRPr="005A760B">
              <w:rPr>
                <w:rFonts w:cs="Arial"/>
                <w:sz w:val="16"/>
                <w:szCs w:val="16"/>
                <w:lang w:val="es-ES" w:eastAsia="es-ES"/>
              </w:rPr>
              <w:t> </w:t>
            </w:r>
          </w:p>
        </w:tc>
        <w:tc>
          <w:tcPr>
            <w:tcW w:w="350" w:type="pct"/>
            <w:tcBorders>
              <w:top w:val="nil"/>
              <w:left w:val="nil"/>
              <w:bottom w:val="single" w:sz="2"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rFonts w:cs="Arial"/>
                <w:sz w:val="16"/>
                <w:szCs w:val="16"/>
                <w:lang w:val="es-ES" w:eastAsia="es-ES"/>
              </w:rPr>
            </w:pPr>
            <w:r w:rsidRPr="005A760B">
              <w:rPr>
                <w:rFonts w:cs="Arial"/>
                <w:sz w:val="16"/>
                <w:szCs w:val="16"/>
                <w:lang w:val="es-ES" w:eastAsia="es-ES"/>
              </w:rPr>
              <w:t>Nº</w:t>
            </w:r>
          </w:p>
        </w:tc>
        <w:tc>
          <w:tcPr>
            <w:tcW w:w="529" w:type="pct"/>
            <w:tcBorders>
              <w:top w:val="nil"/>
              <w:left w:val="nil"/>
              <w:bottom w:val="single" w:sz="2" w:space="0" w:color="auto"/>
              <w:right w:val="nil"/>
            </w:tcBorders>
            <w:shd w:val="clear" w:color="auto" w:fill="FABF8F" w:themeFill="accent6" w:themeFillTint="99"/>
            <w:vAlign w:val="center"/>
            <w:hideMark/>
          </w:tcPr>
          <w:p w:rsidR="001049D6" w:rsidRPr="005A760B" w:rsidRDefault="001049D6" w:rsidP="00662271">
            <w:pPr>
              <w:pStyle w:val="cuadroCabe"/>
              <w:jc w:val="right"/>
              <w:rPr>
                <w:rFonts w:cs="Arial"/>
                <w:sz w:val="16"/>
                <w:szCs w:val="16"/>
                <w:lang w:val="es-ES" w:eastAsia="es-ES"/>
              </w:rPr>
            </w:pPr>
            <w:r w:rsidRPr="005A760B">
              <w:rPr>
                <w:rFonts w:cs="Arial"/>
                <w:sz w:val="16"/>
                <w:szCs w:val="16"/>
                <w:lang w:val="es-ES" w:eastAsia="es-ES"/>
              </w:rPr>
              <w:t xml:space="preserve">Importe </w:t>
            </w:r>
          </w:p>
        </w:tc>
        <w:tc>
          <w:tcPr>
            <w:tcW w:w="110" w:type="pct"/>
            <w:tcBorders>
              <w:top w:val="nil"/>
              <w:left w:val="nil"/>
              <w:bottom w:val="single" w:sz="2" w:space="0" w:color="auto"/>
              <w:right w:val="nil"/>
            </w:tcBorders>
            <w:shd w:val="clear" w:color="auto" w:fill="FABF8F" w:themeFill="accent6" w:themeFillTint="99"/>
            <w:vAlign w:val="center"/>
            <w:hideMark/>
          </w:tcPr>
          <w:p w:rsidR="001049D6" w:rsidRPr="005A760B" w:rsidRDefault="001049D6" w:rsidP="00662271">
            <w:pPr>
              <w:pStyle w:val="cuadroCabe"/>
              <w:jc w:val="right"/>
              <w:rPr>
                <w:rFonts w:cs="Arial"/>
                <w:sz w:val="16"/>
                <w:szCs w:val="16"/>
                <w:lang w:val="es-ES" w:eastAsia="es-ES"/>
              </w:rPr>
            </w:pPr>
            <w:r w:rsidRPr="005A760B">
              <w:rPr>
                <w:rFonts w:cs="Arial"/>
                <w:sz w:val="16"/>
                <w:szCs w:val="16"/>
                <w:lang w:eastAsia="es-ES"/>
              </w:rPr>
              <w:t> </w:t>
            </w:r>
          </w:p>
        </w:tc>
        <w:tc>
          <w:tcPr>
            <w:tcW w:w="259" w:type="pct"/>
            <w:tcBorders>
              <w:top w:val="nil"/>
              <w:left w:val="nil"/>
              <w:bottom w:val="single" w:sz="2" w:space="0" w:color="auto"/>
              <w:right w:val="nil"/>
            </w:tcBorders>
            <w:shd w:val="clear" w:color="auto" w:fill="FABF8F" w:themeFill="accent6" w:themeFillTint="99"/>
            <w:vAlign w:val="center"/>
            <w:hideMark/>
          </w:tcPr>
          <w:p w:rsidR="001049D6" w:rsidRPr="005A760B" w:rsidRDefault="001049D6" w:rsidP="00662271">
            <w:pPr>
              <w:pStyle w:val="cuadroCabe"/>
              <w:jc w:val="right"/>
              <w:rPr>
                <w:rFonts w:cs="Arial"/>
                <w:sz w:val="16"/>
                <w:szCs w:val="16"/>
                <w:lang w:val="es-ES" w:eastAsia="es-ES"/>
              </w:rPr>
            </w:pPr>
            <w:r w:rsidRPr="005A760B">
              <w:rPr>
                <w:rFonts w:cs="Arial"/>
                <w:sz w:val="16"/>
                <w:szCs w:val="16"/>
                <w:lang w:val="es-ES" w:eastAsia="es-ES"/>
              </w:rPr>
              <w:t>Nº</w:t>
            </w:r>
          </w:p>
        </w:tc>
        <w:tc>
          <w:tcPr>
            <w:tcW w:w="590" w:type="pct"/>
            <w:tcBorders>
              <w:top w:val="nil"/>
              <w:left w:val="nil"/>
              <w:bottom w:val="single" w:sz="2" w:space="0" w:color="auto"/>
              <w:right w:val="nil"/>
            </w:tcBorders>
            <w:shd w:val="clear" w:color="auto" w:fill="FABF8F" w:themeFill="accent6" w:themeFillTint="99"/>
            <w:vAlign w:val="center"/>
            <w:hideMark/>
          </w:tcPr>
          <w:p w:rsidR="001049D6" w:rsidRPr="005A760B" w:rsidRDefault="001049D6" w:rsidP="00662271">
            <w:pPr>
              <w:pStyle w:val="cuadroCabe"/>
              <w:jc w:val="right"/>
              <w:rPr>
                <w:rFonts w:cs="Arial"/>
                <w:sz w:val="16"/>
                <w:szCs w:val="16"/>
                <w:lang w:val="es-ES" w:eastAsia="es-ES"/>
              </w:rPr>
            </w:pPr>
            <w:r w:rsidRPr="005A760B">
              <w:rPr>
                <w:rFonts w:cs="Arial"/>
                <w:sz w:val="16"/>
                <w:szCs w:val="16"/>
                <w:lang w:val="es-ES" w:eastAsia="es-ES"/>
              </w:rPr>
              <w:t xml:space="preserve">Importe </w:t>
            </w:r>
          </w:p>
        </w:tc>
        <w:tc>
          <w:tcPr>
            <w:tcW w:w="110" w:type="pct"/>
            <w:tcBorders>
              <w:top w:val="nil"/>
              <w:left w:val="nil"/>
              <w:bottom w:val="single" w:sz="2" w:space="0" w:color="auto"/>
              <w:right w:val="nil"/>
            </w:tcBorders>
            <w:shd w:val="clear" w:color="auto" w:fill="FABF8F" w:themeFill="accent6" w:themeFillTint="99"/>
            <w:vAlign w:val="center"/>
            <w:hideMark/>
          </w:tcPr>
          <w:p w:rsidR="001049D6" w:rsidRPr="005A760B" w:rsidRDefault="001049D6" w:rsidP="00662271">
            <w:pPr>
              <w:pStyle w:val="cuadroCabe"/>
              <w:jc w:val="right"/>
              <w:rPr>
                <w:rFonts w:cs="Arial"/>
                <w:sz w:val="16"/>
                <w:szCs w:val="16"/>
                <w:lang w:val="es-ES" w:eastAsia="es-ES"/>
              </w:rPr>
            </w:pPr>
            <w:r w:rsidRPr="005A760B">
              <w:rPr>
                <w:rFonts w:cs="Arial"/>
                <w:sz w:val="16"/>
                <w:szCs w:val="16"/>
                <w:lang w:val="es-ES" w:eastAsia="es-ES"/>
              </w:rPr>
              <w:t> </w:t>
            </w:r>
          </w:p>
        </w:tc>
        <w:tc>
          <w:tcPr>
            <w:tcW w:w="247" w:type="pct"/>
            <w:tcBorders>
              <w:top w:val="nil"/>
              <w:left w:val="nil"/>
              <w:bottom w:val="single" w:sz="2"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rFonts w:cs="Arial"/>
                <w:sz w:val="16"/>
                <w:szCs w:val="16"/>
                <w:lang w:val="es-ES" w:eastAsia="es-ES"/>
              </w:rPr>
            </w:pPr>
            <w:r w:rsidRPr="005A760B">
              <w:rPr>
                <w:rFonts w:cs="Arial"/>
                <w:sz w:val="16"/>
                <w:szCs w:val="16"/>
                <w:lang w:val="es-ES" w:eastAsia="es-ES"/>
              </w:rPr>
              <w:t>Nº</w:t>
            </w:r>
          </w:p>
        </w:tc>
        <w:tc>
          <w:tcPr>
            <w:tcW w:w="583" w:type="pct"/>
            <w:tcBorders>
              <w:top w:val="nil"/>
              <w:left w:val="nil"/>
              <w:bottom w:val="single" w:sz="2" w:space="0" w:color="auto"/>
              <w:right w:val="nil"/>
            </w:tcBorders>
            <w:shd w:val="clear" w:color="auto" w:fill="FABF8F" w:themeFill="accent6" w:themeFillTint="99"/>
            <w:vAlign w:val="center"/>
            <w:hideMark/>
          </w:tcPr>
          <w:p w:rsidR="001049D6" w:rsidRPr="005A760B" w:rsidRDefault="001049D6" w:rsidP="00662271">
            <w:pPr>
              <w:pStyle w:val="cuadroCabe"/>
              <w:jc w:val="right"/>
              <w:rPr>
                <w:rFonts w:cs="Arial"/>
                <w:sz w:val="16"/>
                <w:szCs w:val="16"/>
                <w:lang w:val="es-ES" w:eastAsia="es-ES"/>
              </w:rPr>
            </w:pPr>
            <w:r w:rsidRPr="005A760B">
              <w:rPr>
                <w:rFonts w:cs="Arial"/>
                <w:sz w:val="16"/>
                <w:szCs w:val="16"/>
                <w:lang w:val="es-ES" w:eastAsia="es-ES"/>
              </w:rPr>
              <w:t xml:space="preserve">Importe </w:t>
            </w:r>
          </w:p>
        </w:tc>
      </w:tr>
      <w:tr w:rsidR="001049D6" w:rsidRPr="005A760B" w:rsidTr="00B5121B">
        <w:trPr>
          <w:trHeight w:val="300"/>
          <w:jc w:val="center"/>
        </w:trPr>
        <w:tc>
          <w:tcPr>
            <w:tcW w:w="1159"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rPr>
                <w:lang w:val="es-ES" w:eastAsia="es-ES"/>
              </w:rPr>
            </w:pPr>
            <w:r w:rsidRPr="005A760B">
              <w:rPr>
                <w:lang w:val="es-ES" w:eastAsia="es-ES"/>
              </w:rPr>
              <w:t>Obras</w:t>
            </w:r>
          </w:p>
        </w:tc>
        <w:tc>
          <w:tcPr>
            <w:tcW w:w="372"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lang w:val="es-ES" w:eastAsia="es-ES"/>
              </w:rPr>
            </w:pPr>
            <w:r w:rsidRPr="005A760B">
              <w:rPr>
                <w:lang w:val="es-ES" w:eastAsia="es-ES"/>
              </w:rPr>
              <w:t>224</w:t>
            </w:r>
          </w:p>
        </w:tc>
        <w:tc>
          <w:tcPr>
            <w:tcW w:w="58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F96C33">
            <w:pPr>
              <w:pStyle w:val="cuatexto"/>
              <w:jc w:val="right"/>
              <w:rPr>
                <w:lang w:val="es-ES" w:eastAsia="es-ES"/>
              </w:rPr>
            </w:pPr>
            <w:r w:rsidRPr="005A760B">
              <w:rPr>
                <w:lang w:val="es-ES" w:eastAsia="es-ES"/>
              </w:rPr>
              <w:t>44.381.70</w:t>
            </w:r>
            <w:r w:rsidR="00F96C33" w:rsidRPr="005A760B">
              <w:rPr>
                <w:lang w:val="es-ES" w:eastAsia="es-ES"/>
              </w:rPr>
              <w:t>5</w:t>
            </w:r>
          </w:p>
        </w:tc>
        <w:tc>
          <w:tcPr>
            <w:tcW w:w="110"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lang w:val="es-ES" w:eastAsia="es-ES"/>
              </w:rPr>
            </w:pPr>
          </w:p>
        </w:tc>
        <w:tc>
          <w:tcPr>
            <w:tcW w:w="350"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lang w:val="es-ES" w:eastAsia="es-ES"/>
              </w:rPr>
            </w:pPr>
            <w:r w:rsidRPr="005A760B">
              <w:rPr>
                <w:lang w:val="es-ES" w:eastAsia="es-ES"/>
              </w:rPr>
              <w:t>10</w:t>
            </w:r>
          </w:p>
        </w:tc>
        <w:tc>
          <w:tcPr>
            <w:tcW w:w="529"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lang w:val="es-ES" w:eastAsia="es-ES"/>
              </w:rPr>
            </w:pPr>
            <w:r w:rsidRPr="005A760B">
              <w:rPr>
                <w:lang w:val="es-ES" w:eastAsia="es-ES"/>
              </w:rPr>
              <w:t>2.070.849</w:t>
            </w:r>
          </w:p>
        </w:tc>
        <w:tc>
          <w:tcPr>
            <w:tcW w:w="110"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lang w:val="es-ES" w:eastAsia="es-ES"/>
              </w:rPr>
            </w:pPr>
          </w:p>
        </w:tc>
        <w:tc>
          <w:tcPr>
            <w:tcW w:w="259"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lang w:val="es-ES" w:eastAsia="es-ES"/>
              </w:rPr>
            </w:pPr>
            <w:r w:rsidRPr="005A760B">
              <w:rPr>
                <w:lang w:val="es-ES" w:eastAsia="es-ES"/>
              </w:rPr>
              <w:t>34</w:t>
            </w:r>
          </w:p>
        </w:tc>
        <w:tc>
          <w:tcPr>
            <w:tcW w:w="590"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lang w:val="es-ES" w:eastAsia="es-ES"/>
              </w:rPr>
            </w:pPr>
            <w:r w:rsidRPr="005A760B">
              <w:rPr>
                <w:lang w:val="es-ES" w:eastAsia="es-ES"/>
              </w:rPr>
              <w:t>20.020.280</w:t>
            </w:r>
          </w:p>
        </w:tc>
        <w:tc>
          <w:tcPr>
            <w:tcW w:w="110"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lang w:val="es-ES" w:eastAsia="es-ES"/>
              </w:rPr>
            </w:pPr>
          </w:p>
        </w:tc>
        <w:tc>
          <w:tcPr>
            <w:tcW w:w="247"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lang w:val="es-ES" w:eastAsia="es-ES"/>
              </w:rPr>
            </w:pPr>
            <w:r w:rsidRPr="005A760B">
              <w:rPr>
                <w:lang w:val="es-ES" w:eastAsia="es-ES"/>
              </w:rPr>
              <w:t>268</w:t>
            </w:r>
          </w:p>
        </w:tc>
        <w:tc>
          <w:tcPr>
            <w:tcW w:w="58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F96C33">
            <w:pPr>
              <w:pStyle w:val="cuatexto"/>
              <w:jc w:val="right"/>
              <w:rPr>
                <w:lang w:val="es-ES" w:eastAsia="es-ES"/>
              </w:rPr>
            </w:pPr>
            <w:r w:rsidRPr="005A760B">
              <w:rPr>
                <w:lang w:val="es-ES" w:eastAsia="es-ES"/>
              </w:rPr>
              <w:t>66.472.83</w:t>
            </w:r>
            <w:r w:rsidR="00F96C33" w:rsidRPr="005A760B">
              <w:rPr>
                <w:lang w:val="es-ES" w:eastAsia="es-ES"/>
              </w:rPr>
              <w:t>4</w:t>
            </w:r>
          </w:p>
        </w:tc>
      </w:tr>
      <w:tr w:rsidR="001049D6" w:rsidRPr="005A760B" w:rsidTr="00B5121B">
        <w:trPr>
          <w:trHeight w:val="300"/>
          <w:jc w:val="center"/>
        </w:trPr>
        <w:tc>
          <w:tcPr>
            <w:tcW w:w="1159"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rPr>
                <w:lang w:val="es-ES" w:eastAsia="es-ES"/>
              </w:rPr>
            </w:pPr>
            <w:r w:rsidRPr="005A760B">
              <w:rPr>
                <w:lang w:val="es-ES" w:eastAsia="es-ES"/>
              </w:rPr>
              <w:t>Servicios</w:t>
            </w:r>
          </w:p>
        </w:tc>
        <w:tc>
          <w:tcPr>
            <w:tcW w:w="372"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lang w:val="es-ES" w:eastAsia="es-ES"/>
              </w:rPr>
            </w:pPr>
            <w:r w:rsidRPr="005A760B">
              <w:rPr>
                <w:lang w:val="es-ES" w:eastAsia="es-ES"/>
              </w:rPr>
              <w:t>114</w:t>
            </w:r>
          </w:p>
        </w:tc>
        <w:tc>
          <w:tcPr>
            <w:tcW w:w="58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lang w:val="es-ES" w:eastAsia="es-ES"/>
              </w:rPr>
            </w:pPr>
            <w:r w:rsidRPr="005A760B">
              <w:rPr>
                <w:lang w:val="es-ES" w:eastAsia="es-ES"/>
              </w:rPr>
              <w:t>9.608.470</w:t>
            </w:r>
          </w:p>
        </w:tc>
        <w:tc>
          <w:tcPr>
            <w:tcW w:w="110"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lang w:val="es-ES" w:eastAsia="es-ES"/>
              </w:rPr>
            </w:pPr>
            <w:r w:rsidRPr="005A760B">
              <w:rPr>
                <w:lang w:val="es-ES" w:eastAsia="es-ES"/>
              </w:rPr>
              <w:t> </w:t>
            </w:r>
          </w:p>
        </w:tc>
        <w:tc>
          <w:tcPr>
            <w:tcW w:w="350"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lang w:val="es-ES" w:eastAsia="es-ES"/>
              </w:rPr>
            </w:pPr>
            <w:r w:rsidRPr="005A760B">
              <w:rPr>
                <w:lang w:val="es-ES" w:eastAsia="es-ES"/>
              </w:rPr>
              <w:t>3</w:t>
            </w:r>
          </w:p>
        </w:tc>
        <w:tc>
          <w:tcPr>
            <w:tcW w:w="529"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lang w:val="es-ES" w:eastAsia="es-ES"/>
              </w:rPr>
            </w:pPr>
            <w:r w:rsidRPr="005A760B">
              <w:rPr>
                <w:lang w:val="es-ES" w:eastAsia="es-ES"/>
              </w:rPr>
              <w:t>56.216</w:t>
            </w:r>
          </w:p>
        </w:tc>
        <w:tc>
          <w:tcPr>
            <w:tcW w:w="110"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lang w:val="es-ES" w:eastAsia="es-ES"/>
              </w:rPr>
            </w:pPr>
            <w:r w:rsidRPr="005A760B">
              <w:rPr>
                <w:lang w:val="es-ES" w:eastAsia="es-ES"/>
              </w:rPr>
              <w:t> </w:t>
            </w:r>
          </w:p>
        </w:tc>
        <w:tc>
          <w:tcPr>
            <w:tcW w:w="259"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lang w:val="es-ES" w:eastAsia="es-ES"/>
              </w:rPr>
            </w:pPr>
            <w:r w:rsidRPr="005A760B">
              <w:rPr>
                <w:lang w:val="es-ES" w:eastAsia="es-ES"/>
              </w:rPr>
              <w:t>6</w:t>
            </w:r>
          </w:p>
        </w:tc>
        <w:tc>
          <w:tcPr>
            <w:tcW w:w="590"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lang w:val="es-ES" w:eastAsia="es-ES"/>
              </w:rPr>
            </w:pPr>
            <w:r w:rsidRPr="005A760B">
              <w:rPr>
                <w:lang w:val="es-ES" w:eastAsia="es-ES"/>
              </w:rPr>
              <w:t>574.790</w:t>
            </w:r>
          </w:p>
        </w:tc>
        <w:tc>
          <w:tcPr>
            <w:tcW w:w="110"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lang w:val="es-ES" w:eastAsia="es-ES"/>
              </w:rPr>
            </w:pPr>
            <w:r w:rsidRPr="005A760B">
              <w:rPr>
                <w:lang w:val="es-ES" w:eastAsia="es-ES"/>
              </w:rPr>
              <w:t> </w:t>
            </w:r>
          </w:p>
        </w:tc>
        <w:tc>
          <w:tcPr>
            <w:tcW w:w="247"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lang w:val="es-ES" w:eastAsia="es-ES"/>
              </w:rPr>
            </w:pPr>
            <w:r w:rsidRPr="005A760B">
              <w:rPr>
                <w:lang w:val="es-ES" w:eastAsia="es-ES"/>
              </w:rPr>
              <w:t>123</w:t>
            </w:r>
          </w:p>
        </w:tc>
        <w:tc>
          <w:tcPr>
            <w:tcW w:w="58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F96C33">
            <w:pPr>
              <w:pStyle w:val="cuatexto"/>
              <w:jc w:val="right"/>
              <w:rPr>
                <w:lang w:val="es-ES" w:eastAsia="es-ES"/>
              </w:rPr>
            </w:pPr>
            <w:r w:rsidRPr="005A760B">
              <w:rPr>
                <w:lang w:val="es-ES" w:eastAsia="es-ES"/>
              </w:rPr>
              <w:t>10.239.47</w:t>
            </w:r>
            <w:r w:rsidR="00F96C33" w:rsidRPr="005A760B">
              <w:rPr>
                <w:lang w:val="es-ES" w:eastAsia="es-ES"/>
              </w:rPr>
              <w:t>6</w:t>
            </w:r>
          </w:p>
        </w:tc>
      </w:tr>
      <w:tr w:rsidR="001049D6" w:rsidRPr="005A760B" w:rsidTr="00B5121B">
        <w:trPr>
          <w:trHeight w:val="300"/>
          <w:jc w:val="center"/>
        </w:trPr>
        <w:tc>
          <w:tcPr>
            <w:tcW w:w="1159"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rPr>
                <w:lang w:val="es-ES" w:eastAsia="es-ES"/>
              </w:rPr>
            </w:pPr>
            <w:r w:rsidRPr="005A760B">
              <w:rPr>
                <w:lang w:val="es-ES" w:eastAsia="es-ES"/>
              </w:rPr>
              <w:t>Suministro</w:t>
            </w:r>
            <w:r w:rsidR="008A5FED" w:rsidRPr="005A760B">
              <w:rPr>
                <w:lang w:val="es-ES" w:eastAsia="es-ES"/>
              </w:rPr>
              <w:t>s</w:t>
            </w:r>
          </w:p>
        </w:tc>
        <w:tc>
          <w:tcPr>
            <w:tcW w:w="372"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lang w:val="es-ES" w:eastAsia="es-ES"/>
              </w:rPr>
            </w:pPr>
            <w:r w:rsidRPr="005A760B">
              <w:rPr>
                <w:lang w:val="es-ES" w:eastAsia="es-ES"/>
              </w:rPr>
              <w:t>38</w:t>
            </w:r>
          </w:p>
        </w:tc>
        <w:tc>
          <w:tcPr>
            <w:tcW w:w="58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lang w:val="es-ES" w:eastAsia="es-ES"/>
              </w:rPr>
            </w:pPr>
            <w:r w:rsidRPr="005A760B">
              <w:rPr>
                <w:lang w:val="es-ES" w:eastAsia="es-ES"/>
              </w:rPr>
              <w:t>2.087.408</w:t>
            </w:r>
          </w:p>
        </w:tc>
        <w:tc>
          <w:tcPr>
            <w:tcW w:w="110"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lang w:val="es-ES" w:eastAsia="es-ES"/>
              </w:rPr>
            </w:pPr>
          </w:p>
        </w:tc>
        <w:tc>
          <w:tcPr>
            <w:tcW w:w="350"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lang w:val="es-ES" w:eastAsia="es-ES"/>
              </w:rPr>
            </w:pPr>
            <w:r w:rsidRPr="005A760B">
              <w:rPr>
                <w:lang w:val="es-ES" w:eastAsia="es-ES"/>
              </w:rPr>
              <w:t> </w:t>
            </w:r>
          </w:p>
        </w:tc>
        <w:tc>
          <w:tcPr>
            <w:tcW w:w="529"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lang w:val="es-ES" w:eastAsia="es-ES"/>
              </w:rPr>
            </w:pPr>
            <w:r w:rsidRPr="005A760B">
              <w:rPr>
                <w:lang w:val="es-ES" w:eastAsia="es-ES"/>
              </w:rPr>
              <w:t> </w:t>
            </w:r>
          </w:p>
        </w:tc>
        <w:tc>
          <w:tcPr>
            <w:tcW w:w="110"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lang w:val="es-ES" w:eastAsia="es-ES"/>
              </w:rPr>
            </w:pPr>
          </w:p>
        </w:tc>
        <w:tc>
          <w:tcPr>
            <w:tcW w:w="259"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lang w:val="es-ES" w:eastAsia="es-ES"/>
              </w:rPr>
            </w:pPr>
            <w:r w:rsidRPr="005A760B">
              <w:rPr>
                <w:lang w:val="es-ES" w:eastAsia="es-ES"/>
              </w:rPr>
              <w:t>6</w:t>
            </w:r>
          </w:p>
        </w:tc>
        <w:tc>
          <w:tcPr>
            <w:tcW w:w="590"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lang w:val="es-ES" w:eastAsia="es-ES"/>
              </w:rPr>
            </w:pPr>
            <w:r w:rsidRPr="005A760B">
              <w:rPr>
                <w:lang w:val="es-ES" w:eastAsia="es-ES"/>
              </w:rPr>
              <w:t>2.063.898</w:t>
            </w:r>
          </w:p>
        </w:tc>
        <w:tc>
          <w:tcPr>
            <w:tcW w:w="110"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lang w:val="es-ES" w:eastAsia="es-ES"/>
              </w:rPr>
            </w:pPr>
          </w:p>
        </w:tc>
        <w:tc>
          <w:tcPr>
            <w:tcW w:w="247"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lang w:val="es-ES" w:eastAsia="es-ES"/>
              </w:rPr>
            </w:pPr>
            <w:r w:rsidRPr="005A760B">
              <w:rPr>
                <w:lang w:val="es-ES" w:eastAsia="es-ES"/>
              </w:rPr>
              <w:t>44</w:t>
            </w:r>
          </w:p>
        </w:tc>
        <w:tc>
          <w:tcPr>
            <w:tcW w:w="58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lang w:val="es-ES" w:eastAsia="es-ES"/>
              </w:rPr>
            </w:pPr>
            <w:r w:rsidRPr="005A760B">
              <w:rPr>
                <w:lang w:val="es-ES" w:eastAsia="es-ES"/>
              </w:rPr>
              <w:t>4.151.306</w:t>
            </w:r>
          </w:p>
        </w:tc>
      </w:tr>
      <w:tr w:rsidR="001049D6" w:rsidRPr="005A760B" w:rsidTr="00B5121B">
        <w:trPr>
          <w:trHeight w:val="300"/>
          <w:jc w:val="center"/>
        </w:trPr>
        <w:tc>
          <w:tcPr>
            <w:tcW w:w="1159"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rPr>
                <w:lang w:val="es-ES" w:eastAsia="es-ES"/>
              </w:rPr>
            </w:pPr>
            <w:r w:rsidRPr="005A760B">
              <w:rPr>
                <w:lang w:val="es-ES" w:eastAsia="es-ES"/>
              </w:rPr>
              <w:t>Concesión de servicios</w:t>
            </w:r>
          </w:p>
        </w:tc>
        <w:tc>
          <w:tcPr>
            <w:tcW w:w="372"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lang w:val="es-ES" w:eastAsia="es-ES"/>
              </w:rPr>
            </w:pPr>
            <w:r w:rsidRPr="005A760B">
              <w:rPr>
                <w:lang w:val="es-ES" w:eastAsia="es-ES"/>
              </w:rPr>
              <w:t>17</w:t>
            </w:r>
          </w:p>
        </w:tc>
        <w:tc>
          <w:tcPr>
            <w:tcW w:w="583" w:type="pct"/>
            <w:tcBorders>
              <w:top w:val="single" w:sz="2" w:space="0" w:color="auto"/>
              <w:left w:val="nil"/>
              <w:bottom w:val="single" w:sz="2" w:space="0" w:color="auto"/>
              <w:right w:val="nil"/>
            </w:tcBorders>
            <w:shd w:val="clear" w:color="auto" w:fill="auto"/>
            <w:noWrap/>
            <w:vAlign w:val="center"/>
            <w:hideMark/>
          </w:tcPr>
          <w:p w:rsidR="001049D6" w:rsidRPr="005A760B" w:rsidRDefault="00F96C33" w:rsidP="00662271">
            <w:pPr>
              <w:pStyle w:val="cuatexto"/>
              <w:jc w:val="right"/>
              <w:rPr>
                <w:lang w:val="es-ES" w:eastAsia="es-ES"/>
              </w:rPr>
            </w:pPr>
            <w:r w:rsidRPr="005A760B">
              <w:rPr>
                <w:lang w:val="es-ES" w:eastAsia="es-ES"/>
              </w:rPr>
              <w:t>508.611</w:t>
            </w:r>
          </w:p>
        </w:tc>
        <w:tc>
          <w:tcPr>
            <w:tcW w:w="110"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lang w:val="es-ES" w:eastAsia="es-ES"/>
              </w:rPr>
            </w:pPr>
            <w:r w:rsidRPr="005A760B">
              <w:rPr>
                <w:lang w:val="es-ES" w:eastAsia="es-ES"/>
              </w:rPr>
              <w:t> </w:t>
            </w:r>
          </w:p>
        </w:tc>
        <w:tc>
          <w:tcPr>
            <w:tcW w:w="350"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lang w:val="es-ES" w:eastAsia="es-ES"/>
              </w:rPr>
            </w:pPr>
            <w:r w:rsidRPr="005A760B">
              <w:rPr>
                <w:lang w:val="es-ES" w:eastAsia="es-ES"/>
              </w:rPr>
              <w:t> </w:t>
            </w:r>
          </w:p>
        </w:tc>
        <w:tc>
          <w:tcPr>
            <w:tcW w:w="529"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lang w:val="es-ES" w:eastAsia="es-ES"/>
              </w:rPr>
            </w:pPr>
            <w:r w:rsidRPr="005A760B">
              <w:rPr>
                <w:lang w:val="es-ES" w:eastAsia="es-ES"/>
              </w:rPr>
              <w:t> </w:t>
            </w:r>
          </w:p>
        </w:tc>
        <w:tc>
          <w:tcPr>
            <w:tcW w:w="110"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lang w:val="es-ES" w:eastAsia="es-ES"/>
              </w:rPr>
            </w:pPr>
            <w:r w:rsidRPr="005A760B">
              <w:rPr>
                <w:lang w:val="es-ES" w:eastAsia="es-ES"/>
              </w:rPr>
              <w:t> </w:t>
            </w:r>
          </w:p>
        </w:tc>
        <w:tc>
          <w:tcPr>
            <w:tcW w:w="259"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lang w:val="es-ES" w:eastAsia="es-ES"/>
              </w:rPr>
            </w:pPr>
            <w:r w:rsidRPr="005A760B">
              <w:rPr>
                <w:lang w:val="es-ES" w:eastAsia="es-ES"/>
              </w:rPr>
              <w:t> </w:t>
            </w:r>
          </w:p>
        </w:tc>
        <w:tc>
          <w:tcPr>
            <w:tcW w:w="590"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lang w:val="es-ES" w:eastAsia="es-ES"/>
              </w:rPr>
            </w:pPr>
            <w:r w:rsidRPr="005A760B">
              <w:rPr>
                <w:lang w:val="es-ES" w:eastAsia="es-ES"/>
              </w:rPr>
              <w:t>0</w:t>
            </w:r>
          </w:p>
        </w:tc>
        <w:tc>
          <w:tcPr>
            <w:tcW w:w="110"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lang w:val="es-ES" w:eastAsia="es-ES"/>
              </w:rPr>
            </w:pPr>
            <w:r w:rsidRPr="005A760B">
              <w:rPr>
                <w:lang w:val="es-ES" w:eastAsia="es-ES"/>
              </w:rPr>
              <w:t> </w:t>
            </w:r>
          </w:p>
        </w:tc>
        <w:tc>
          <w:tcPr>
            <w:tcW w:w="247"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lang w:val="es-ES" w:eastAsia="es-ES"/>
              </w:rPr>
            </w:pPr>
            <w:r w:rsidRPr="005A760B">
              <w:rPr>
                <w:lang w:val="es-ES" w:eastAsia="es-ES"/>
              </w:rPr>
              <w:t>17</w:t>
            </w:r>
          </w:p>
        </w:tc>
        <w:tc>
          <w:tcPr>
            <w:tcW w:w="58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lang w:val="es-ES" w:eastAsia="es-ES"/>
              </w:rPr>
            </w:pPr>
            <w:r w:rsidRPr="005A760B">
              <w:rPr>
                <w:lang w:val="es-ES" w:eastAsia="es-ES"/>
              </w:rPr>
              <w:t>508.611</w:t>
            </w:r>
          </w:p>
        </w:tc>
      </w:tr>
      <w:tr w:rsidR="00B5121B" w:rsidRPr="005A760B" w:rsidTr="00B5121B">
        <w:trPr>
          <w:trHeight w:val="312"/>
          <w:jc w:val="center"/>
        </w:trPr>
        <w:tc>
          <w:tcPr>
            <w:tcW w:w="1159"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rPr>
                <w:sz w:val="16"/>
                <w:szCs w:val="16"/>
                <w:lang w:val="es-ES" w:eastAsia="es-ES"/>
              </w:rPr>
            </w:pPr>
            <w:r w:rsidRPr="005A760B">
              <w:rPr>
                <w:sz w:val="16"/>
                <w:szCs w:val="16"/>
                <w:lang w:val="es-ES" w:eastAsia="es-ES"/>
              </w:rPr>
              <w:t>Total general</w:t>
            </w:r>
          </w:p>
        </w:tc>
        <w:tc>
          <w:tcPr>
            <w:tcW w:w="372"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sz w:val="16"/>
                <w:szCs w:val="16"/>
                <w:lang w:val="es-ES" w:eastAsia="es-ES"/>
              </w:rPr>
            </w:pPr>
            <w:r w:rsidRPr="005A760B">
              <w:rPr>
                <w:sz w:val="16"/>
                <w:szCs w:val="16"/>
                <w:lang w:val="es-ES" w:eastAsia="es-ES"/>
              </w:rPr>
              <w:t>393</w:t>
            </w:r>
          </w:p>
        </w:tc>
        <w:tc>
          <w:tcPr>
            <w:tcW w:w="583"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sz w:val="16"/>
                <w:szCs w:val="16"/>
                <w:lang w:val="es-ES" w:eastAsia="es-ES"/>
              </w:rPr>
            </w:pPr>
            <w:r w:rsidRPr="005A760B">
              <w:rPr>
                <w:sz w:val="16"/>
                <w:szCs w:val="16"/>
                <w:lang w:val="es-ES" w:eastAsia="es-ES"/>
              </w:rPr>
              <w:t>56.586.194</w:t>
            </w:r>
          </w:p>
        </w:tc>
        <w:tc>
          <w:tcPr>
            <w:tcW w:w="110" w:type="pct"/>
            <w:tcBorders>
              <w:top w:val="single" w:sz="2" w:space="0" w:color="auto"/>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jc w:val="right"/>
              <w:rPr>
                <w:sz w:val="16"/>
                <w:szCs w:val="16"/>
                <w:lang w:val="es-ES" w:eastAsia="es-ES"/>
              </w:rPr>
            </w:pPr>
            <w:r w:rsidRPr="005A760B">
              <w:rPr>
                <w:sz w:val="16"/>
                <w:szCs w:val="16"/>
                <w:lang w:val="es-ES" w:eastAsia="es-ES"/>
              </w:rPr>
              <w:t> </w:t>
            </w:r>
          </w:p>
        </w:tc>
        <w:tc>
          <w:tcPr>
            <w:tcW w:w="350"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sz w:val="16"/>
                <w:szCs w:val="16"/>
                <w:lang w:val="es-ES" w:eastAsia="es-ES"/>
              </w:rPr>
            </w:pPr>
            <w:r w:rsidRPr="005A760B">
              <w:rPr>
                <w:sz w:val="16"/>
                <w:szCs w:val="16"/>
                <w:lang w:val="es-ES" w:eastAsia="es-ES"/>
              </w:rPr>
              <w:t>13</w:t>
            </w:r>
          </w:p>
        </w:tc>
        <w:tc>
          <w:tcPr>
            <w:tcW w:w="529"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sz w:val="16"/>
                <w:szCs w:val="16"/>
                <w:lang w:val="es-ES" w:eastAsia="es-ES"/>
              </w:rPr>
            </w:pPr>
            <w:r w:rsidRPr="005A760B">
              <w:rPr>
                <w:sz w:val="16"/>
                <w:szCs w:val="16"/>
                <w:lang w:val="es-ES" w:eastAsia="es-ES"/>
              </w:rPr>
              <w:t>2.127.065</w:t>
            </w:r>
          </w:p>
        </w:tc>
        <w:tc>
          <w:tcPr>
            <w:tcW w:w="110" w:type="pct"/>
            <w:tcBorders>
              <w:top w:val="single" w:sz="2" w:space="0" w:color="auto"/>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jc w:val="right"/>
              <w:rPr>
                <w:sz w:val="16"/>
                <w:szCs w:val="16"/>
                <w:lang w:val="es-ES" w:eastAsia="es-ES"/>
              </w:rPr>
            </w:pPr>
            <w:r w:rsidRPr="005A760B">
              <w:rPr>
                <w:sz w:val="16"/>
                <w:szCs w:val="16"/>
                <w:lang w:val="es-ES" w:eastAsia="es-ES"/>
              </w:rPr>
              <w:t> </w:t>
            </w:r>
          </w:p>
        </w:tc>
        <w:tc>
          <w:tcPr>
            <w:tcW w:w="259" w:type="pct"/>
            <w:tcBorders>
              <w:top w:val="single" w:sz="2" w:space="0" w:color="auto"/>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jc w:val="right"/>
              <w:rPr>
                <w:sz w:val="16"/>
                <w:szCs w:val="16"/>
                <w:lang w:val="es-ES" w:eastAsia="es-ES"/>
              </w:rPr>
            </w:pPr>
            <w:r w:rsidRPr="005A760B">
              <w:rPr>
                <w:sz w:val="16"/>
                <w:szCs w:val="16"/>
                <w:lang w:val="es-ES" w:eastAsia="es-ES"/>
              </w:rPr>
              <w:t>46</w:t>
            </w:r>
          </w:p>
        </w:tc>
        <w:tc>
          <w:tcPr>
            <w:tcW w:w="590"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sz w:val="16"/>
                <w:szCs w:val="16"/>
                <w:lang w:val="es-ES" w:eastAsia="es-ES"/>
              </w:rPr>
            </w:pPr>
            <w:r w:rsidRPr="005A760B">
              <w:rPr>
                <w:sz w:val="16"/>
                <w:szCs w:val="16"/>
                <w:lang w:val="es-ES" w:eastAsia="es-ES"/>
              </w:rPr>
              <w:t>22.658.968</w:t>
            </w:r>
          </w:p>
        </w:tc>
        <w:tc>
          <w:tcPr>
            <w:tcW w:w="110" w:type="pct"/>
            <w:tcBorders>
              <w:top w:val="single" w:sz="2" w:space="0" w:color="auto"/>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jc w:val="right"/>
              <w:rPr>
                <w:sz w:val="16"/>
                <w:szCs w:val="16"/>
                <w:lang w:val="es-ES" w:eastAsia="es-ES"/>
              </w:rPr>
            </w:pPr>
            <w:r w:rsidRPr="005A760B">
              <w:rPr>
                <w:sz w:val="16"/>
                <w:szCs w:val="16"/>
                <w:lang w:val="es-ES" w:eastAsia="es-ES"/>
              </w:rPr>
              <w:t> </w:t>
            </w:r>
          </w:p>
        </w:tc>
        <w:tc>
          <w:tcPr>
            <w:tcW w:w="247"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sz w:val="16"/>
                <w:szCs w:val="16"/>
                <w:lang w:val="es-ES" w:eastAsia="es-ES"/>
              </w:rPr>
            </w:pPr>
            <w:r w:rsidRPr="005A760B">
              <w:rPr>
                <w:sz w:val="16"/>
                <w:szCs w:val="16"/>
                <w:lang w:val="es-ES" w:eastAsia="es-ES"/>
              </w:rPr>
              <w:t>452</w:t>
            </w:r>
          </w:p>
        </w:tc>
        <w:tc>
          <w:tcPr>
            <w:tcW w:w="583"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sz w:val="16"/>
                <w:szCs w:val="16"/>
                <w:lang w:val="es-ES" w:eastAsia="es-ES"/>
              </w:rPr>
            </w:pPr>
            <w:r w:rsidRPr="005A760B">
              <w:rPr>
                <w:sz w:val="16"/>
                <w:szCs w:val="16"/>
                <w:lang w:val="es-ES" w:eastAsia="es-ES"/>
              </w:rPr>
              <w:t>81.372.227</w:t>
            </w:r>
          </w:p>
        </w:tc>
      </w:tr>
    </w:tbl>
    <w:p w:rsidR="001049D6" w:rsidRPr="005A760B" w:rsidRDefault="001049D6" w:rsidP="00B5121B">
      <w:pPr>
        <w:pStyle w:val="texto"/>
        <w:spacing w:before="240"/>
        <w:rPr>
          <w:w w:val="103"/>
        </w:rPr>
      </w:pPr>
      <w:r w:rsidRPr="005A760B">
        <w:rPr>
          <w:w w:val="103"/>
        </w:rPr>
        <w:t>En 2018, las entidades locales adjudicaron</w:t>
      </w:r>
      <w:r w:rsidR="00D12FB2" w:rsidRPr="005A760B">
        <w:rPr>
          <w:w w:val="103"/>
        </w:rPr>
        <w:t xml:space="preserve"> 452</w:t>
      </w:r>
      <w:r w:rsidRPr="005A760B">
        <w:rPr>
          <w:w w:val="103"/>
        </w:rPr>
        <w:t xml:space="preserve"> contratos por un importe total de 81,37 millones, un 108 por ciento más que el importe adjudicado en 2017. El 59 por ciento de los contratos son de obras y representan el 82 por ciento del importe total adjudicado, apreciándose un cambio de tendencia con respecto a los dos años anteriores en los que prevalecían en número los co</w:t>
      </w:r>
      <w:r w:rsidRPr="005A760B">
        <w:rPr>
          <w:w w:val="103"/>
        </w:rPr>
        <w:t>n</w:t>
      </w:r>
      <w:r w:rsidRPr="005A760B">
        <w:rPr>
          <w:w w:val="103"/>
        </w:rPr>
        <w:t>tratos de asistencia (servicios en la Ley Foral 2/2018). Los contratos de se</w:t>
      </w:r>
      <w:r w:rsidRPr="005A760B">
        <w:rPr>
          <w:w w:val="103"/>
        </w:rPr>
        <w:t>r</w:t>
      </w:r>
      <w:r w:rsidRPr="005A760B">
        <w:rPr>
          <w:w w:val="103"/>
        </w:rPr>
        <w:t>vicios suponen el 27 por ciento del total de contratos, si bien su importe r</w:t>
      </w:r>
      <w:r w:rsidRPr="005A760B">
        <w:rPr>
          <w:w w:val="103"/>
        </w:rPr>
        <w:t>e</w:t>
      </w:r>
      <w:r w:rsidRPr="005A760B">
        <w:rPr>
          <w:w w:val="103"/>
        </w:rPr>
        <w:t>presenta el 13 por ciento del total.</w:t>
      </w:r>
    </w:p>
    <w:p w:rsidR="001049D6" w:rsidRPr="005A760B" w:rsidRDefault="001049D6" w:rsidP="00662271">
      <w:pPr>
        <w:pStyle w:val="texto"/>
        <w:rPr>
          <w:w w:val="103"/>
        </w:rPr>
      </w:pPr>
      <w:r w:rsidRPr="005A760B">
        <w:rPr>
          <w:w w:val="103"/>
        </w:rPr>
        <w:t>Del total de contratos</w:t>
      </w:r>
      <w:r w:rsidR="008F7CB0" w:rsidRPr="005A760B">
        <w:rPr>
          <w:w w:val="103"/>
        </w:rPr>
        <w:t>,</w:t>
      </w:r>
      <w:r w:rsidRPr="005A760B">
        <w:rPr>
          <w:w w:val="103"/>
        </w:rPr>
        <w:t xml:space="preserve"> un 87 por ciento fueron adjudicados por los munic</w:t>
      </w:r>
      <w:r w:rsidRPr="005A760B">
        <w:rPr>
          <w:w w:val="103"/>
        </w:rPr>
        <w:t>i</w:t>
      </w:r>
      <w:r w:rsidRPr="005A760B">
        <w:rPr>
          <w:w w:val="103"/>
        </w:rPr>
        <w:t>pios y un diez por ciento por mancomunidades, si bien en importe represe</w:t>
      </w:r>
      <w:r w:rsidRPr="005A760B">
        <w:rPr>
          <w:w w:val="103"/>
        </w:rPr>
        <w:t>n</w:t>
      </w:r>
      <w:r w:rsidRPr="005A760B">
        <w:rPr>
          <w:w w:val="103"/>
        </w:rPr>
        <w:t>tan un 70 y 28 por ciento respectivamente.</w:t>
      </w:r>
    </w:p>
    <w:p w:rsidR="001049D6" w:rsidRPr="005A760B" w:rsidRDefault="001049D6" w:rsidP="001049D6">
      <w:pPr>
        <w:pStyle w:val="texto"/>
        <w:spacing w:after="240"/>
      </w:pPr>
      <w:r w:rsidRPr="005A760B">
        <w:t>En 2018, los entes dependientes de las entidades locales adjudicaron los s</w:t>
      </w:r>
      <w:r w:rsidRPr="005A760B">
        <w:t>i</w:t>
      </w:r>
      <w:r w:rsidRPr="005A760B">
        <w:t>guientes contratos:</w:t>
      </w:r>
    </w:p>
    <w:tbl>
      <w:tblPr>
        <w:tblW w:w="5000" w:type="pct"/>
        <w:jc w:val="center"/>
        <w:tblCellMar>
          <w:left w:w="70" w:type="dxa"/>
          <w:right w:w="70" w:type="dxa"/>
        </w:tblCellMar>
        <w:tblLook w:val="04A0" w:firstRow="1" w:lastRow="0" w:firstColumn="1" w:lastColumn="0" w:noHBand="0" w:noVBand="1"/>
      </w:tblPr>
      <w:tblGrid>
        <w:gridCol w:w="1959"/>
        <w:gridCol w:w="1272"/>
        <w:gridCol w:w="995"/>
        <w:gridCol w:w="197"/>
        <w:gridCol w:w="1025"/>
        <w:gridCol w:w="1101"/>
        <w:gridCol w:w="197"/>
        <w:gridCol w:w="1082"/>
        <w:gridCol w:w="1101"/>
      </w:tblGrid>
      <w:tr w:rsidR="001049D6" w:rsidRPr="005A760B" w:rsidTr="00667FE9">
        <w:trPr>
          <w:trHeight w:val="227"/>
          <w:jc w:val="center"/>
        </w:trPr>
        <w:tc>
          <w:tcPr>
            <w:tcW w:w="943" w:type="pct"/>
            <w:vMerge w:val="restart"/>
            <w:tcBorders>
              <w:top w:val="single" w:sz="4" w:space="0" w:color="auto"/>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rPr>
                <w:lang w:val="es-ES" w:eastAsia="es-ES"/>
              </w:rPr>
            </w:pPr>
            <w:r w:rsidRPr="005A760B">
              <w:rPr>
                <w:lang w:val="es-ES" w:eastAsia="es-ES"/>
              </w:rPr>
              <w:t>Tipo de contrato</w:t>
            </w:r>
          </w:p>
        </w:tc>
        <w:tc>
          <w:tcPr>
            <w:tcW w:w="1293"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7FE9">
            <w:pPr>
              <w:pStyle w:val="cuadroCabe"/>
              <w:jc w:val="right"/>
              <w:rPr>
                <w:lang w:val="es-ES" w:eastAsia="es-ES"/>
              </w:rPr>
            </w:pPr>
            <w:r w:rsidRPr="005A760B">
              <w:rPr>
                <w:lang w:val="es-ES" w:eastAsia="es-ES"/>
              </w:rPr>
              <w:t>Organismos autónomos</w:t>
            </w:r>
          </w:p>
        </w:tc>
        <w:tc>
          <w:tcPr>
            <w:tcW w:w="109" w:type="pct"/>
            <w:tcBorders>
              <w:top w:val="single" w:sz="4" w:space="0" w:color="auto"/>
              <w:left w:val="nil"/>
              <w:bottom w:val="nil"/>
              <w:right w:val="nil"/>
            </w:tcBorders>
            <w:shd w:val="clear" w:color="auto" w:fill="FABF8F" w:themeFill="accent6" w:themeFillTint="99"/>
            <w:vAlign w:val="center"/>
            <w:hideMark/>
          </w:tcPr>
          <w:p w:rsidR="001049D6" w:rsidRPr="005A760B" w:rsidRDefault="001049D6" w:rsidP="00667FE9">
            <w:pPr>
              <w:pStyle w:val="cuadroCabe"/>
              <w:jc w:val="right"/>
              <w:rPr>
                <w:lang w:val="es-ES" w:eastAsia="es-ES"/>
              </w:rPr>
            </w:pPr>
            <w:r w:rsidRPr="005A760B">
              <w:rPr>
                <w:lang w:val="es-ES" w:eastAsia="es-ES"/>
              </w:rPr>
              <w:t> </w:t>
            </w:r>
          </w:p>
        </w:tc>
        <w:tc>
          <w:tcPr>
            <w:tcW w:w="1273"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7FE9">
            <w:pPr>
              <w:pStyle w:val="cuadroCabe"/>
              <w:jc w:val="right"/>
              <w:rPr>
                <w:lang w:val="es-ES" w:eastAsia="es-ES"/>
              </w:rPr>
            </w:pPr>
            <w:r w:rsidRPr="005A760B">
              <w:rPr>
                <w:lang w:val="es-ES" w:eastAsia="es-ES"/>
              </w:rPr>
              <w:t>Sociedades públicas</w:t>
            </w:r>
          </w:p>
        </w:tc>
        <w:tc>
          <w:tcPr>
            <w:tcW w:w="109" w:type="pct"/>
            <w:tcBorders>
              <w:top w:val="single" w:sz="4" w:space="0" w:color="auto"/>
              <w:left w:val="nil"/>
              <w:bottom w:val="nil"/>
              <w:right w:val="nil"/>
            </w:tcBorders>
            <w:shd w:val="clear" w:color="auto" w:fill="FABF8F" w:themeFill="accent6" w:themeFillTint="99"/>
            <w:vAlign w:val="center"/>
            <w:hideMark/>
          </w:tcPr>
          <w:p w:rsidR="001049D6" w:rsidRPr="005A760B" w:rsidRDefault="001049D6" w:rsidP="00667FE9">
            <w:pPr>
              <w:pStyle w:val="cuadroCabe"/>
              <w:jc w:val="right"/>
              <w:rPr>
                <w:lang w:val="es-ES" w:eastAsia="es-ES"/>
              </w:rPr>
            </w:pPr>
            <w:r w:rsidRPr="005A760B">
              <w:rPr>
                <w:lang w:val="es-ES" w:eastAsia="es-ES"/>
              </w:rPr>
              <w:t> </w:t>
            </w:r>
          </w:p>
        </w:tc>
        <w:tc>
          <w:tcPr>
            <w:tcW w:w="1273"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7FE9">
            <w:pPr>
              <w:pStyle w:val="cuadroCabe"/>
              <w:jc w:val="right"/>
              <w:rPr>
                <w:lang w:val="es-ES" w:eastAsia="es-ES"/>
              </w:rPr>
            </w:pPr>
            <w:r w:rsidRPr="005A760B">
              <w:rPr>
                <w:lang w:val="es-ES" w:eastAsia="es-ES"/>
              </w:rPr>
              <w:t>T</w:t>
            </w:r>
            <w:r w:rsidR="00AD4964" w:rsidRPr="005A760B">
              <w:rPr>
                <w:lang w:val="es-ES" w:eastAsia="es-ES"/>
              </w:rPr>
              <w:t>otal</w:t>
            </w:r>
          </w:p>
        </w:tc>
      </w:tr>
      <w:tr w:rsidR="001049D6" w:rsidRPr="005A760B" w:rsidTr="00667FE9">
        <w:trPr>
          <w:trHeight w:val="227"/>
          <w:jc w:val="center"/>
        </w:trPr>
        <w:tc>
          <w:tcPr>
            <w:tcW w:w="943" w:type="pct"/>
            <w:vMerge/>
            <w:tcBorders>
              <w:top w:val="single" w:sz="4" w:space="0" w:color="auto"/>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rPr>
                <w:lang w:val="es-ES" w:eastAsia="es-ES"/>
              </w:rPr>
            </w:pPr>
          </w:p>
        </w:tc>
        <w:tc>
          <w:tcPr>
            <w:tcW w:w="757" w:type="pct"/>
            <w:tcBorders>
              <w:top w:val="nil"/>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lang w:val="es-ES" w:eastAsia="es-ES"/>
              </w:rPr>
            </w:pPr>
            <w:r w:rsidRPr="005A760B">
              <w:rPr>
                <w:lang w:val="es-ES" w:eastAsia="es-ES"/>
              </w:rPr>
              <w:t>Nº</w:t>
            </w:r>
          </w:p>
        </w:tc>
        <w:tc>
          <w:tcPr>
            <w:tcW w:w="536" w:type="pct"/>
            <w:tcBorders>
              <w:top w:val="nil"/>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jc w:val="right"/>
              <w:rPr>
                <w:lang w:val="es-ES" w:eastAsia="es-ES"/>
              </w:rPr>
            </w:pPr>
            <w:r w:rsidRPr="005A760B">
              <w:rPr>
                <w:lang w:val="es-ES" w:eastAsia="es-ES"/>
              </w:rPr>
              <w:t xml:space="preserve">Importe </w:t>
            </w:r>
          </w:p>
        </w:tc>
        <w:tc>
          <w:tcPr>
            <w:tcW w:w="109" w:type="pct"/>
            <w:tcBorders>
              <w:top w:val="nil"/>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jc w:val="right"/>
              <w:rPr>
                <w:lang w:val="es-ES" w:eastAsia="es-ES"/>
              </w:rPr>
            </w:pPr>
            <w:r w:rsidRPr="005A760B">
              <w:rPr>
                <w:lang w:val="es-ES" w:eastAsia="es-ES"/>
              </w:rPr>
              <w:t> </w:t>
            </w:r>
          </w:p>
        </w:tc>
        <w:tc>
          <w:tcPr>
            <w:tcW w:w="680" w:type="pct"/>
            <w:tcBorders>
              <w:top w:val="nil"/>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lang w:val="es-ES" w:eastAsia="es-ES"/>
              </w:rPr>
            </w:pPr>
            <w:r w:rsidRPr="005A760B">
              <w:rPr>
                <w:lang w:val="es-ES" w:eastAsia="es-ES"/>
              </w:rPr>
              <w:t>Nº</w:t>
            </w:r>
          </w:p>
        </w:tc>
        <w:tc>
          <w:tcPr>
            <w:tcW w:w="593" w:type="pct"/>
            <w:tcBorders>
              <w:top w:val="nil"/>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jc w:val="right"/>
              <w:rPr>
                <w:lang w:val="es-ES" w:eastAsia="es-ES"/>
              </w:rPr>
            </w:pPr>
            <w:r w:rsidRPr="005A760B">
              <w:rPr>
                <w:lang w:val="es-ES" w:eastAsia="es-ES"/>
              </w:rPr>
              <w:t xml:space="preserve">Importe </w:t>
            </w:r>
          </w:p>
        </w:tc>
        <w:tc>
          <w:tcPr>
            <w:tcW w:w="109" w:type="pct"/>
            <w:tcBorders>
              <w:top w:val="nil"/>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jc w:val="right"/>
              <w:rPr>
                <w:lang w:val="es-ES" w:eastAsia="es-ES"/>
              </w:rPr>
            </w:pPr>
            <w:r w:rsidRPr="005A760B">
              <w:rPr>
                <w:lang w:val="es-ES" w:eastAsia="es-ES"/>
              </w:rPr>
              <w:t> </w:t>
            </w:r>
          </w:p>
        </w:tc>
        <w:tc>
          <w:tcPr>
            <w:tcW w:w="681" w:type="pct"/>
            <w:tcBorders>
              <w:top w:val="nil"/>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lang w:val="es-ES" w:eastAsia="es-ES"/>
              </w:rPr>
            </w:pPr>
            <w:r w:rsidRPr="005A760B">
              <w:rPr>
                <w:lang w:val="es-ES" w:eastAsia="es-ES"/>
              </w:rPr>
              <w:t>Nº</w:t>
            </w:r>
          </w:p>
        </w:tc>
        <w:tc>
          <w:tcPr>
            <w:tcW w:w="592" w:type="pct"/>
            <w:tcBorders>
              <w:top w:val="nil"/>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jc w:val="right"/>
              <w:rPr>
                <w:lang w:val="es-ES" w:eastAsia="es-ES"/>
              </w:rPr>
            </w:pPr>
            <w:r w:rsidRPr="005A760B">
              <w:rPr>
                <w:lang w:val="es-ES" w:eastAsia="es-ES"/>
              </w:rPr>
              <w:t xml:space="preserve">Importe </w:t>
            </w:r>
          </w:p>
        </w:tc>
      </w:tr>
      <w:tr w:rsidR="001049D6" w:rsidRPr="005A760B" w:rsidTr="00667FE9">
        <w:trPr>
          <w:trHeight w:val="300"/>
          <w:jc w:val="center"/>
        </w:trPr>
        <w:tc>
          <w:tcPr>
            <w:tcW w:w="943" w:type="pct"/>
            <w:tcBorders>
              <w:top w:val="nil"/>
              <w:left w:val="nil"/>
              <w:bottom w:val="single" w:sz="2" w:space="0" w:color="auto"/>
              <w:right w:val="nil"/>
            </w:tcBorders>
            <w:shd w:val="clear" w:color="auto" w:fill="auto"/>
            <w:noWrap/>
            <w:vAlign w:val="center"/>
            <w:hideMark/>
          </w:tcPr>
          <w:p w:rsidR="001049D6" w:rsidRPr="005A760B" w:rsidRDefault="001049D6" w:rsidP="00662271">
            <w:pPr>
              <w:pStyle w:val="cuatexto"/>
              <w:rPr>
                <w:rFonts w:cs="Calibri"/>
                <w:lang w:val="es-ES" w:eastAsia="es-ES"/>
              </w:rPr>
            </w:pPr>
            <w:r w:rsidRPr="005A760B">
              <w:rPr>
                <w:rFonts w:cs="Calibri"/>
                <w:lang w:val="es-ES" w:eastAsia="es-ES"/>
              </w:rPr>
              <w:t>Obras</w:t>
            </w:r>
          </w:p>
        </w:tc>
        <w:tc>
          <w:tcPr>
            <w:tcW w:w="757" w:type="pct"/>
            <w:tcBorders>
              <w:top w:val="nil"/>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w:t>
            </w:r>
          </w:p>
        </w:tc>
        <w:tc>
          <w:tcPr>
            <w:tcW w:w="536" w:type="pct"/>
            <w:tcBorders>
              <w:top w:val="nil"/>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89.257</w:t>
            </w:r>
          </w:p>
        </w:tc>
        <w:tc>
          <w:tcPr>
            <w:tcW w:w="109" w:type="pct"/>
            <w:tcBorders>
              <w:top w:val="nil"/>
              <w:left w:val="nil"/>
              <w:bottom w:val="single" w:sz="2"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p>
        </w:tc>
        <w:tc>
          <w:tcPr>
            <w:tcW w:w="680" w:type="pct"/>
            <w:tcBorders>
              <w:top w:val="nil"/>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42</w:t>
            </w:r>
          </w:p>
        </w:tc>
        <w:tc>
          <w:tcPr>
            <w:tcW w:w="593" w:type="pct"/>
            <w:tcBorders>
              <w:top w:val="nil"/>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12.136.553</w:t>
            </w:r>
          </w:p>
        </w:tc>
        <w:tc>
          <w:tcPr>
            <w:tcW w:w="109" w:type="pct"/>
            <w:tcBorders>
              <w:top w:val="nil"/>
              <w:left w:val="nil"/>
              <w:bottom w:val="single" w:sz="2"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p>
        </w:tc>
        <w:tc>
          <w:tcPr>
            <w:tcW w:w="681" w:type="pct"/>
            <w:tcBorders>
              <w:top w:val="nil"/>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43</w:t>
            </w:r>
          </w:p>
        </w:tc>
        <w:tc>
          <w:tcPr>
            <w:tcW w:w="592" w:type="pct"/>
            <w:tcBorders>
              <w:top w:val="nil"/>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12.225.810</w:t>
            </w:r>
          </w:p>
        </w:tc>
      </w:tr>
      <w:tr w:rsidR="001049D6" w:rsidRPr="005A760B" w:rsidTr="00667FE9">
        <w:trPr>
          <w:trHeight w:val="300"/>
          <w:jc w:val="center"/>
        </w:trPr>
        <w:tc>
          <w:tcPr>
            <w:tcW w:w="94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rPr>
                <w:rFonts w:cs="Calibri"/>
                <w:lang w:val="es-ES" w:eastAsia="es-ES"/>
              </w:rPr>
            </w:pPr>
            <w:r w:rsidRPr="005A760B">
              <w:rPr>
                <w:rFonts w:cs="Calibri"/>
                <w:lang w:val="es-ES" w:eastAsia="es-ES"/>
              </w:rPr>
              <w:t>Servicios</w:t>
            </w:r>
          </w:p>
        </w:tc>
        <w:tc>
          <w:tcPr>
            <w:tcW w:w="757"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2</w:t>
            </w:r>
          </w:p>
        </w:tc>
        <w:tc>
          <w:tcPr>
            <w:tcW w:w="536"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306.632</w:t>
            </w:r>
          </w:p>
        </w:tc>
        <w:tc>
          <w:tcPr>
            <w:tcW w:w="109"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 </w:t>
            </w:r>
          </w:p>
        </w:tc>
        <w:tc>
          <w:tcPr>
            <w:tcW w:w="680"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43</w:t>
            </w:r>
          </w:p>
        </w:tc>
        <w:tc>
          <w:tcPr>
            <w:tcW w:w="59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5.283.458</w:t>
            </w:r>
          </w:p>
        </w:tc>
        <w:tc>
          <w:tcPr>
            <w:tcW w:w="109"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 </w:t>
            </w:r>
          </w:p>
        </w:tc>
        <w:tc>
          <w:tcPr>
            <w:tcW w:w="681"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45</w:t>
            </w:r>
          </w:p>
        </w:tc>
        <w:tc>
          <w:tcPr>
            <w:tcW w:w="592"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5.590.090</w:t>
            </w:r>
          </w:p>
        </w:tc>
      </w:tr>
      <w:tr w:rsidR="001049D6" w:rsidRPr="005A760B" w:rsidTr="00667FE9">
        <w:trPr>
          <w:trHeight w:val="300"/>
          <w:jc w:val="center"/>
        </w:trPr>
        <w:tc>
          <w:tcPr>
            <w:tcW w:w="94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rPr>
                <w:rFonts w:cs="Calibri"/>
                <w:lang w:val="es-ES" w:eastAsia="es-ES"/>
              </w:rPr>
            </w:pPr>
            <w:r w:rsidRPr="005A760B">
              <w:rPr>
                <w:rFonts w:cs="Calibri"/>
                <w:lang w:val="es-ES" w:eastAsia="es-ES"/>
              </w:rPr>
              <w:t>Suministro</w:t>
            </w:r>
            <w:r w:rsidR="008A5FED" w:rsidRPr="005A760B">
              <w:rPr>
                <w:rFonts w:cs="Calibri"/>
                <w:lang w:val="es-ES" w:eastAsia="es-ES"/>
              </w:rPr>
              <w:t>s</w:t>
            </w:r>
          </w:p>
        </w:tc>
        <w:tc>
          <w:tcPr>
            <w:tcW w:w="757"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p>
        </w:tc>
        <w:tc>
          <w:tcPr>
            <w:tcW w:w="536"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 </w:t>
            </w:r>
          </w:p>
        </w:tc>
        <w:tc>
          <w:tcPr>
            <w:tcW w:w="109"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p>
        </w:tc>
        <w:tc>
          <w:tcPr>
            <w:tcW w:w="680"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24</w:t>
            </w:r>
          </w:p>
        </w:tc>
        <w:tc>
          <w:tcPr>
            <w:tcW w:w="59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2.963.270</w:t>
            </w:r>
          </w:p>
        </w:tc>
        <w:tc>
          <w:tcPr>
            <w:tcW w:w="109"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p>
        </w:tc>
        <w:tc>
          <w:tcPr>
            <w:tcW w:w="681"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24</w:t>
            </w:r>
          </w:p>
        </w:tc>
        <w:tc>
          <w:tcPr>
            <w:tcW w:w="592"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2.963.270</w:t>
            </w:r>
          </w:p>
        </w:tc>
      </w:tr>
      <w:tr w:rsidR="001049D6" w:rsidRPr="005A760B" w:rsidTr="00667FE9">
        <w:trPr>
          <w:trHeight w:val="300"/>
          <w:jc w:val="center"/>
        </w:trPr>
        <w:tc>
          <w:tcPr>
            <w:tcW w:w="94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rPr>
                <w:rFonts w:cs="Calibri"/>
                <w:lang w:val="es-ES" w:eastAsia="es-ES"/>
              </w:rPr>
            </w:pPr>
            <w:r w:rsidRPr="005A760B">
              <w:rPr>
                <w:rFonts w:cs="Calibri"/>
                <w:lang w:val="es-ES" w:eastAsia="es-ES"/>
              </w:rPr>
              <w:t>Concesión de servicios</w:t>
            </w:r>
          </w:p>
        </w:tc>
        <w:tc>
          <w:tcPr>
            <w:tcW w:w="757"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w:t>
            </w:r>
          </w:p>
        </w:tc>
        <w:tc>
          <w:tcPr>
            <w:tcW w:w="536"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990.612</w:t>
            </w:r>
          </w:p>
        </w:tc>
        <w:tc>
          <w:tcPr>
            <w:tcW w:w="109"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 </w:t>
            </w:r>
          </w:p>
        </w:tc>
        <w:tc>
          <w:tcPr>
            <w:tcW w:w="680"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p>
        </w:tc>
        <w:tc>
          <w:tcPr>
            <w:tcW w:w="593"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 </w:t>
            </w:r>
          </w:p>
        </w:tc>
        <w:tc>
          <w:tcPr>
            <w:tcW w:w="109" w:type="pct"/>
            <w:tcBorders>
              <w:top w:val="single" w:sz="2" w:space="0" w:color="auto"/>
              <w:left w:val="nil"/>
              <w:bottom w:val="single" w:sz="2" w:space="0" w:color="auto"/>
              <w:right w:val="nil"/>
            </w:tcBorders>
            <w:shd w:val="clear" w:color="auto" w:fill="auto"/>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 </w:t>
            </w:r>
          </w:p>
        </w:tc>
        <w:tc>
          <w:tcPr>
            <w:tcW w:w="681"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1</w:t>
            </w:r>
          </w:p>
        </w:tc>
        <w:tc>
          <w:tcPr>
            <w:tcW w:w="592" w:type="pct"/>
            <w:tcBorders>
              <w:top w:val="single" w:sz="2" w:space="0" w:color="auto"/>
              <w:left w:val="nil"/>
              <w:bottom w:val="single" w:sz="2" w:space="0" w:color="auto"/>
              <w:right w:val="nil"/>
            </w:tcBorders>
            <w:shd w:val="clear" w:color="auto" w:fill="auto"/>
            <w:noWrap/>
            <w:vAlign w:val="center"/>
            <w:hideMark/>
          </w:tcPr>
          <w:p w:rsidR="001049D6" w:rsidRPr="005A760B" w:rsidRDefault="001049D6" w:rsidP="00662271">
            <w:pPr>
              <w:pStyle w:val="cuatexto"/>
              <w:jc w:val="right"/>
              <w:rPr>
                <w:rFonts w:cs="Calibri"/>
                <w:lang w:val="es-ES" w:eastAsia="es-ES"/>
              </w:rPr>
            </w:pPr>
            <w:r w:rsidRPr="005A760B">
              <w:rPr>
                <w:rFonts w:cs="Calibri"/>
                <w:lang w:val="es-ES" w:eastAsia="es-ES"/>
              </w:rPr>
              <w:t>990.612</w:t>
            </w:r>
          </w:p>
        </w:tc>
      </w:tr>
      <w:tr w:rsidR="001049D6" w:rsidRPr="005A760B" w:rsidTr="00667FE9">
        <w:trPr>
          <w:trHeight w:val="312"/>
          <w:jc w:val="center"/>
        </w:trPr>
        <w:tc>
          <w:tcPr>
            <w:tcW w:w="943"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rPr>
                <w:lang w:val="es-ES" w:eastAsia="es-ES"/>
              </w:rPr>
            </w:pPr>
            <w:r w:rsidRPr="005A760B">
              <w:rPr>
                <w:lang w:val="es-ES" w:eastAsia="es-ES"/>
              </w:rPr>
              <w:t>Total general</w:t>
            </w:r>
          </w:p>
        </w:tc>
        <w:tc>
          <w:tcPr>
            <w:tcW w:w="757"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lang w:val="es-ES" w:eastAsia="es-ES"/>
              </w:rPr>
            </w:pPr>
            <w:r w:rsidRPr="005A760B">
              <w:rPr>
                <w:lang w:val="es-ES" w:eastAsia="es-ES"/>
              </w:rPr>
              <w:t>4</w:t>
            </w:r>
          </w:p>
        </w:tc>
        <w:tc>
          <w:tcPr>
            <w:tcW w:w="536"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F96C33">
            <w:pPr>
              <w:pStyle w:val="cuadroCabe"/>
              <w:jc w:val="right"/>
              <w:rPr>
                <w:lang w:val="es-ES" w:eastAsia="es-ES"/>
              </w:rPr>
            </w:pPr>
            <w:r w:rsidRPr="005A760B">
              <w:rPr>
                <w:lang w:val="es-ES" w:eastAsia="es-ES"/>
              </w:rPr>
              <w:t>1.386.50</w:t>
            </w:r>
            <w:r w:rsidR="00F96C33" w:rsidRPr="005A760B">
              <w:rPr>
                <w:lang w:val="es-ES" w:eastAsia="es-ES"/>
              </w:rPr>
              <w:t>1</w:t>
            </w:r>
          </w:p>
        </w:tc>
        <w:tc>
          <w:tcPr>
            <w:tcW w:w="109" w:type="pct"/>
            <w:tcBorders>
              <w:top w:val="single" w:sz="2" w:space="0" w:color="auto"/>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jc w:val="right"/>
              <w:rPr>
                <w:lang w:val="es-ES" w:eastAsia="es-ES"/>
              </w:rPr>
            </w:pPr>
            <w:r w:rsidRPr="005A760B">
              <w:rPr>
                <w:lang w:val="es-ES" w:eastAsia="es-ES"/>
              </w:rPr>
              <w:t> </w:t>
            </w:r>
          </w:p>
        </w:tc>
        <w:tc>
          <w:tcPr>
            <w:tcW w:w="680"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lang w:val="es-ES" w:eastAsia="es-ES"/>
              </w:rPr>
            </w:pPr>
            <w:r w:rsidRPr="005A760B">
              <w:rPr>
                <w:lang w:val="es-ES" w:eastAsia="es-ES"/>
              </w:rPr>
              <w:t>109</w:t>
            </w:r>
          </w:p>
        </w:tc>
        <w:tc>
          <w:tcPr>
            <w:tcW w:w="593"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lang w:val="es-ES" w:eastAsia="es-ES"/>
              </w:rPr>
            </w:pPr>
            <w:r w:rsidRPr="005A760B">
              <w:rPr>
                <w:lang w:val="es-ES" w:eastAsia="es-ES"/>
              </w:rPr>
              <w:t>20.383.281</w:t>
            </w:r>
          </w:p>
        </w:tc>
        <w:tc>
          <w:tcPr>
            <w:tcW w:w="109" w:type="pct"/>
            <w:tcBorders>
              <w:top w:val="single" w:sz="2" w:space="0" w:color="auto"/>
              <w:left w:val="nil"/>
              <w:bottom w:val="single" w:sz="4" w:space="0" w:color="auto"/>
              <w:right w:val="nil"/>
            </w:tcBorders>
            <w:shd w:val="clear" w:color="auto" w:fill="FABF8F" w:themeFill="accent6" w:themeFillTint="99"/>
            <w:vAlign w:val="center"/>
            <w:hideMark/>
          </w:tcPr>
          <w:p w:rsidR="001049D6" w:rsidRPr="005A760B" w:rsidRDefault="001049D6" w:rsidP="00662271">
            <w:pPr>
              <w:pStyle w:val="cuadroCabe"/>
              <w:jc w:val="right"/>
              <w:rPr>
                <w:lang w:val="es-ES" w:eastAsia="es-ES"/>
              </w:rPr>
            </w:pPr>
            <w:r w:rsidRPr="005A760B">
              <w:rPr>
                <w:lang w:val="es-ES" w:eastAsia="es-ES"/>
              </w:rPr>
              <w:t> </w:t>
            </w:r>
          </w:p>
        </w:tc>
        <w:tc>
          <w:tcPr>
            <w:tcW w:w="681"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lang w:val="es-ES" w:eastAsia="es-ES"/>
              </w:rPr>
            </w:pPr>
            <w:r w:rsidRPr="005A760B">
              <w:rPr>
                <w:lang w:val="es-ES" w:eastAsia="es-ES"/>
              </w:rPr>
              <w:t>113</w:t>
            </w:r>
          </w:p>
        </w:tc>
        <w:tc>
          <w:tcPr>
            <w:tcW w:w="592" w:type="pct"/>
            <w:tcBorders>
              <w:top w:val="single" w:sz="2" w:space="0" w:color="auto"/>
              <w:left w:val="nil"/>
              <w:bottom w:val="single" w:sz="4" w:space="0" w:color="auto"/>
              <w:right w:val="nil"/>
            </w:tcBorders>
            <w:shd w:val="clear" w:color="auto" w:fill="FABF8F" w:themeFill="accent6" w:themeFillTint="99"/>
            <w:noWrap/>
            <w:vAlign w:val="center"/>
            <w:hideMark/>
          </w:tcPr>
          <w:p w:rsidR="001049D6" w:rsidRPr="005A760B" w:rsidRDefault="001049D6" w:rsidP="00662271">
            <w:pPr>
              <w:pStyle w:val="cuadroCabe"/>
              <w:jc w:val="right"/>
              <w:rPr>
                <w:lang w:val="es-ES" w:eastAsia="es-ES"/>
              </w:rPr>
            </w:pPr>
            <w:r w:rsidRPr="005A760B">
              <w:rPr>
                <w:lang w:val="es-ES" w:eastAsia="es-ES"/>
              </w:rPr>
              <w:t>21.769.782</w:t>
            </w:r>
          </w:p>
        </w:tc>
      </w:tr>
    </w:tbl>
    <w:p w:rsidR="001049D6" w:rsidRPr="005A760B" w:rsidRDefault="001049D6" w:rsidP="00662271">
      <w:pPr>
        <w:pStyle w:val="texto"/>
        <w:spacing w:after="0"/>
      </w:pPr>
    </w:p>
    <w:p w:rsidR="001049D6" w:rsidRPr="005A760B" w:rsidRDefault="001049D6" w:rsidP="00662271">
      <w:pPr>
        <w:pStyle w:val="texto"/>
      </w:pPr>
      <w:r w:rsidRPr="005A760B">
        <w:t xml:space="preserve">Los organismos autónomos y sociedades públicas han adjudicado un total de 113 contratos por importe de 21,77 millones, importe superior al del año 2017 en un 132 por ciento. </w:t>
      </w:r>
    </w:p>
    <w:p w:rsidR="001049D6" w:rsidRPr="005A760B" w:rsidRDefault="001049D6" w:rsidP="00662271">
      <w:pPr>
        <w:pStyle w:val="texto"/>
        <w:rPr>
          <w:w w:val="103"/>
        </w:rPr>
      </w:pPr>
      <w:r w:rsidRPr="005A760B">
        <w:rPr>
          <w:w w:val="103"/>
        </w:rPr>
        <w:t>Del número total de contratos adjudicados en 2018, el 96 por ciento c</w:t>
      </w:r>
      <w:r w:rsidRPr="005A760B">
        <w:rPr>
          <w:w w:val="103"/>
        </w:rPr>
        <w:t>o</w:t>
      </w:r>
      <w:r w:rsidRPr="005A760B">
        <w:rPr>
          <w:w w:val="103"/>
        </w:rPr>
        <w:t xml:space="preserve">rresponde a sociedades públicas por 20,38 </w:t>
      </w:r>
      <w:r w:rsidR="004C2414" w:rsidRPr="005A760B">
        <w:rPr>
          <w:w w:val="103"/>
        </w:rPr>
        <w:t>millones</w:t>
      </w:r>
      <w:r w:rsidRPr="005A760B">
        <w:rPr>
          <w:w w:val="103"/>
        </w:rPr>
        <w:t xml:space="preserve"> y supone el 94 por ciento del importe total. El resto de contratos fueron adjudicados por organismos autónomos. No consta ningún contrato adjudicado por fundaciones.</w:t>
      </w:r>
    </w:p>
    <w:p w:rsidR="001049D6" w:rsidRPr="005A760B" w:rsidRDefault="001049D6" w:rsidP="00662271">
      <w:pPr>
        <w:pStyle w:val="texto"/>
        <w:rPr>
          <w:w w:val="103"/>
        </w:rPr>
      </w:pPr>
      <w:r w:rsidRPr="005A760B">
        <w:rPr>
          <w:w w:val="103"/>
        </w:rPr>
        <w:t xml:space="preserve">En resumen, en el año 2018 los entes locales, sus organismos autónomos y sociedades públicas, adjudicaron 565 contratos por un total de 103,14 </w:t>
      </w:r>
      <w:r w:rsidR="004C2414" w:rsidRPr="005A760B">
        <w:rPr>
          <w:w w:val="103"/>
        </w:rPr>
        <w:t>mill</w:t>
      </w:r>
      <w:r w:rsidR="004C2414" w:rsidRPr="005A760B">
        <w:rPr>
          <w:w w:val="103"/>
        </w:rPr>
        <w:t>o</w:t>
      </w:r>
      <w:r w:rsidR="004C2414" w:rsidRPr="005A760B">
        <w:rPr>
          <w:w w:val="103"/>
        </w:rPr>
        <w:t>nes</w:t>
      </w:r>
      <w:r w:rsidRPr="005A760B">
        <w:rPr>
          <w:w w:val="103"/>
        </w:rPr>
        <w:t>.</w:t>
      </w:r>
    </w:p>
    <w:p w:rsidR="001049D6" w:rsidRPr="005A760B" w:rsidRDefault="001049D6" w:rsidP="00662271">
      <w:pPr>
        <w:pStyle w:val="texto"/>
        <w:spacing w:after="240"/>
      </w:pPr>
      <w:r w:rsidRPr="005A760B">
        <w:t>A continuación, mostramos el número de contratos e importe por proced</w:t>
      </w:r>
      <w:r w:rsidRPr="005A760B">
        <w:t>i</w:t>
      </w:r>
      <w:r w:rsidRPr="005A760B">
        <w:t xml:space="preserve">miento de contratación. Dado que en 2018 se ha dado un cambio normativo en la contratación pública, </w:t>
      </w:r>
      <w:r w:rsidR="008F15CC" w:rsidRPr="005A760B">
        <w:t>ha habido</w:t>
      </w:r>
      <w:r w:rsidR="00D12FB2" w:rsidRPr="005A760B">
        <w:t xml:space="preserve"> </w:t>
      </w:r>
      <w:r w:rsidRPr="005A760B">
        <w:t>dos leyes</w:t>
      </w:r>
      <w:r w:rsidR="008A5FED" w:rsidRPr="005A760B">
        <w:t xml:space="preserve"> forales</w:t>
      </w:r>
      <w:r w:rsidRPr="005A760B">
        <w:t xml:space="preserve"> vigentes durante el año y en algunos casos hemos agrupado los procedimientos similares, que no iguales, de ambas leyes</w:t>
      </w:r>
      <w:r w:rsidR="008A5FED" w:rsidRPr="005A760B">
        <w:t xml:space="preserve"> forales</w:t>
      </w:r>
      <w:r w:rsidRPr="005A760B">
        <w:t>.</w:t>
      </w:r>
    </w:p>
    <w:tbl>
      <w:tblPr>
        <w:tblW w:w="5288" w:type="pct"/>
        <w:jc w:val="center"/>
        <w:tblCellMar>
          <w:left w:w="70" w:type="dxa"/>
          <w:right w:w="70" w:type="dxa"/>
        </w:tblCellMar>
        <w:tblLook w:val="04A0" w:firstRow="1" w:lastRow="0" w:firstColumn="1" w:lastColumn="0" w:noHBand="0" w:noVBand="1"/>
      </w:tblPr>
      <w:tblGrid>
        <w:gridCol w:w="1483"/>
        <w:gridCol w:w="393"/>
        <w:gridCol w:w="912"/>
        <w:gridCol w:w="310"/>
        <w:gridCol w:w="825"/>
        <w:gridCol w:w="394"/>
        <w:gridCol w:w="912"/>
        <w:gridCol w:w="277"/>
        <w:gridCol w:w="610"/>
        <w:gridCol w:w="277"/>
        <w:gridCol w:w="697"/>
        <w:gridCol w:w="277"/>
        <w:gridCol w:w="697"/>
        <w:gridCol w:w="394"/>
        <w:gridCol w:w="985"/>
      </w:tblGrid>
      <w:tr w:rsidR="00662271" w:rsidRPr="005A760B" w:rsidTr="005D2B02">
        <w:trPr>
          <w:trHeight w:val="284"/>
          <w:jc w:val="center"/>
        </w:trPr>
        <w:tc>
          <w:tcPr>
            <w:tcW w:w="788" w:type="pct"/>
            <w:vMerge w:val="restart"/>
            <w:tcBorders>
              <w:top w:val="single" w:sz="4" w:space="0" w:color="auto"/>
              <w:left w:val="nil"/>
              <w:bottom w:val="single" w:sz="4" w:space="0" w:color="000000"/>
              <w:right w:val="nil"/>
            </w:tcBorders>
            <w:shd w:val="clear" w:color="auto" w:fill="FABF8F" w:themeFill="accent6" w:themeFillTint="99"/>
            <w:noWrap/>
            <w:vAlign w:val="center"/>
            <w:hideMark/>
          </w:tcPr>
          <w:p w:rsidR="001049D6" w:rsidRPr="005A760B" w:rsidRDefault="001049D6" w:rsidP="00662271">
            <w:pPr>
              <w:pStyle w:val="cuadroCabe"/>
              <w:rPr>
                <w:sz w:val="14"/>
                <w:szCs w:val="14"/>
                <w:lang w:val="es-ES" w:eastAsia="es-ES"/>
              </w:rPr>
            </w:pPr>
            <w:r w:rsidRPr="005A760B">
              <w:rPr>
                <w:sz w:val="14"/>
                <w:szCs w:val="14"/>
                <w:lang w:val="es-ES" w:eastAsia="es-ES"/>
              </w:rPr>
              <w:t> </w:t>
            </w:r>
          </w:p>
        </w:tc>
        <w:tc>
          <w:tcPr>
            <w:tcW w:w="696" w:type="pct"/>
            <w:gridSpan w:val="2"/>
            <w:tcBorders>
              <w:top w:val="single" w:sz="4" w:space="0" w:color="auto"/>
              <w:left w:val="single" w:sz="4" w:space="0" w:color="auto"/>
              <w:bottom w:val="nil"/>
              <w:right w:val="single" w:sz="4" w:space="0" w:color="000000"/>
            </w:tcBorders>
            <w:shd w:val="clear" w:color="auto" w:fill="FABF8F" w:themeFill="accent6" w:themeFillTint="99"/>
            <w:vAlign w:val="center"/>
            <w:hideMark/>
          </w:tcPr>
          <w:p w:rsidR="001049D6" w:rsidRPr="005A760B" w:rsidRDefault="001049D6" w:rsidP="005D2B02">
            <w:pPr>
              <w:pStyle w:val="cuadroCabe"/>
              <w:jc w:val="center"/>
              <w:rPr>
                <w:rFonts w:ascii="Arial Narrow" w:hAnsi="Arial Narrow"/>
                <w:sz w:val="14"/>
                <w:szCs w:val="14"/>
                <w:lang w:val="es-ES" w:eastAsia="es-ES"/>
              </w:rPr>
            </w:pPr>
            <w:r w:rsidRPr="005A760B">
              <w:rPr>
                <w:rFonts w:ascii="Arial Narrow" w:hAnsi="Arial Narrow"/>
                <w:sz w:val="14"/>
                <w:szCs w:val="14"/>
                <w:lang w:val="es-ES" w:eastAsia="es-ES"/>
              </w:rPr>
              <w:t>Abierto</w:t>
            </w:r>
          </w:p>
        </w:tc>
        <w:tc>
          <w:tcPr>
            <w:tcW w:w="605" w:type="pct"/>
            <w:gridSpan w:val="2"/>
            <w:tcBorders>
              <w:top w:val="single" w:sz="4" w:space="0" w:color="auto"/>
              <w:left w:val="nil"/>
              <w:bottom w:val="nil"/>
              <w:right w:val="single" w:sz="4" w:space="0" w:color="000000"/>
            </w:tcBorders>
            <w:shd w:val="clear" w:color="auto" w:fill="FABF8F" w:themeFill="accent6" w:themeFillTint="99"/>
            <w:vAlign w:val="center"/>
            <w:hideMark/>
          </w:tcPr>
          <w:p w:rsidR="001049D6" w:rsidRPr="005A760B" w:rsidRDefault="001049D6" w:rsidP="005D2B02">
            <w:pPr>
              <w:pStyle w:val="cuadroCabe"/>
              <w:jc w:val="center"/>
              <w:rPr>
                <w:rFonts w:ascii="Arial Narrow" w:hAnsi="Arial Narrow"/>
                <w:sz w:val="14"/>
                <w:szCs w:val="14"/>
                <w:lang w:val="es-ES" w:eastAsia="es-ES"/>
              </w:rPr>
            </w:pPr>
            <w:r w:rsidRPr="005A760B">
              <w:rPr>
                <w:rFonts w:ascii="Arial Narrow" w:hAnsi="Arial Narrow"/>
                <w:sz w:val="14"/>
                <w:szCs w:val="14"/>
                <w:lang w:val="es-ES" w:eastAsia="es-ES"/>
              </w:rPr>
              <w:t>Negociado sin publicidad</w:t>
            </w:r>
          </w:p>
        </w:tc>
        <w:tc>
          <w:tcPr>
            <w:tcW w:w="696" w:type="pct"/>
            <w:gridSpan w:val="2"/>
            <w:tcBorders>
              <w:top w:val="single" w:sz="4" w:space="0" w:color="auto"/>
              <w:left w:val="nil"/>
              <w:bottom w:val="nil"/>
              <w:right w:val="single" w:sz="4" w:space="0" w:color="000000"/>
            </w:tcBorders>
            <w:shd w:val="clear" w:color="auto" w:fill="FABF8F" w:themeFill="accent6" w:themeFillTint="99"/>
            <w:vAlign w:val="center"/>
            <w:hideMark/>
          </w:tcPr>
          <w:p w:rsidR="001049D6" w:rsidRPr="005A760B" w:rsidRDefault="001049D6" w:rsidP="005D2B02">
            <w:pPr>
              <w:pStyle w:val="cuadroCabe"/>
              <w:jc w:val="center"/>
              <w:rPr>
                <w:rFonts w:ascii="Arial Narrow" w:hAnsi="Arial Narrow"/>
                <w:sz w:val="14"/>
                <w:szCs w:val="14"/>
                <w:lang w:val="es-ES" w:eastAsia="es-ES"/>
              </w:rPr>
            </w:pPr>
            <w:r w:rsidRPr="005A760B">
              <w:rPr>
                <w:rFonts w:ascii="Arial Narrow" w:hAnsi="Arial Narrow"/>
                <w:sz w:val="14"/>
                <w:szCs w:val="14"/>
                <w:lang w:val="es-ES" w:eastAsia="es-ES"/>
              </w:rPr>
              <w:t>Simplificado</w:t>
            </w:r>
          </w:p>
        </w:tc>
        <w:tc>
          <w:tcPr>
            <w:tcW w:w="474" w:type="pct"/>
            <w:gridSpan w:val="2"/>
            <w:tcBorders>
              <w:top w:val="single" w:sz="4" w:space="0" w:color="auto"/>
              <w:left w:val="nil"/>
              <w:bottom w:val="nil"/>
              <w:right w:val="single" w:sz="4" w:space="0" w:color="000000"/>
            </w:tcBorders>
            <w:shd w:val="clear" w:color="auto" w:fill="FABF8F" w:themeFill="accent6" w:themeFillTint="99"/>
            <w:vAlign w:val="center"/>
            <w:hideMark/>
          </w:tcPr>
          <w:p w:rsidR="001049D6" w:rsidRPr="005A760B" w:rsidRDefault="001049D6" w:rsidP="005D2B02">
            <w:pPr>
              <w:pStyle w:val="cuadroCabe"/>
              <w:jc w:val="center"/>
              <w:rPr>
                <w:rFonts w:ascii="Arial Narrow" w:hAnsi="Arial Narrow"/>
                <w:sz w:val="14"/>
                <w:szCs w:val="14"/>
                <w:lang w:val="es-ES" w:eastAsia="es-ES"/>
              </w:rPr>
            </w:pPr>
            <w:r w:rsidRPr="005A760B">
              <w:rPr>
                <w:rFonts w:ascii="Arial Narrow" w:hAnsi="Arial Narrow"/>
                <w:sz w:val="14"/>
                <w:szCs w:val="14"/>
                <w:lang w:val="es-ES" w:eastAsia="es-ES"/>
              </w:rPr>
              <w:t>Restringido</w:t>
            </w:r>
          </w:p>
        </w:tc>
        <w:tc>
          <w:tcPr>
            <w:tcW w:w="520" w:type="pct"/>
            <w:gridSpan w:val="2"/>
            <w:tcBorders>
              <w:top w:val="single" w:sz="4" w:space="0" w:color="auto"/>
              <w:left w:val="nil"/>
              <w:bottom w:val="nil"/>
              <w:right w:val="single" w:sz="4" w:space="0" w:color="000000"/>
            </w:tcBorders>
            <w:shd w:val="clear" w:color="auto" w:fill="FABF8F" w:themeFill="accent6" w:themeFillTint="99"/>
            <w:vAlign w:val="center"/>
            <w:hideMark/>
          </w:tcPr>
          <w:p w:rsidR="001049D6" w:rsidRPr="005A760B" w:rsidRDefault="001049D6" w:rsidP="005D2B02">
            <w:pPr>
              <w:pStyle w:val="cuadroCabe"/>
              <w:jc w:val="center"/>
              <w:rPr>
                <w:rFonts w:ascii="Arial Narrow" w:hAnsi="Arial Narrow"/>
                <w:sz w:val="14"/>
                <w:szCs w:val="14"/>
                <w:lang w:val="es-ES" w:eastAsia="es-ES"/>
              </w:rPr>
            </w:pPr>
            <w:r w:rsidRPr="005A760B">
              <w:rPr>
                <w:rFonts w:ascii="Arial Narrow" w:hAnsi="Arial Narrow"/>
                <w:sz w:val="14"/>
                <w:szCs w:val="14"/>
                <w:lang w:val="es-ES" w:eastAsia="es-ES"/>
              </w:rPr>
              <w:t>Negociado con publicidad</w:t>
            </w:r>
          </w:p>
        </w:tc>
        <w:tc>
          <w:tcPr>
            <w:tcW w:w="520" w:type="pct"/>
            <w:gridSpan w:val="2"/>
            <w:tcBorders>
              <w:top w:val="single" w:sz="4" w:space="0" w:color="auto"/>
              <w:left w:val="nil"/>
              <w:bottom w:val="nil"/>
              <w:right w:val="single" w:sz="4" w:space="0" w:color="000000"/>
            </w:tcBorders>
            <w:shd w:val="clear" w:color="auto" w:fill="FABF8F" w:themeFill="accent6" w:themeFillTint="99"/>
            <w:vAlign w:val="center"/>
            <w:hideMark/>
          </w:tcPr>
          <w:p w:rsidR="001049D6" w:rsidRPr="005A760B" w:rsidRDefault="001049D6" w:rsidP="005D2B02">
            <w:pPr>
              <w:pStyle w:val="cuadroCabe"/>
              <w:jc w:val="center"/>
              <w:rPr>
                <w:rFonts w:ascii="Arial Narrow" w:hAnsi="Arial Narrow"/>
                <w:sz w:val="14"/>
                <w:szCs w:val="14"/>
                <w:lang w:val="es-ES" w:eastAsia="es-ES"/>
              </w:rPr>
            </w:pPr>
            <w:r w:rsidRPr="005A760B">
              <w:rPr>
                <w:rFonts w:ascii="Arial Narrow" w:hAnsi="Arial Narrow"/>
                <w:sz w:val="14"/>
                <w:szCs w:val="14"/>
                <w:lang w:val="es-ES" w:eastAsia="es-ES"/>
              </w:rPr>
              <w:t>Concurso de proyectos</w:t>
            </w:r>
          </w:p>
        </w:tc>
        <w:tc>
          <w:tcPr>
            <w:tcW w:w="703" w:type="pct"/>
            <w:gridSpan w:val="2"/>
            <w:tcBorders>
              <w:top w:val="single" w:sz="4" w:space="0" w:color="auto"/>
              <w:left w:val="nil"/>
              <w:bottom w:val="nil"/>
              <w:right w:val="nil"/>
            </w:tcBorders>
            <w:shd w:val="clear" w:color="auto" w:fill="FABF8F" w:themeFill="accent6" w:themeFillTint="99"/>
            <w:vAlign w:val="center"/>
            <w:hideMark/>
          </w:tcPr>
          <w:p w:rsidR="001049D6" w:rsidRPr="005A760B" w:rsidRDefault="001049D6" w:rsidP="005D2B02">
            <w:pPr>
              <w:pStyle w:val="cuadroCabe"/>
              <w:jc w:val="center"/>
              <w:rPr>
                <w:rFonts w:ascii="Arial Narrow" w:hAnsi="Arial Narrow"/>
                <w:sz w:val="14"/>
                <w:szCs w:val="14"/>
                <w:lang w:val="es-ES" w:eastAsia="es-ES"/>
              </w:rPr>
            </w:pPr>
            <w:r w:rsidRPr="005A760B">
              <w:rPr>
                <w:rFonts w:ascii="Arial Narrow" w:hAnsi="Arial Narrow"/>
                <w:sz w:val="14"/>
                <w:szCs w:val="14"/>
                <w:lang w:val="es-ES" w:eastAsia="es-ES"/>
              </w:rPr>
              <w:t>Total general</w:t>
            </w:r>
          </w:p>
        </w:tc>
      </w:tr>
      <w:tr w:rsidR="005D2B02" w:rsidRPr="005A760B" w:rsidTr="005D2B02">
        <w:trPr>
          <w:trHeight w:val="284"/>
          <w:jc w:val="center"/>
        </w:trPr>
        <w:tc>
          <w:tcPr>
            <w:tcW w:w="788" w:type="pct"/>
            <w:vMerge/>
            <w:tcBorders>
              <w:top w:val="single" w:sz="4" w:space="0" w:color="auto"/>
              <w:left w:val="nil"/>
              <w:bottom w:val="single" w:sz="4" w:space="0" w:color="000000"/>
              <w:right w:val="nil"/>
            </w:tcBorders>
            <w:vAlign w:val="center"/>
            <w:hideMark/>
          </w:tcPr>
          <w:p w:rsidR="001049D6" w:rsidRPr="005A760B" w:rsidRDefault="001049D6" w:rsidP="00662271">
            <w:pPr>
              <w:pStyle w:val="cuadroCabe"/>
              <w:rPr>
                <w:sz w:val="14"/>
                <w:szCs w:val="14"/>
                <w:lang w:val="es-ES" w:eastAsia="es-ES"/>
              </w:rPr>
            </w:pPr>
          </w:p>
        </w:tc>
        <w:tc>
          <w:tcPr>
            <w:tcW w:w="211" w:type="pct"/>
            <w:tcBorders>
              <w:top w:val="single" w:sz="4" w:space="0" w:color="auto"/>
              <w:left w:val="single" w:sz="4" w:space="0" w:color="auto"/>
              <w:bottom w:val="single" w:sz="4" w:space="0" w:color="auto"/>
              <w:right w:val="nil"/>
            </w:tcBorders>
            <w:shd w:val="clear" w:color="000000" w:fill="FABF8F"/>
            <w:vAlign w:val="center"/>
            <w:hideMark/>
          </w:tcPr>
          <w:p w:rsidR="001049D6" w:rsidRPr="005A760B" w:rsidRDefault="001049D6" w:rsidP="005D2B02">
            <w:pPr>
              <w:pStyle w:val="cuadroCabe"/>
              <w:jc w:val="right"/>
              <w:rPr>
                <w:rFonts w:ascii="Arial Narrow" w:hAnsi="Arial Narrow"/>
                <w:sz w:val="14"/>
                <w:szCs w:val="14"/>
                <w:lang w:val="es-ES" w:eastAsia="es-ES"/>
              </w:rPr>
            </w:pPr>
            <w:r w:rsidRPr="005A760B">
              <w:rPr>
                <w:rFonts w:ascii="Arial Narrow" w:hAnsi="Arial Narrow"/>
                <w:sz w:val="14"/>
                <w:szCs w:val="14"/>
                <w:lang w:val="es-ES" w:eastAsia="es-ES"/>
              </w:rPr>
              <w:t>Nº</w:t>
            </w:r>
          </w:p>
        </w:tc>
        <w:tc>
          <w:tcPr>
            <w:tcW w:w="485" w:type="pct"/>
            <w:tcBorders>
              <w:top w:val="single" w:sz="4" w:space="0" w:color="auto"/>
              <w:left w:val="nil"/>
              <w:bottom w:val="single" w:sz="4" w:space="0" w:color="auto"/>
              <w:right w:val="single" w:sz="4" w:space="0" w:color="auto"/>
            </w:tcBorders>
            <w:shd w:val="clear" w:color="000000" w:fill="FABF8F"/>
            <w:vAlign w:val="center"/>
            <w:hideMark/>
          </w:tcPr>
          <w:p w:rsidR="001049D6" w:rsidRPr="005A760B" w:rsidRDefault="001049D6" w:rsidP="005D2B02">
            <w:pPr>
              <w:pStyle w:val="cuadroCabe"/>
              <w:jc w:val="right"/>
              <w:rPr>
                <w:rFonts w:ascii="Arial Narrow" w:hAnsi="Arial Narrow"/>
                <w:sz w:val="14"/>
                <w:szCs w:val="14"/>
                <w:lang w:val="es-ES" w:eastAsia="es-ES"/>
              </w:rPr>
            </w:pPr>
            <w:r w:rsidRPr="005A760B">
              <w:rPr>
                <w:rFonts w:ascii="Arial Narrow" w:hAnsi="Arial Narrow"/>
                <w:sz w:val="14"/>
                <w:szCs w:val="14"/>
                <w:lang w:val="es-ES" w:eastAsia="es-ES"/>
              </w:rPr>
              <w:t>Imp</w:t>
            </w:r>
            <w:r w:rsidR="00AD4964" w:rsidRPr="005A760B">
              <w:rPr>
                <w:rFonts w:ascii="Arial Narrow" w:hAnsi="Arial Narrow"/>
                <w:sz w:val="14"/>
                <w:szCs w:val="14"/>
                <w:lang w:val="es-ES" w:eastAsia="es-ES"/>
              </w:rPr>
              <w:t>orte</w:t>
            </w:r>
          </w:p>
        </w:tc>
        <w:tc>
          <w:tcPr>
            <w:tcW w:w="166"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5D2B02">
            <w:pPr>
              <w:pStyle w:val="cuadroCabe"/>
              <w:jc w:val="right"/>
              <w:rPr>
                <w:rFonts w:ascii="Arial Narrow" w:hAnsi="Arial Narrow"/>
                <w:sz w:val="14"/>
                <w:szCs w:val="14"/>
                <w:lang w:val="es-ES" w:eastAsia="es-ES"/>
              </w:rPr>
            </w:pPr>
            <w:r w:rsidRPr="005A760B">
              <w:rPr>
                <w:rFonts w:ascii="Arial Narrow" w:hAnsi="Arial Narrow"/>
                <w:sz w:val="14"/>
                <w:szCs w:val="14"/>
                <w:lang w:val="es-ES" w:eastAsia="es-ES"/>
              </w:rPr>
              <w:t>Nº</w:t>
            </w:r>
          </w:p>
        </w:tc>
        <w:tc>
          <w:tcPr>
            <w:tcW w:w="439" w:type="pct"/>
            <w:tcBorders>
              <w:top w:val="single" w:sz="4" w:space="0" w:color="auto"/>
              <w:left w:val="nil"/>
              <w:bottom w:val="single" w:sz="4" w:space="0" w:color="auto"/>
              <w:right w:val="single" w:sz="4" w:space="0" w:color="auto"/>
            </w:tcBorders>
            <w:shd w:val="clear" w:color="000000" w:fill="FABF8F"/>
            <w:vAlign w:val="center"/>
            <w:hideMark/>
          </w:tcPr>
          <w:p w:rsidR="001049D6" w:rsidRPr="005A760B" w:rsidRDefault="001049D6" w:rsidP="005D2B02">
            <w:pPr>
              <w:pStyle w:val="cuadroCabe"/>
              <w:jc w:val="right"/>
              <w:rPr>
                <w:rFonts w:ascii="Arial Narrow" w:hAnsi="Arial Narrow"/>
                <w:sz w:val="14"/>
                <w:szCs w:val="14"/>
                <w:lang w:val="es-ES" w:eastAsia="es-ES"/>
              </w:rPr>
            </w:pPr>
            <w:r w:rsidRPr="005A760B">
              <w:rPr>
                <w:rFonts w:ascii="Arial Narrow" w:hAnsi="Arial Narrow"/>
                <w:sz w:val="14"/>
                <w:szCs w:val="14"/>
                <w:lang w:val="es-ES" w:eastAsia="es-ES"/>
              </w:rPr>
              <w:t>Imp</w:t>
            </w:r>
            <w:r w:rsidR="00AD4964" w:rsidRPr="005A760B">
              <w:rPr>
                <w:rFonts w:ascii="Arial Narrow" w:hAnsi="Arial Narrow"/>
                <w:sz w:val="14"/>
                <w:szCs w:val="14"/>
                <w:lang w:val="es-ES" w:eastAsia="es-ES"/>
              </w:rPr>
              <w:t>orte</w:t>
            </w:r>
          </w:p>
        </w:tc>
        <w:tc>
          <w:tcPr>
            <w:tcW w:w="211"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5D2B02">
            <w:pPr>
              <w:pStyle w:val="cuadroCabe"/>
              <w:jc w:val="right"/>
              <w:rPr>
                <w:rFonts w:ascii="Arial Narrow" w:hAnsi="Arial Narrow"/>
                <w:sz w:val="14"/>
                <w:szCs w:val="14"/>
                <w:lang w:val="es-ES" w:eastAsia="es-ES"/>
              </w:rPr>
            </w:pPr>
            <w:r w:rsidRPr="005A760B">
              <w:rPr>
                <w:rFonts w:ascii="Arial Narrow" w:hAnsi="Arial Narrow"/>
                <w:sz w:val="14"/>
                <w:szCs w:val="14"/>
                <w:lang w:val="es-ES" w:eastAsia="es-ES"/>
              </w:rPr>
              <w:t>Nº</w:t>
            </w:r>
          </w:p>
        </w:tc>
        <w:tc>
          <w:tcPr>
            <w:tcW w:w="485" w:type="pct"/>
            <w:tcBorders>
              <w:top w:val="single" w:sz="4" w:space="0" w:color="auto"/>
              <w:left w:val="nil"/>
              <w:bottom w:val="single" w:sz="4" w:space="0" w:color="auto"/>
              <w:right w:val="single" w:sz="4" w:space="0" w:color="auto"/>
            </w:tcBorders>
            <w:shd w:val="clear" w:color="000000" w:fill="FABF8F"/>
            <w:vAlign w:val="center"/>
            <w:hideMark/>
          </w:tcPr>
          <w:p w:rsidR="001049D6" w:rsidRPr="005A760B" w:rsidRDefault="001049D6" w:rsidP="005D2B02">
            <w:pPr>
              <w:pStyle w:val="cuadroCabe"/>
              <w:jc w:val="right"/>
              <w:rPr>
                <w:rFonts w:ascii="Arial Narrow" w:hAnsi="Arial Narrow"/>
                <w:sz w:val="14"/>
                <w:szCs w:val="14"/>
                <w:lang w:val="es-ES" w:eastAsia="es-ES"/>
              </w:rPr>
            </w:pPr>
            <w:r w:rsidRPr="005A760B">
              <w:rPr>
                <w:rFonts w:ascii="Arial Narrow" w:hAnsi="Arial Narrow"/>
                <w:sz w:val="14"/>
                <w:szCs w:val="14"/>
                <w:lang w:val="es-ES" w:eastAsia="es-ES"/>
              </w:rPr>
              <w:t>Imp</w:t>
            </w:r>
            <w:r w:rsidR="00AD4964" w:rsidRPr="005A760B">
              <w:rPr>
                <w:rFonts w:ascii="Arial Narrow" w:hAnsi="Arial Narrow"/>
                <w:sz w:val="14"/>
                <w:szCs w:val="14"/>
                <w:lang w:val="es-ES" w:eastAsia="es-ES"/>
              </w:rPr>
              <w:t>orte</w:t>
            </w:r>
          </w:p>
        </w:tc>
        <w:tc>
          <w:tcPr>
            <w:tcW w:w="149"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5D2B02">
            <w:pPr>
              <w:pStyle w:val="cuadroCabe"/>
              <w:jc w:val="right"/>
              <w:rPr>
                <w:rFonts w:ascii="Arial Narrow" w:hAnsi="Arial Narrow"/>
                <w:sz w:val="14"/>
                <w:szCs w:val="14"/>
                <w:lang w:val="es-ES" w:eastAsia="es-ES"/>
              </w:rPr>
            </w:pPr>
            <w:r w:rsidRPr="005A760B">
              <w:rPr>
                <w:rFonts w:ascii="Arial Narrow" w:hAnsi="Arial Narrow"/>
                <w:sz w:val="14"/>
                <w:szCs w:val="14"/>
                <w:lang w:val="es-ES" w:eastAsia="es-ES"/>
              </w:rPr>
              <w:t>Nº</w:t>
            </w:r>
          </w:p>
        </w:tc>
        <w:tc>
          <w:tcPr>
            <w:tcW w:w="325" w:type="pct"/>
            <w:tcBorders>
              <w:top w:val="single" w:sz="4" w:space="0" w:color="auto"/>
              <w:left w:val="nil"/>
              <w:bottom w:val="single" w:sz="4" w:space="0" w:color="auto"/>
              <w:right w:val="single" w:sz="4" w:space="0" w:color="auto"/>
            </w:tcBorders>
            <w:shd w:val="clear" w:color="000000" w:fill="FABF8F"/>
            <w:vAlign w:val="center"/>
            <w:hideMark/>
          </w:tcPr>
          <w:p w:rsidR="001049D6" w:rsidRPr="005A760B" w:rsidRDefault="001049D6" w:rsidP="005D2B02">
            <w:pPr>
              <w:pStyle w:val="cuadroCabe"/>
              <w:jc w:val="right"/>
              <w:rPr>
                <w:rFonts w:ascii="Arial Narrow" w:hAnsi="Arial Narrow"/>
                <w:sz w:val="14"/>
                <w:szCs w:val="14"/>
                <w:lang w:val="es-ES" w:eastAsia="es-ES"/>
              </w:rPr>
            </w:pPr>
            <w:r w:rsidRPr="005A760B">
              <w:rPr>
                <w:rFonts w:ascii="Arial Narrow" w:hAnsi="Arial Narrow"/>
                <w:sz w:val="14"/>
                <w:szCs w:val="14"/>
                <w:lang w:val="es-ES" w:eastAsia="es-ES"/>
              </w:rPr>
              <w:t>Imp</w:t>
            </w:r>
            <w:r w:rsidR="00AD4964" w:rsidRPr="005A760B">
              <w:rPr>
                <w:rFonts w:ascii="Arial Narrow" w:hAnsi="Arial Narrow"/>
                <w:sz w:val="14"/>
                <w:szCs w:val="14"/>
                <w:lang w:val="es-ES" w:eastAsia="es-ES"/>
              </w:rPr>
              <w:t>orte</w:t>
            </w:r>
          </w:p>
        </w:tc>
        <w:tc>
          <w:tcPr>
            <w:tcW w:w="149"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5D2B02">
            <w:pPr>
              <w:pStyle w:val="cuadroCabe"/>
              <w:jc w:val="right"/>
              <w:rPr>
                <w:rFonts w:ascii="Arial Narrow" w:hAnsi="Arial Narrow"/>
                <w:sz w:val="14"/>
                <w:szCs w:val="14"/>
                <w:lang w:val="es-ES" w:eastAsia="es-ES"/>
              </w:rPr>
            </w:pPr>
            <w:r w:rsidRPr="005A760B">
              <w:rPr>
                <w:rFonts w:ascii="Arial Narrow" w:hAnsi="Arial Narrow"/>
                <w:sz w:val="14"/>
                <w:szCs w:val="14"/>
                <w:lang w:val="es-ES" w:eastAsia="es-ES"/>
              </w:rPr>
              <w:t>Nº</w:t>
            </w:r>
          </w:p>
        </w:tc>
        <w:tc>
          <w:tcPr>
            <w:tcW w:w="371" w:type="pct"/>
            <w:tcBorders>
              <w:top w:val="single" w:sz="4" w:space="0" w:color="auto"/>
              <w:left w:val="nil"/>
              <w:bottom w:val="single" w:sz="4" w:space="0" w:color="auto"/>
              <w:right w:val="single" w:sz="4" w:space="0" w:color="auto"/>
            </w:tcBorders>
            <w:shd w:val="clear" w:color="000000" w:fill="FABF8F"/>
            <w:vAlign w:val="center"/>
            <w:hideMark/>
          </w:tcPr>
          <w:p w:rsidR="001049D6" w:rsidRPr="005A760B" w:rsidRDefault="001049D6" w:rsidP="005D2B02">
            <w:pPr>
              <w:pStyle w:val="cuadroCabe"/>
              <w:jc w:val="right"/>
              <w:rPr>
                <w:rFonts w:ascii="Arial Narrow" w:hAnsi="Arial Narrow"/>
                <w:sz w:val="14"/>
                <w:szCs w:val="14"/>
                <w:lang w:val="es-ES" w:eastAsia="es-ES"/>
              </w:rPr>
            </w:pPr>
            <w:r w:rsidRPr="005A760B">
              <w:rPr>
                <w:rFonts w:ascii="Arial Narrow" w:hAnsi="Arial Narrow"/>
                <w:sz w:val="14"/>
                <w:szCs w:val="14"/>
                <w:lang w:val="es-ES" w:eastAsia="es-ES"/>
              </w:rPr>
              <w:t>Imp</w:t>
            </w:r>
            <w:r w:rsidR="00AD4964" w:rsidRPr="005A760B">
              <w:rPr>
                <w:rFonts w:ascii="Arial Narrow" w:hAnsi="Arial Narrow"/>
                <w:sz w:val="14"/>
                <w:szCs w:val="14"/>
                <w:lang w:val="es-ES" w:eastAsia="es-ES"/>
              </w:rPr>
              <w:t>orte</w:t>
            </w:r>
          </w:p>
        </w:tc>
        <w:tc>
          <w:tcPr>
            <w:tcW w:w="149"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5D2B02">
            <w:pPr>
              <w:pStyle w:val="cuadroCabe"/>
              <w:jc w:val="right"/>
              <w:rPr>
                <w:rFonts w:ascii="Arial Narrow" w:hAnsi="Arial Narrow"/>
                <w:sz w:val="14"/>
                <w:szCs w:val="14"/>
                <w:lang w:val="es-ES" w:eastAsia="es-ES"/>
              </w:rPr>
            </w:pPr>
            <w:r w:rsidRPr="005A760B">
              <w:rPr>
                <w:rFonts w:ascii="Arial Narrow" w:hAnsi="Arial Narrow"/>
                <w:sz w:val="14"/>
                <w:szCs w:val="14"/>
                <w:lang w:val="es-ES" w:eastAsia="es-ES"/>
              </w:rPr>
              <w:t>Nº</w:t>
            </w:r>
          </w:p>
        </w:tc>
        <w:tc>
          <w:tcPr>
            <w:tcW w:w="371" w:type="pct"/>
            <w:tcBorders>
              <w:top w:val="single" w:sz="4" w:space="0" w:color="auto"/>
              <w:left w:val="nil"/>
              <w:bottom w:val="single" w:sz="4" w:space="0" w:color="auto"/>
              <w:right w:val="single" w:sz="4" w:space="0" w:color="auto"/>
            </w:tcBorders>
            <w:shd w:val="clear" w:color="000000" w:fill="FABF8F"/>
            <w:vAlign w:val="center"/>
            <w:hideMark/>
          </w:tcPr>
          <w:p w:rsidR="001049D6" w:rsidRPr="005A760B" w:rsidRDefault="001049D6" w:rsidP="005D2B02">
            <w:pPr>
              <w:pStyle w:val="cuadroCabe"/>
              <w:jc w:val="right"/>
              <w:rPr>
                <w:rFonts w:ascii="Arial Narrow" w:hAnsi="Arial Narrow"/>
                <w:sz w:val="14"/>
                <w:szCs w:val="14"/>
                <w:lang w:val="es-ES" w:eastAsia="es-ES"/>
              </w:rPr>
            </w:pPr>
            <w:r w:rsidRPr="005A760B">
              <w:rPr>
                <w:rFonts w:ascii="Arial Narrow" w:hAnsi="Arial Narrow"/>
                <w:sz w:val="14"/>
                <w:szCs w:val="14"/>
                <w:lang w:val="es-ES" w:eastAsia="es-ES"/>
              </w:rPr>
              <w:t>Imp</w:t>
            </w:r>
            <w:r w:rsidR="00AD4964" w:rsidRPr="005A760B">
              <w:rPr>
                <w:rFonts w:ascii="Arial Narrow" w:hAnsi="Arial Narrow"/>
                <w:sz w:val="14"/>
                <w:szCs w:val="14"/>
                <w:lang w:val="es-ES" w:eastAsia="es-ES"/>
              </w:rPr>
              <w:t>orte</w:t>
            </w:r>
          </w:p>
        </w:tc>
        <w:tc>
          <w:tcPr>
            <w:tcW w:w="211"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5D2B02">
            <w:pPr>
              <w:pStyle w:val="cuadroCabe"/>
              <w:jc w:val="right"/>
              <w:rPr>
                <w:rFonts w:ascii="Arial Narrow" w:hAnsi="Arial Narrow"/>
                <w:sz w:val="14"/>
                <w:szCs w:val="14"/>
                <w:lang w:val="es-ES" w:eastAsia="es-ES"/>
              </w:rPr>
            </w:pPr>
            <w:r w:rsidRPr="005A760B">
              <w:rPr>
                <w:rFonts w:ascii="Arial Narrow" w:hAnsi="Arial Narrow"/>
                <w:sz w:val="14"/>
                <w:szCs w:val="14"/>
                <w:lang w:val="es-ES" w:eastAsia="es-ES"/>
              </w:rPr>
              <w:t>Nº</w:t>
            </w:r>
          </w:p>
        </w:tc>
        <w:tc>
          <w:tcPr>
            <w:tcW w:w="492" w:type="pct"/>
            <w:tcBorders>
              <w:top w:val="single" w:sz="4" w:space="0" w:color="auto"/>
              <w:left w:val="nil"/>
              <w:bottom w:val="single" w:sz="4" w:space="0" w:color="auto"/>
              <w:right w:val="nil"/>
            </w:tcBorders>
            <w:shd w:val="clear" w:color="000000" w:fill="FABF8F"/>
            <w:vAlign w:val="center"/>
            <w:hideMark/>
          </w:tcPr>
          <w:p w:rsidR="001049D6" w:rsidRPr="005A760B" w:rsidRDefault="001049D6" w:rsidP="005D2B02">
            <w:pPr>
              <w:pStyle w:val="cuadroCabe"/>
              <w:jc w:val="right"/>
              <w:rPr>
                <w:rFonts w:ascii="Arial Narrow" w:hAnsi="Arial Narrow"/>
                <w:sz w:val="14"/>
                <w:szCs w:val="14"/>
                <w:lang w:val="es-ES" w:eastAsia="es-ES"/>
              </w:rPr>
            </w:pPr>
            <w:r w:rsidRPr="005A760B">
              <w:rPr>
                <w:rFonts w:ascii="Arial Narrow" w:hAnsi="Arial Narrow"/>
                <w:sz w:val="14"/>
                <w:szCs w:val="14"/>
                <w:lang w:val="es-ES" w:eastAsia="es-ES"/>
              </w:rPr>
              <w:t>Imp</w:t>
            </w:r>
            <w:r w:rsidR="00AD4964" w:rsidRPr="005A760B">
              <w:rPr>
                <w:rFonts w:ascii="Arial Narrow" w:hAnsi="Arial Narrow"/>
                <w:sz w:val="14"/>
                <w:szCs w:val="14"/>
                <w:lang w:val="es-ES" w:eastAsia="es-ES"/>
              </w:rPr>
              <w:t>orte</w:t>
            </w:r>
          </w:p>
        </w:tc>
      </w:tr>
      <w:tr w:rsidR="00662271" w:rsidRPr="005A760B" w:rsidTr="005D2B02">
        <w:trPr>
          <w:trHeight w:val="284"/>
          <w:jc w:val="center"/>
        </w:trPr>
        <w:tc>
          <w:tcPr>
            <w:tcW w:w="788"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rPr>
                <w:sz w:val="16"/>
                <w:szCs w:val="16"/>
                <w:lang w:val="es-ES" w:eastAsia="es-ES"/>
              </w:rPr>
            </w:pPr>
            <w:r w:rsidRPr="005A760B">
              <w:rPr>
                <w:sz w:val="16"/>
                <w:szCs w:val="16"/>
                <w:lang w:val="es-ES" w:eastAsia="es-ES"/>
              </w:rPr>
              <w:t>Obras</w:t>
            </w:r>
          </w:p>
        </w:tc>
        <w:tc>
          <w:tcPr>
            <w:tcW w:w="211" w:type="pct"/>
            <w:tcBorders>
              <w:top w:val="nil"/>
              <w:left w:val="single" w:sz="4" w:space="0" w:color="auto"/>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17</w:t>
            </w:r>
            <w:r w:rsidR="00F96C33" w:rsidRPr="005A760B">
              <w:rPr>
                <w:sz w:val="16"/>
                <w:szCs w:val="16"/>
                <w:lang w:val="es-ES" w:eastAsia="es-ES"/>
              </w:rPr>
              <w:t>0</w:t>
            </w:r>
          </w:p>
        </w:tc>
        <w:tc>
          <w:tcPr>
            <w:tcW w:w="485"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66.129.936</w:t>
            </w:r>
          </w:p>
        </w:tc>
        <w:tc>
          <w:tcPr>
            <w:tcW w:w="166"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34</w:t>
            </w:r>
          </w:p>
        </w:tc>
        <w:tc>
          <w:tcPr>
            <w:tcW w:w="439"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3.028.768</w:t>
            </w:r>
          </w:p>
        </w:tc>
        <w:tc>
          <w:tcPr>
            <w:tcW w:w="211"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107</w:t>
            </w:r>
          </w:p>
        </w:tc>
        <w:tc>
          <w:tcPr>
            <w:tcW w:w="485"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F96C33">
            <w:pPr>
              <w:pStyle w:val="cuatexto"/>
              <w:jc w:val="right"/>
              <w:rPr>
                <w:sz w:val="16"/>
                <w:szCs w:val="16"/>
                <w:lang w:val="es-ES" w:eastAsia="es-ES"/>
              </w:rPr>
            </w:pPr>
            <w:r w:rsidRPr="005A760B">
              <w:rPr>
                <w:sz w:val="16"/>
                <w:szCs w:val="16"/>
                <w:lang w:val="es-ES" w:eastAsia="es-ES"/>
              </w:rPr>
              <w:t>9.539.94</w:t>
            </w:r>
            <w:r w:rsidR="00F96C33" w:rsidRPr="005A760B">
              <w:rPr>
                <w:sz w:val="16"/>
                <w:szCs w:val="16"/>
                <w:lang w:val="es-ES" w:eastAsia="es-ES"/>
              </w:rPr>
              <w:t>0</w:t>
            </w:r>
          </w:p>
        </w:tc>
        <w:tc>
          <w:tcPr>
            <w:tcW w:w="149"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 </w:t>
            </w:r>
          </w:p>
        </w:tc>
        <w:tc>
          <w:tcPr>
            <w:tcW w:w="325"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 </w:t>
            </w:r>
          </w:p>
        </w:tc>
        <w:tc>
          <w:tcPr>
            <w:tcW w:w="149"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 </w:t>
            </w:r>
          </w:p>
        </w:tc>
        <w:tc>
          <w:tcPr>
            <w:tcW w:w="371"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 </w:t>
            </w:r>
          </w:p>
        </w:tc>
        <w:tc>
          <w:tcPr>
            <w:tcW w:w="149"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 </w:t>
            </w:r>
          </w:p>
        </w:tc>
        <w:tc>
          <w:tcPr>
            <w:tcW w:w="371"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 </w:t>
            </w:r>
          </w:p>
        </w:tc>
        <w:tc>
          <w:tcPr>
            <w:tcW w:w="211"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31</w:t>
            </w:r>
            <w:r w:rsidR="00F96C33" w:rsidRPr="005A760B">
              <w:rPr>
                <w:sz w:val="16"/>
                <w:szCs w:val="16"/>
                <w:lang w:val="es-ES" w:eastAsia="es-ES"/>
              </w:rPr>
              <w:t>1</w:t>
            </w:r>
          </w:p>
        </w:tc>
        <w:tc>
          <w:tcPr>
            <w:tcW w:w="492"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78.698.64</w:t>
            </w:r>
            <w:r w:rsidR="00F96C33" w:rsidRPr="005A760B">
              <w:rPr>
                <w:sz w:val="16"/>
                <w:szCs w:val="16"/>
                <w:lang w:val="es-ES" w:eastAsia="es-ES"/>
              </w:rPr>
              <w:t>4</w:t>
            </w:r>
          </w:p>
        </w:tc>
      </w:tr>
      <w:tr w:rsidR="00662271" w:rsidRPr="005A760B" w:rsidTr="005D2B02">
        <w:trPr>
          <w:trHeight w:val="284"/>
          <w:jc w:val="center"/>
        </w:trPr>
        <w:tc>
          <w:tcPr>
            <w:tcW w:w="788"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rPr>
                <w:sz w:val="16"/>
                <w:szCs w:val="16"/>
                <w:lang w:val="es-ES" w:eastAsia="es-ES"/>
              </w:rPr>
            </w:pPr>
            <w:r w:rsidRPr="005A760B">
              <w:rPr>
                <w:sz w:val="16"/>
                <w:szCs w:val="16"/>
                <w:lang w:val="es-ES" w:eastAsia="es-ES"/>
              </w:rPr>
              <w:t>Servicios</w:t>
            </w:r>
          </w:p>
        </w:tc>
        <w:tc>
          <w:tcPr>
            <w:tcW w:w="211" w:type="pct"/>
            <w:tcBorders>
              <w:top w:val="nil"/>
              <w:left w:val="single" w:sz="4" w:space="0" w:color="auto"/>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136</w:t>
            </w:r>
          </w:p>
        </w:tc>
        <w:tc>
          <w:tcPr>
            <w:tcW w:w="485"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14.017.216</w:t>
            </w:r>
          </w:p>
        </w:tc>
        <w:tc>
          <w:tcPr>
            <w:tcW w:w="166"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16</w:t>
            </w:r>
          </w:p>
        </w:tc>
        <w:tc>
          <w:tcPr>
            <w:tcW w:w="439"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333.882</w:t>
            </w:r>
          </w:p>
        </w:tc>
        <w:tc>
          <w:tcPr>
            <w:tcW w:w="211"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13</w:t>
            </w:r>
          </w:p>
        </w:tc>
        <w:tc>
          <w:tcPr>
            <w:tcW w:w="485"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311.433</w:t>
            </w:r>
          </w:p>
        </w:tc>
        <w:tc>
          <w:tcPr>
            <w:tcW w:w="149"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1</w:t>
            </w:r>
          </w:p>
        </w:tc>
        <w:tc>
          <w:tcPr>
            <w:tcW w:w="325"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43.316</w:t>
            </w:r>
          </w:p>
        </w:tc>
        <w:tc>
          <w:tcPr>
            <w:tcW w:w="149"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1</w:t>
            </w:r>
          </w:p>
        </w:tc>
        <w:tc>
          <w:tcPr>
            <w:tcW w:w="371"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240.119</w:t>
            </w:r>
          </w:p>
        </w:tc>
        <w:tc>
          <w:tcPr>
            <w:tcW w:w="149"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1</w:t>
            </w:r>
          </w:p>
        </w:tc>
        <w:tc>
          <w:tcPr>
            <w:tcW w:w="371"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883.600</w:t>
            </w:r>
          </w:p>
        </w:tc>
        <w:tc>
          <w:tcPr>
            <w:tcW w:w="211"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168</w:t>
            </w:r>
          </w:p>
        </w:tc>
        <w:tc>
          <w:tcPr>
            <w:tcW w:w="492"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15.829.56</w:t>
            </w:r>
            <w:r w:rsidR="00F96C33" w:rsidRPr="005A760B">
              <w:rPr>
                <w:sz w:val="16"/>
                <w:szCs w:val="16"/>
                <w:lang w:val="es-ES" w:eastAsia="es-ES"/>
              </w:rPr>
              <w:t>6</w:t>
            </w:r>
          </w:p>
        </w:tc>
      </w:tr>
      <w:tr w:rsidR="00662271" w:rsidRPr="005A760B" w:rsidTr="005D2B02">
        <w:trPr>
          <w:trHeight w:val="284"/>
          <w:jc w:val="center"/>
        </w:trPr>
        <w:tc>
          <w:tcPr>
            <w:tcW w:w="788"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rPr>
                <w:sz w:val="16"/>
                <w:szCs w:val="16"/>
                <w:lang w:val="es-ES" w:eastAsia="es-ES"/>
              </w:rPr>
            </w:pPr>
            <w:r w:rsidRPr="005A760B">
              <w:rPr>
                <w:sz w:val="16"/>
                <w:szCs w:val="16"/>
                <w:lang w:val="es-ES" w:eastAsia="es-ES"/>
              </w:rPr>
              <w:t>Suministro</w:t>
            </w:r>
            <w:r w:rsidR="008A5FED" w:rsidRPr="005A760B">
              <w:rPr>
                <w:sz w:val="16"/>
                <w:szCs w:val="16"/>
                <w:lang w:val="es-ES" w:eastAsia="es-ES"/>
              </w:rPr>
              <w:t>s</w:t>
            </w:r>
          </w:p>
        </w:tc>
        <w:tc>
          <w:tcPr>
            <w:tcW w:w="211" w:type="pct"/>
            <w:tcBorders>
              <w:top w:val="nil"/>
              <w:left w:val="single" w:sz="4" w:space="0" w:color="auto"/>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5</w:t>
            </w:r>
            <w:r w:rsidR="00F96C33" w:rsidRPr="005A760B">
              <w:rPr>
                <w:sz w:val="16"/>
                <w:szCs w:val="16"/>
                <w:lang w:val="es-ES" w:eastAsia="es-ES"/>
              </w:rPr>
              <w:t>1</w:t>
            </w:r>
          </w:p>
        </w:tc>
        <w:tc>
          <w:tcPr>
            <w:tcW w:w="485"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6.700.396</w:t>
            </w:r>
          </w:p>
        </w:tc>
        <w:tc>
          <w:tcPr>
            <w:tcW w:w="166"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8</w:t>
            </w:r>
          </w:p>
        </w:tc>
        <w:tc>
          <w:tcPr>
            <w:tcW w:w="439"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164.815</w:t>
            </w:r>
          </w:p>
        </w:tc>
        <w:tc>
          <w:tcPr>
            <w:tcW w:w="211"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9</w:t>
            </w:r>
          </w:p>
        </w:tc>
        <w:tc>
          <w:tcPr>
            <w:tcW w:w="485"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249.365</w:t>
            </w:r>
          </w:p>
        </w:tc>
        <w:tc>
          <w:tcPr>
            <w:tcW w:w="149"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 </w:t>
            </w:r>
          </w:p>
        </w:tc>
        <w:tc>
          <w:tcPr>
            <w:tcW w:w="325"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 </w:t>
            </w:r>
          </w:p>
        </w:tc>
        <w:tc>
          <w:tcPr>
            <w:tcW w:w="149"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 </w:t>
            </w:r>
          </w:p>
        </w:tc>
        <w:tc>
          <w:tcPr>
            <w:tcW w:w="371"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 </w:t>
            </w:r>
          </w:p>
        </w:tc>
        <w:tc>
          <w:tcPr>
            <w:tcW w:w="149"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 </w:t>
            </w:r>
          </w:p>
        </w:tc>
        <w:tc>
          <w:tcPr>
            <w:tcW w:w="371"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 </w:t>
            </w:r>
          </w:p>
        </w:tc>
        <w:tc>
          <w:tcPr>
            <w:tcW w:w="211" w:type="pct"/>
            <w:tcBorders>
              <w:top w:val="nil"/>
              <w:left w:val="nil"/>
              <w:bottom w:val="single" w:sz="4" w:space="0" w:color="auto"/>
              <w:right w:val="nil"/>
            </w:tcBorders>
            <w:shd w:val="clear" w:color="auto" w:fill="auto"/>
            <w:noWrap/>
            <w:vAlign w:val="center"/>
            <w:hideMark/>
          </w:tcPr>
          <w:p w:rsidR="001049D6" w:rsidRPr="005A760B" w:rsidRDefault="001049D6" w:rsidP="00F96C33">
            <w:pPr>
              <w:pStyle w:val="cuatexto"/>
              <w:jc w:val="right"/>
              <w:rPr>
                <w:sz w:val="16"/>
                <w:szCs w:val="16"/>
                <w:lang w:val="es-ES" w:eastAsia="es-ES"/>
              </w:rPr>
            </w:pPr>
            <w:r w:rsidRPr="005A760B">
              <w:rPr>
                <w:sz w:val="16"/>
                <w:szCs w:val="16"/>
                <w:lang w:val="es-ES" w:eastAsia="es-ES"/>
              </w:rPr>
              <w:t>6</w:t>
            </w:r>
            <w:r w:rsidR="00F96C33" w:rsidRPr="005A760B">
              <w:rPr>
                <w:sz w:val="16"/>
                <w:szCs w:val="16"/>
                <w:lang w:val="es-ES" w:eastAsia="es-ES"/>
              </w:rPr>
              <w:t>8</w:t>
            </w:r>
          </w:p>
        </w:tc>
        <w:tc>
          <w:tcPr>
            <w:tcW w:w="492" w:type="pct"/>
            <w:tcBorders>
              <w:top w:val="nil"/>
              <w:left w:val="nil"/>
              <w:bottom w:val="single" w:sz="4" w:space="0" w:color="auto"/>
              <w:right w:val="nil"/>
            </w:tcBorders>
            <w:shd w:val="clear" w:color="auto" w:fill="auto"/>
            <w:noWrap/>
            <w:vAlign w:val="center"/>
            <w:hideMark/>
          </w:tcPr>
          <w:p w:rsidR="001049D6" w:rsidRPr="005A760B" w:rsidRDefault="001049D6" w:rsidP="00F96C33">
            <w:pPr>
              <w:pStyle w:val="cuatexto"/>
              <w:jc w:val="right"/>
              <w:rPr>
                <w:sz w:val="16"/>
                <w:szCs w:val="16"/>
                <w:lang w:val="es-ES" w:eastAsia="es-ES"/>
              </w:rPr>
            </w:pPr>
            <w:r w:rsidRPr="005A760B">
              <w:rPr>
                <w:sz w:val="16"/>
                <w:szCs w:val="16"/>
                <w:lang w:val="es-ES" w:eastAsia="es-ES"/>
              </w:rPr>
              <w:t>7.114.57</w:t>
            </w:r>
            <w:r w:rsidR="00F96C33" w:rsidRPr="005A760B">
              <w:rPr>
                <w:sz w:val="16"/>
                <w:szCs w:val="16"/>
                <w:lang w:val="es-ES" w:eastAsia="es-ES"/>
              </w:rPr>
              <w:t>6</w:t>
            </w:r>
          </w:p>
        </w:tc>
      </w:tr>
      <w:tr w:rsidR="00662271" w:rsidRPr="005A760B" w:rsidTr="005D2B02">
        <w:trPr>
          <w:trHeight w:val="284"/>
          <w:jc w:val="center"/>
        </w:trPr>
        <w:tc>
          <w:tcPr>
            <w:tcW w:w="788"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rPr>
                <w:sz w:val="16"/>
                <w:szCs w:val="16"/>
                <w:lang w:val="es-ES" w:eastAsia="es-ES"/>
              </w:rPr>
            </w:pPr>
            <w:r w:rsidRPr="005A760B">
              <w:rPr>
                <w:sz w:val="16"/>
                <w:szCs w:val="16"/>
                <w:lang w:val="es-ES" w:eastAsia="es-ES"/>
              </w:rPr>
              <w:t>Concesión  servicios</w:t>
            </w:r>
          </w:p>
        </w:tc>
        <w:tc>
          <w:tcPr>
            <w:tcW w:w="211" w:type="pct"/>
            <w:tcBorders>
              <w:top w:val="nil"/>
              <w:left w:val="single" w:sz="4" w:space="0" w:color="auto"/>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18</w:t>
            </w:r>
          </w:p>
        </w:tc>
        <w:tc>
          <w:tcPr>
            <w:tcW w:w="485"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1.499.223</w:t>
            </w:r>
          </w:p>
        </w:tc>
        <w:tc>
          <w:tcPr>
            <w:tcW w:w="166"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0</w:t>
            </w:r>
          </w:p>
        </w:tc>
        <w:tc>
          <w:tcPr>
            <w:tcW w:w="439"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 </w:t>
            </w:r>
          </w:p>
        </w:tc>
        <w:tc>
          <w:tcPr>
            <w:tcW w:w="211"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 </w:t>
            </w:r>
          </w:p>
        </w:tc>
        <w:tc>
          <w:tcPr>
            <w:tcW w:w="485"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 </w:t>
            </w:r>
          </w:p>
        </w:tc>
        <w:tc>
          <w:tcPr>
            <w:tcW w:w="149"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 </w:t>
            </w:r>
          </w:p>
        </w:tc>
        <w:tc>
          <w:tcPr>
            <w:tcW w:w="325"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 </w:t>
            </w:r>
          </w:p>
        </w:tc>
        <w:tc>
          <w:tcPr>
            <w:tcW w:w="149"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 </w:t>
            </w:r>
          </w:p>
        </w:tc>
        <w:tc>
          <w:tcPr>
            <w:tcW w:w="371"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 </w:t>
            </w:r>
          </w:p>
        </w:tc>
        <w:tc>
          <w:tcPr>
            <w:tcW w:w="149"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 </w:t>
            </w:r>
          </w:p>
        </w:tc>
        <w:tc>
          <w:tcPr>
            <w:tcW w:w="371" w:type="pct"/>
            <w:tcBorders>
              <w:top w:val="nil"/>
              <w:left w:val="nil"/>
              <w:bottom w:val="single" w:sz="4" w:space="0" w:color="auto"/>
              <w:right w:val="single" w:sz="4" w:space="0" w:color="auto"/>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 </w:t>
            </w:r>
          </w:p>
        </w:tc>
        <w:tc>
          <w:tcPr>
            <w:tcW w:w="211"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18</w:t>
            </w:r>
          </w:p>
        </w:tc>
        <w:tc>
          <w:tcPr>
            <w:tcW w:w="492" w:type="pct"/>
            <w:tcBorders>
              <w:top w:val="nil"/>
              <w:left w:val="nil"/>
              <w:bottom w:val="single" w:sz="4" w:space="0" w:color="auto"/>
              <w:right w:val="nil"/>
            </w:tcBorders>
            <w:shd w:val="clear" w:color="auto" w:fill="auto"/>
            <w:noWrap/>
            <w:vAlign w:val="center"/>
            <w:hideMark/>
          </w:tcPr>
          <w:p w:rsidR="001049D6" w:rsidRPr="005A760B" w:rsidRDefault="001049D6" w:rsidP="00662271">
            <w:pPr>
              <w:pStyle w:val="cuatexto"/>
              <w:jc w:val="right"/>
              <w:rPr>
                <w:sz w:val="16"/>
                <w:szCs w:val="16"/>
                <w:lang w:val="es-ES" w:eastAsia="es-ES"/>
              </w:rPr>
            </w:pPr>
            <w:r w:rsidRPr="005A760B">
              <w:rPr>
                <w:sz w:val="16"/>
                <w:szCs w:val="16"/>
                <w:lang w:val="es-ES" w:eastAsia="es-ES"/>
              </w:rPr>
              <w:t>1.499.223</w:t>
            </w:r>
          </w:p>
        </w:tc>
      </w:tr>
      <w:tr w:rsidR="005D2B02" w:rsidRPr="005A760B" w:rsidTr="005D2B02">
        <w:trPr>
          <w:trHeight w:val="284"/>
          <w:jc w:val="center"/>
        </w:trPr>
        <w:tc>
          <w:tcPr>
            <w:tcW w:w="788" w:type="pct"/>
            <w:tcBorders>
              <w:top w:val="nil"/>
              <w:left w:val="nil"/>
              <w:bottom w:val="single" w:sz="4" w:space="0" w:color="auto"/>
              <w:right w:val="nil"/>
            </w:tcBorders>
            <w:shd w:val="clear" w:color="000000" w:fill="FABF8F"/>
            <w:noWrap/>
            <w:vAlign w:val="center"/>
            <w:hideMark/>
          </w:tcPr>
          <w:p w:rsidR="001049D6" w:rsidRPr="005A760B" w:rsidRDefault="001049D6" w:rsidP="00662271">
            <w:pPr>
              <w:pStyle w:val="cuadroCabe"/>
              <w:rPr>
                <w:sz w:val="14"/>
                <w:szCs w:val="14"/>
                <w:lang w:val="es-ES" w:eastAsia="es-ES"/>
              </w:rPr>
            </w:pPr>
            <w:r w:rsidRPr="005A760B">
              <w:rPr>
                <w:sz w:val="14"/>
                <w:szCs w:val="14"/>
                <w:lang w:val="es-ES" w:eastAsia="es-ES"/>
              </w:rPr>
              <w:t>Total general</w:t>
            </w:r>
          </w:p>
        </w:tc>
        <w:tc>
          <w:tcPr>
            <w:tcW w:w="211" w:type="pct"/>
            <w:tcBorders>
              <w:top w:val="nil"/>
              <w:left w:val="single" w:sz="4" w:space="0" w:color="auto"/>
              <w:bottom w:val="single" w:sz="4" w:space="0" w:color="auto"/>
              <w:right w:val="nil"/>
            </w:tcBorders>
            <w:shd w:val="clear" w:color="000000" w:fill="FABF8F"/>
            <w:noWrap/>
            <w:vAlign w:val="center"/>
            <w:hideMark/>
          </w:tcPr>
          <w:p w:rsidR="001049D6" w:rsidRPr="005A760B" w:rsidRDefault="001049D6" w:rsidP="00662271">
            <w:pPr>
              <w:pStyle w:val="cuadroCabe"/>
              <w:jc w:val="right"/>
              <w:rPr>
                <w:sz w:val="14"/>
                <w:szCs w:val="14"/>
                <w:lang w:val="es-ES" w:eastAsia="es-ES"/>
              </w:rPr>
            </w:pPr>
            <w:r w:rsidRPr="005A760B">
              <w:rPr>
                <w:sz w:val="14"/>
                <w:szCs w:val="14"/>
                <w:lang w:val="es-ES" w:eastAsia="es-ES"/>
              </w:rPr>
              <w:t>375</w:t>
            </w:r>
          </w:p>
        </w:tc>
        <w:tc>
          <w:tcPr>
            <w:tcW w:w="485" w:type="pct"/>
            <w:tcBorders>
              <w:top w:val="nil"/>
              <w:left w:val="nil"/>
              <w:bottom w:val="single" w:sz="4" w:space="0" w:color="auto"/>
              <w:right w:val="single" w:sz="4" w:space="0" w:color="auto"/>
            </w:tcBorders>
            <w:shd w:val="clear" w:color="000000" w:fill="FABF8F"/>
            <w:noWrap/>
            <w:vAlign w:val="center"/>
            <w:hideMark/>
          </w:tcPr>
          <w:p w:rsidR="001049D6" w:rsidRPr="005A760B" w:rsidRDefault="001049D6" w:rsidP="00662271">
            <w:pPr>
              <w:pStyle w:val="cuadroCabe"/>
              <w:jc w:val="right"/>
              <w:rPr>
                <w:sz w:val="14"/>
                <w:szCs w:val="14"/>
                <w:lang w:val="es-ES" w:eastAsia="es-ES"/>
              </w:rPr>
            </w:pPr>
            <w:r w:rsidRPr="005A760B">
              <w:rPr>
                <w:sz w:val="14"/>
                <w:szCs w:val="14"/>
                <w:lang w:val="es-ES" w:eastAsia="es-ES"/>
              </w:rPr>
              <w:t>88.346.771</w:t>
            </w:r>
          </w:p>
        </w:tc>
        <w:tc>
          <w:tcPr>
            <w:tcW w:w="166" w:type="pct"/>
            <w:tcBorders>
              <w:top w:val="nil"/>
              <w:left w:val="nil"/>
              <w:bottom w:val="single" w:sz="4" w:space="0" w:color="auto"/>
              <w:right w:val="nil"/>
            </w:tcBorders>
            <w:shd w:val="clear" w:color="000000" w:fill="FABF8F"/>
            <w:noWrap/>
            <w:vAlign w:val="center"/>
            <w:hideMark/>
          </w:tcPr>
          <w:p w:rsidR="001049D6" w:rsidRPr="005A760B" w:rsidRDefault="001049D6" w:rsidP="00662271">
            <w:pPr>
              <w:pStyle w:val="cuadroCabe"/>
              <w:jc w:val="right"/>
              <w:rPr>
                <w:sz w:val="14"/>
                <w:szCs w:val="14"/>
                <w:lang w:val="es-ES" w:eastAsia="es-ES"/>
              </w:rPr>
            </w:pPr>
            <w:r w:rsidRPr="005A760B">
              <w:rPr>
                <w:sz w:val="14"/>
                <w:szCs w:val="14"/>
                <w:lang w:val="es-ES" w:eastAsia="es-ES"/>
              </w:rPr>
              <w:t>58</w:t>
            </w:r>
          </w:p>
        </w:tc>
        <w:tc>
          <w:tcPr>
            <w:tcW w:w="439" w:type="pct"/>
            <w:tcBorders>
              <w:top w:val="nil"/>
              <w:left w:val="nil"/>
              <w:bottom w:val="single" w:sz="4" w:space="0" w:color="auto"/>
              <w:right w:val="single" w:sz="4" w:space="0" w:color="auto"/>
            </w:tcBorders>
            <w:shd w:val="clear" w:color="000000" w:fill="FABF8F"/>
            <w:noWrap/>
            <w:vAlign w:val="center"/>
            <w:hideMark/>
          </w:tcPr>
          <w:p w:rsidR="001049D6" w:rsidRPr="005A760B" w:rsidRDefault="001049D6" w:rsidP="00662271">
            <w:pPr>
              <w:pStyle w:val="cuadroCabe"/>
              <w:jc w:val="right"/>
              <w:rPr>
                <w:sz w:val="14"/>
                <w:szCs w:val="14"/>
                <w:lang w:val="es-ES" w:eastAsia="es-ES"/>
              </w:rPr>
            </w:pPr>
            <w:r w:rsidRPr="005A760B">
              <w:rPr>
                <w:sz w:val="14"/>
                <w:szCs w:val="14"/>
                <w:lang w:val="es-ES" w:eastAsia="es-ES"/>
              </w:rPr>
              <w:t>3.527.46</w:t>
            </w:r>
            <w:r w:rsidR="00F96C33" w:rsidRPr="005A760B">
              <w:rPr>
                <w:sz w:val="14"/>
                <w:szCs w:val="14"/>
                <w:lang w:val="es-ES" w:eastAsia="es-ES"/>
              </w:rPr>
              <w:t>5</w:t>
            </w:r>
          </w:p>
        </w:tc>
        <w:tc>
          <w:tcPr>
            <w:tcW w:w="211" w:type="pct"/>
            <w:tcBorders>
              <w:top w:val="nil"/>
              <w:left w:val="nil"/>
              <w:bottom w:val="single" w:sz="4" w:space="0" w:color="auto"/>
              <w:right w:val="nil"/>
            </w:tcBorders>
            <w:shd w:val="clear" w:color="000000" w:fill="FABF8F"/>
            <w:noWrap/>
            <w:vAlign w:val="center"/>
            <w:hideMark/>
          </w:tcPr>
          <w:p w:rsidR="001049D6" w:rsidRPr="005A760B" w:rsidRDefault="001049D6" w:rsidP="00662271">
            <w:pPr>
              <w:pStyle w:val="cuadroCabe"/>
              <w:jc w:val="right"/>
              <w:rPr>
                <w:sz w:val="14"/>
                <w:szCs w:val="14"/>
                <w:lang w:val="es-ES" w:eastAsia="es-ES"/>
              </w:rPr>
            </w:pPr>
            <w:r w:rsidRPr="005A760B">
              <w:rPr>
                <w:sz w:val="14"/>
                <w:szCs w:val="14"/>
                <w:lang w:val="es-ES" w:eastAsia="es-ES"/>
              </w:rPr>
              <w:t>129</w:t>
            </w:r>
          </w:p>
        </w:tc>
        <w:tc>
          <w:tcPr>
            <w:tcW w:w="485" w:type="pct"/>
            <w:tcBorders>
              <w:top w:val="nil"/>
              <w:left w:val="nil"/>
              <w:bottom w:val="single" w:sz="4" w:space="0" w:color="auto"/>
              <w:right w:val="single" w:sz="4" w:space="0" w:color="auto"/>
            </w:tcBorders>
            <w:shd w:val="clear" w:color="000000" w:fill="FABF8F"/>
            <w:noWrap/>
            <w:vAlign w:val="center"/>
            <w:hideMark/>
          </w:tcPr>
          <w:p w:rsidR="001049D6" w:rsidRPr="005A760B" w:rsidRDefault="001049D6" w:rsidP="00662271">
            <w:pPr>
              <w:pStyle w:val="cuadroCabe"/>
              <w:jc w:val="right"/>
              <w:rPr>
                <w:sz w:val="14"/>
                <w:szCs w:val="14"/>
                <w:lang w:val="es-ES" w:eastAsia="es-ES"/>
              </w:rPr>
            </w:pPr>
            <w:r w:rsidRPr="005A760B">
              <w:rPr>
                <w:sz w:val="14"/>
                <w:szCs w:val="14"/>
                <w:lang w:val="es-ES" w:eastAsia="es-ES"/>
              </w:rPr>
              <w:t>10.100.738</w:t>
            </w:r>
          </w:p>
        </w:tc>
        <w:tc>
          <w:tcPr>
            <w:tcW w:w="149" w:type="pct"/>
            <w:tcBorders>
              <w:top w:val="nil"/>
              <w:left w:val="nil"/>
              <w:bottom w:val="single" w:sz="4" w:space="0" w:color="auto"/>
              <w:right w:val="nil"/>
            </w:tcBorders>
            <w:shd w:val="clear" w:color="000000" w:fill="FABF8F"/>
            <w:noWrap/>
            <w:vAlign w:val="center"/>
            <w:hideMark/>
          </w:tcPr>
          <w:p w:rsidR="001049D6" w:rsidRPr="005A760B" w:rsidRDefault="001049D6" w:rsidP="00662271">
            <w:pPr>
              <w:pStyle w:val="cuadroCabe"/>
              <w:jc w:val="right"/>
              <w:rPr>
                <w:sz w:val="14"/>
                <w:szCs w:val="14"/>
                <w:lang w:val="es-ES" w:eastAsia="es-ES"/>
              </w:rPr>
            </w:pPr>
            <w:r w:rsidRPr="005A760B">
              <w:rPr>
                <w:sz w:val="14"/>
                <w:szCs w:val="14"/>
                <w:lang w:val="es-ES" w:eastAsia="es-ES"/>
              </w:rPr>
              <w:t>1</w:t>
            </w:r>
          </w:p>
        </w:tc>
        <w:tc>
          <w:tcPr>
            <w:tcW w:w="325" w:type="pct"/>
            <w:tcBorders>
              <w:top w:val="nil"/>
              <w:left w:val="nil"/>
              <w:bottom w:val="single" w:sz="4" w:space="0" w:color="auto"/>
              <w:right w:val="single" w:sz="4" w:space="0" w:color="auto"/>
            </w:tcBorders>
            <w:shd w:val="clear" w:color="000000" w:fill="FABF8F"/>
            <w:noWrap/>
            <w:vAlign w:val="center"/>
            <w:hideMark/>
          </w:tcPr>
          <w:p w:rsidR="001049D6" w:rsidRPr="005A760B" w:rsidRDefault="001049D6" w:rsidP="00662271">
            <w:pPr>
              <w:pStyle w:val="cuadroCabe"/>
              <w:jc w:val="right"/>
              <w:rPr>
                <w:sz w:val="14"/>
                <w:szCs w:val="14"/>
                <w:lang w:val="es-ES" w:eastAsia="es-ES"/>
              </w:rPr>
            </w:pPr>
            <w:r w:rsidRPr="005A760B">
              <w:rPr>
                <w:sz w:val="14"/>
                <w:szCs w:val="14"/>
                <w:lang w:val="es-ES" w:eastAsia="es-ES"/>
              </w:rPr>
              <w:t>43.316</w:t>
            </w:r>
          </w:p>
        </w:tc>
        <w:tc>
          <w:tcPr>
            <w:tcW w:w="149" w:type="pct"/>
            <w:tcBorders>
              <w:top w:val="nil"/>
              <w:left w:val="nil"/>
              <w:bottom w:val="single" w:sz="4" w:space="0" w:color="auto"/>
              <w:right w:val="nil"/>
            </w:tcBorders>
            <w:shd w:val="clear" w:color="000000" w:fill="FABF8F"/>
            <w:noWrap/>
            <w:vAlign w:val="center"/>
            <w:hideMark/>
          </w:tcPr>
          <w:p w:rsidR="001049D6" w:rsidRPr="005A760B" w:rsidRDefault="001049D6" w:rsidP="00662271">
            <w:pPr>
              <w:pStyle w:val="cuadroCabe"/>
              <w:jc w:val="right"/>
              <w:rPr>
                <w:sz w:val="14"/>
                <w:szCs w:val="14"/>
                <w:lang w:val="es-ES" w:eastAsia="es-ES"/>
              </w:rPr>
            </w:pPr>
            <w:r w:rsidRPr="005A760B">
              <w:rPr>
                <w:sz w:val="14"/>
                <w:szCs w:val="14"/>
                <w:lang w:val="es-ES" w:eastAsia="es-ES"/>
              </w:rPr>
              <w:t>1</w:t>
            </w:r>
          </w:p>
        </w:tc>
        <w:tc>
          <w:tcPr>
            <w:tcW w:w="371" w:type="pct"/>
            <w:tcBorders>
              <w:top w:val="nil"/>
              <w:left w:val="nil"/>
              <w:bottom w:val="single" w:sz="4" w:space="0" w:color="auto"/>
              <w:right w:val="single" w:sz="4" w:space="0" w:color="auto"/>
            </w:tcBorders>
            <w:shd w:val="clear" w:color="000000" w:fill="FABF8F"/>
            <w:noWrap/>
            <w:vAlign w:val="center"/>
            <w:hideMark/>
          </w:tcPr>
          <w:p w:rsidR="001049D6" w:rsidRPr="005A760B" w:rsidRDefault="001049D6" w:rsidP="00662271">
            <w:pPr>
              <w:pStyle w:val="cuadroCabe"/>
              <w:jc w:val="right"/>
              <w:rPr>
                <w:sz w:val="14"/>
                <w:szCs w:val="14"/>
                <w:lang w:val="es-ES" w:eastAsia="es-ES"/>
              </w:rPr>
            </w:pPr>
            <w:r w:rsidRPr="005A760B">
              <w:rPr>
                <w:sz w:val="14"/>
                <w:szCs w:val="14"/>
                <w:lang w:val="es-ES" w:eastAsia="es-ES"/>
              </w:rPr>
              <w:t>240.119</w:t>
            </w:r>
          </w:p>
        </w:tc>
        <w:tc>
          <w:tcPr>
            <w:tcW w:w="149" w:type="pct"/>
            <w:tcBorders>
              <w:top w:val="nil"/>
              <w:left w:val="nil"/>
              <w:bottom w:val="single" w:sz="4" w:space="0" w:color="auto"/>
              <w:right w:val="nil"/>
            </w:tcBorders>
            <w:shd w:val="clear" w:color="000000" w:fill="FABF8F"/>
            <w:noWrap/>
            <w:vAlign w:val="center"/>
            <w:hideMark/>
          </w:tcPr>
          <w:p w:rsidR="001049D6" w:rsidRPr="005A760B" w:rsidRDefault="001049D6" w:rsidP="00662271">
            <w:pPr>
              <w:pStyle w:val="cuadroCabe"/>
              <w:jc w:val="right"/>
              <w:rPr>
                <w:sz w:val="14"/>
                <w:szCs w:val="14"/>
                <w:lang w:val="es-ES" w:eastAsia="es-ES"/>
              </w:rPr>
            </w:pPr>
            <w:r w:rsidRPr="005A760B">
              <w:rPr>
                <w:sz w:val="14"/>
                <w:szCs w:val="14"/>
                <w:lang w:val="es-ES" w:eastAsia="es-ES"/>
              </w:rPr>
              <w:t>1</w:t>
            </w:r>
          </w:p>
        </w:tc>
        <w:tc>
          <w:tcPr>
            <w:tcW w:w="371" w:type="pct"/>
            <w:tcBorders>
              <w:top w:val="nil"/>
              <w:left w:val="nil"/>
              <w:bottom w:val="single" w:sz="4" w:space="0" w:color="auto"/>
              <w:right w:val="single" w:sz="4" w:space="0" w:color="auto"/>
            </w:tcBorders>
            <w:shd w:val="clear" w:color="000000" w:fill="FABF8F"/>
            <w:noWrap/>
            <w:vAlign w:val="center"/>
            <w:hideMark/>
          </w:tcPr>
          <w:p w:rsidR="001049D6" w:rsidRPr="005A760B" w:rsidRDefault="001049D6" w:rsidP="00662271">
            <w:pPr>
              <w:pStyle w:val="cuadroCabe"/>
              <w:jc w:val="right"/>
              <w:rPr>
                <w:sz w:val="14"/>
                <w:szCs w:val="14"/>
                <w:lang w:val="es-ES" w:eastAsia="es-ES"/>
              </w:rPr>
            </w:pPr>
            <w:r w:rsidRPr="005A760B">
              <w:rPr>
                <w:sz w:val="14"/>
                <w:szCs w:val="14"/>
                <w:lang w:val="es-ES" w:eastAsia="es-ES"/>
              </w:rPr>
              <w:t>883.600</w:t>
            </w:r>
          </w:p>
        </w:tc>
        <w:tc>
          <w:tcPr>
            <w:tcW w:w="211" w:type="pct"/>
            <w:tcBorders>
              <w:top w:val="nil"/>
              <w:left w:val="nil"/>
              <w:bottom w:val="single" w:sz="4" w:space="0" w:color="auto"/>
              <w:right w:val="nil"/>
            </w:tcBorders>
            <w:shd w:val="clear" w:color="000000" w:fill="FABF8F"/>
            <w:noWrap/>
            <w:vAlign w:val="center"/>
            <w:hideMark/>
          </w:tcPr>
          <w:p w:rsidR="001049D6" w:rsidRPr="005A760B" w:rsidRDefault="001049D6" w:rsidP="00662271">
            <w:pPr>
              <w:pStyle w:val="cuadroCabe"/>
              <w:jc w:val="right"/>
              <w:rPr>
                <w:sz w:val="14"/>
                <w:szCs w:val="14"/>
                <w:lang w:val="es-ES" w:eastAsia="es-ES"/>
              </w:rPr>
            </w:pPr>
            <w:r w:rsidRPr="005A760B">
              <w:rPr>
                <w:sz w:val="14"/>
                <w:szCs w:val="14"/>
                <w:lang w:val="es-ES" w:eastAsia="es-ES"/>
              </w:rPr>
              <w:t>565</w:t>
            </w:r>
          </w:p>
        </w:tc>
        <w:tc>
          <w:tcPr>
            <w:tcW w:w="492" w:type="pct"/>
            <w:tcBorders>
              <w:top w:val="nil"/>
              <w:left w:val="nil"/>
              <w:bottom w:val="single" w:sz="4" w:space="0" w:color="auto"/>
              <w:right w:val="nil"/>
            </w:tcBorders>
            <w:shd w:val="clear" w:color="000000" w:fill="FABF8F"/>
            <w:noWrap/>
            <w:vAlign w:val="center"/>
            <w:hideMark/>
          </w:tcPr>
          <w:p w:rsidR="001049D6" w:rsidRPr="005A760B" w:rsidRDefault="001049D6" w:rsidP="00662271">
            <w:pPr>
              <w:pStyle w:val="cuadroCabe"/>
              <w:jc w:val="right"/>
              <w:rPr>
                <w:sz w:val="14"/>
                <w:szCs w:val="14"/>
                <w:lang w:val="es-ES" w:eastAsia="es-ES"/>
              </w:rPr>
            </w:pPr>
            <w:r w:rsidRPr="005A760B">
              <w:rPr>
                <w:sz w:val="14"/>
                <w:szCs w:val="14"/>
                <w:lang w:val="es-ES" w:eastAsia="es-ES"/>
              </w:rPr>
              <w:t>103.142.009</w:t>
            </w:r>
          </w:p>
        </w:tc>
      </w:tr>
    </w:tbl>
    <w:p w:rsidR="001049D6" w:rsidRPr="005A760B" w:rsidRDefault="001049D6" w:rsidP="00662271">
      <w:pPr>
        <w:pStyle w:val="texto"/>
        <w:spacing w:after="0"/>
      </w:pPr>
    </w:p>
    <w:p w:rsidR="001049D6" w:rsidRPr="005A760B" w:rsidRDefault="001049D6" w:rsidP="00662271">
      <w:pPr>
        <w:pStyle w:val="texto"/>
      </w:pPr>
      <w:r w:rsidRPr="005A760B">
        <w:t>Destaca la utilización del procedimiento abierto para un 66 por ciento del t</w:t>
      </w:r>
      <w:r w:rsidRPr="005A760B">
        <w:t>o</w:t>
      </w:r>
      <w:r w:rsidRPr="005A760B">
        <w:t xml:space="preserve">tal de contratos, seguido del procedimiento simplificado y del negociado sin publicidad que representan un 23 y un diez por ciento respectivamente. En cuanto a importe, el procedimiento abierto ha sido el empleado para adjudicar el 86 por ciento mientras que el </w:t>
      </w:r>
      <w:r w:rsidR="00F96C33" w:rsidRPr="005A760B">
        <w:t>diez</w:t>
      </w:r>
      <w:r w:rsidRPr="005A760B">
        <w:t xml:space="preserve"> por ciento se ha adjudicado mediante pr</w:t>
      </w:r>
      <w:r w:rsidRPr="005A760B">
        <w:t>o</w:t>
      </w:r>
      <w:r w:rsidRPr="005A760B">
        <w:t>cedimiento simplificado.</w:t>
      </w:r>
    </w:p>
    <w:p w:rsidR="001049D6" w:rsidRPr="005A760B" w:rsidRDefault="001049D6" w:rsidP="00622810">
      <w:pPr>
        <w:pStyle w:val="texto"/>
        <w:spacing w:after="240"/>
      </w:pPr>
      <w:r w:rsidRPr="005A760B">
        <w:t>Por último, mostramos el número de contratos según el criterio de adjudic</w:t>
      </w:r>
      <w:r w:rsidRPr="005A760B">
        <w:t>a</w:t>
      </w:r>
      <w:r w:rsidRPr="005A760B">
        <w:t xml:space="preserve">ción utilizado. Agruparemos los diferentes criterios de ambas leyes </w:t>
      </w:r>
      <w:r w:rsidR="008A5FED" w:rsidRPr="005A760B">
        <w:t xml:space="preserve">forales </w:t>
      </w:r>
      <w:r w:rsidRPr="005A760B">
        <w:t>en dos, el criterio precio (que engloba el precio más bajo y el de mejor relación coste-eficacia por precio) y el resto.</w:t>
      </w:r>
    </w:p>
    <w:tbl>
      <w:tblPr>
        <w:tblW w:w="5000" w:type="pct"/>
        <w:jc w:val="center"/>
        <w:tblCellMar>
          <w:left w:w="70" w:type="dxa"/>
          <w:right w:w="70" w:type="dxa"/>
        </w:tblCellMar>
        <w:tblLook w:val="04A0" w:firstRow="1" w:lastRow="0" w:firstColumn="1" w:lastColumn="0" w:noHBand="0" w:noVBand="1"/>
      </w:tblPr>
      <w:tblGrid>
        <w:gridCol w:w="3629"/>
        <w:gridCol w:w="3284"/>
        <w:gridCol w:w="1009"/>
        <w:gridCol w:w="1007"/>
      </w:tblGrid>
      <w:tr w:rsidR="001049D6" w:rsidRPr="005A760B" w:rsidTr="005D2B02">
        <w:trPr>
          <w:trHeight w:val="340"/>
          <w:jc w:val="center"/>
        </w:trPr>
        <w:tc>
          <w:tcPr>
            <w:tcW w:w="2032" w:type="pct"/>
            <w:tcBorders>
              <w:top w:val="single" w:sz="4" w:space="0" w:color="auto"/>
              <w:left w:val="nil"/>
              <w:bottom w:val="single" w:sz="4" w:space="0" w:color="auto"/>
              <w:right w:val="nil"/>
            </w:tcBorders>
            <w:shd w:val="clear" w:color="auto" w:fill="FABF8F" w:themeFill="accent6" w:themeFillTint="99"/>
            <w:vAlign w:val="center"/>
            <w:hideMark/>
          </w:tcPr>
          <w:p w:rsidR="001049D6" w:rsidRPr="005A760B" w:rsidRDefault="001049D6" w:rsidP="00622810">
            <w:pPr>
              <w:pStyle w:val="cuadroCabe"/>
              <w:rPr>
                <w:lang w:val="es-ES" w:eastAsia="es-ES"/>
              </w:rPr>
            </w:pPr>
            <w:r w:rsidRPr="005A760B">
              <w:rPr>
                <w:lang w:val="es-ES" w:eastAsia="es-ES"/>
              </w:rPr>
              <w:t> </w:t>
            </w:r>
          </w:p>
        </w:tc>
        <w:tc>
          <w:tcPr>
            <w:tcW w:w="1839" w:type="pct"/>
            <w:tcBorders>
              <w:top w:val="single" w:sz="4" w:space="0" w:color="auto"/>
              <w:left w:val="nil"/>
              <w:bottom w:val="single" w:sz="4" w:space="0" w:color="auto"/>
              <w:right w:val="nil"/>
            </w:tcBorders>
            <w:shd w:val="clear" w:color="auto" w:fill="FABF8F" w:themeFill="accent6" w:themeFillTint="99"/>
            <w:vAlign w:val="center"/>
            <w:hideMark/>
          </w:tcPr>
          <w:p w:rsidR="001049D6" w:rsidRPr="005A760B" w:rsidRDefault="001049D6" w:rsidP="00622810">
            <w:pPr>
              <w:pStyle w:val="cuadroCabe"/>
              <w:jc w:val="right"/>
              <w:rPr>
                <w:lang w:val="es-ES" w:eastAsia="es-ES"/>
              </w:rPr>
            </w:pPr>
            <w:r w:rsidRPr="005A760B">
              <w:rPr>
                <w:lang w:val="es-ES" w:eastAsia="es-ES"/>
              </w:rPr>
              <w:t>Criterio precio</w:t>
            </w:r>
          </w:p>
        </w:tc>
        <w:tc>
          <w:tcPr>
            <w:tcW w:w="565" w:type="pct"/>
            <w:tcBorders>
              <w:top w:val="single" w:sz="4" w:space="0" w:color="auto"/>
              <w:left w:val="nil"/>
              <w:bottom w:val="single" w:sz="4" w:space="0" w:color="auto"/>
              <w:right w:val="nil"/>
            </w:tcBorders>
            <w:shd w:val="clear" w:color="auto" w:fill="FABF8F" w:themeFill="accent6" w:themeFillTint="99"/>
            <w:vAlign w:val="center"/>
            <w:hideMark/>
          </w:tcPr>
          <w:p w:rsidR="001049D6" w:rsidRPr="005A760B" w:rsidRDefault="001049D6" w:rsidP="00622810">
            <w:pPr>
              <w:pStyle w:val="cuadroCabe"/>
              <w:jc w:val="right"/>
              <w:rPr>
                <w:lang w:val="es-ES" w:eastAsia="es-ES"/>
              </w:rPr>
            </w:pPr>
            <w:r w:rsidRPr="005A760B">
              <w:rPr>
                <w:lang w:val="es-ES" w:eastAsia="es-ES"/>
              </w:rPr>
              <w:t>Resto</w:t>
            </w:r>
          </w:p>
        </w:tc>
        <w:tc>
          <w:tcPr>
            <w:tcW w:w="564" w:type="pct"/>
            <w:tcBorders>
              <w:top w:val="single" w:sz="4" w:space="0" w:color="auto"/>
              <w:left w:val="nil"/>
              <w:bottom w:val="single" w:sz="4" w:space="0" w:color="auto"/>
              <w:right w:val="nil"/>
            </w:tcBorders>
            <w:shd w:val="clear" w:color="auto" w:fill="FABF8F" w:themeFill="accent6" w:themeFillTint="99"/>
            <w:vAlign w:val="center"/>
            <w:hideMark/>
          </w:tcPr>
          <w:p w:rsidR="001049D6" w:rsidRPr="005A760B" w:rsidRDefault="001049D6" w:rsidP="00AD4964">
            <w:pPr>
              <w:pStyle w:val="cuadroCabe"/>
              <w:jc w:val="right"/>
              <w:rPr>
                <w:lang w:val="es-ES" w:eastAsia="es-ES"/>
              </w:rPr>
            </w:pPr>
            <w:r w:rsidRPr="005A760B">
              <w:rPr>
                <w:lang w:val="es-ES" w:eastAsia="es-ES"/>
              </w:rPr>
              <w:t>T</w:t>
            </w:r>
            <w:r w:rsidR="00AD4964" w:rsidRPr="005A760B">
              <w:rPr>
                <w:lang w:val="es-ES" w:eastAsia="es-ES"/>
              </w:rPr>
              <w:t>otal</w:t>
            </w:r>
          </w:p>
        </w:tc>
      </w:tr>
      <w:tr w:rsidR="001049D6" w:rsidRPr="005A760B" w:rsidTr="005D2B02">
        <w:trPr>
          <w:trHeight w:val="255"/>
          <w:jc w:val="center"/>
        </w:trPr>
        <w:tc>
          <w:tcPr>
            <w:tcW w:w="2032"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rPr>
                <w:lang w:val="es-ES" w:eastAsia="es-ES"/>
              </w:rPr>
            </w:pPr>
            <w:r w:rsidRPr="005A760B">
              <w:rPr>
                <w:lang w:val="es-ES" w:eastAsia="es-ES"/>
              </w:rPr>
              <w:t>Obras</w:t>
            </w:r>
          </w:p>
        </w:tc>
        <w:tc>
          <w:tcPr>
            <w:tcW w:w="1839"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jc w:val="right"/>
              <w:rPr>
                <w:lang w:val="es-ES" w:eastAsia="es-ES"/>
              </w:rPr>
            </w:pPr>
            <w:r w:rsidRPr="005A760B">
              <w:rPr>
                <w:lang w:val="es-ES" w:eastAsia="es-ES"/>
              </w:rPr>
              <w:t>44</w:t>
            </w:r>
          </w:p>
        </w:tc>
        <w:tc>
          <w:tcPr>
            <w:tcW w:w="565"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jc w:val="right"/>
              <w:rPr>
                <w:lang w:val="es-ES" w:eastAsia="es-ES"/>
              </w:rPr>
            </w:pPr>
            <w:r w:rsidRPr="005A760B">
              <w:rPr>
                <w:lang w:val="es-ES" w:eastAsia="es-ES"/>
              </w:rPr>
              <w:t>267</w:t>
            </w:r>
          </w:p>
        </w:tc>
        <w:tc>
          <w:tcPr>
            <w:tcW w:w="564"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jc w:val="right"/>
              <w:rPr>
                <w:bCs/>
                <w:lang w:val="es-ES" w:eastAsia="es-ES"/>
              </w:rPr>
            </w:pPr>
            <w:r w:rsidRPr="005A760B">
              <w:rPr>
                <w:bCs/>
                <w:lang w:val="es-ES" w:eastAsia="es-ES"/>
              </w:rPr>
              <w:t>311</w:t>
            </w:r>
          </w:p>
        </w:tc>
      </w:tr>
      <w:tr w:rsidR="001049D6" w:rsidRPr="005A760B" w:rsidTr="005D2B02">
        <w:trPr>
          <w:trHeight w:val="255"/>
          <w:jc w:val="center"/>
        </w:trPr>
        <w:tc>
          <w:tcPr>
            <w:tcW w:w="2032"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rPr>
                <w:lang w:val="es-ES" w:eastAsia="es-ES"/>
              </w:rPr>
            </w:pPr>
            <w:r w:rsidRPr="005A760B">
              <w:rPr>
                <w:lang w:val="es-ES" w:eastAsia="es-ES"/>
              </w:rPr>
              <w:t>Servicios</w:t>
            </w:r>
          </w:p>
        </w:tc>
        <w:tc>
          <w:tcPr>
            <w:tcW w:w="1839"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jc w:val="right"/>
              <w:rPr>
                <w:lang w:val="es-ES" w:eastAsia="es-ES"/>
              </w:rPr>
            </w:pPr>
            <w:r w:rsidRPr="005A760B">
              <w:rPr>
                <w:lang w:val="es-ES" w:eastAsia="es-ES"/>
              </w:rPr>
              <w:t>27</w:t>
            </w:r>
          </w:p>
        </w:tc>
        <w:tc>
          <w:tcPr>
            <w:tcW w:w="565"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jc w:val="right"/>
              <w:rPr>
                <w:lang w:val="es-ES" w:eastAsia="es-ES"/>
              </w:rPr>
            </w:pPr>
            <w:r w:rsidRPr="005A760B">
              <w:rPr>
                <w:lang w:val="es-ES" w:eastAsia="es-ES"/>
              </w:rPr>
              <w:t>141</w:t>
            </w:r>
          </w:p>
        </w:tc>
        <w:tc>
          <w:tcPr>
            <w:tcW w:w="564"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jc w:val="right"/>
              <w:rPr>
                <w:bCs/>
                <w:lang w:val="es-ES" w:eastAsia="es-ES"/>
              </w:rPr>
            </w:pPr>
            <w:r w:rsidRPr="005A760B">
              <w:rPr>
                <w:bCs/>
                <w:lang w:val="es-ES" w:eastAsia="es-ES"/>
              </w:rPr>
              <w:t>168</w:t>
            </w:r>
          </w:p>
        </w:tc>
      </w:tr>
      <w:tr w:rsidR="001049D6" w:rsidRPr="005A760B" w:rsidTr="005D2B02">
        <w:trPr>
          <w:trHeight w:val="255"/>
          <w:jc w:val="center"/>
        </w:trPr>
        <w:tc>
          <w:tcPr>
            <w:tcW w:w="2032"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rPr>
                <w:lang w:val="es-ES" w:eastAsia="es-ES"/>
              </w:rPr>
            </w:pPr>
            <w:r w:rsidRPr="005A760B">
              <w:rPr>
                <w:lang w:val="es-ES" w:eastAsia="es-ES"/>
              </w:rPr>
              <w:t>Suministro</w:t>
            </w:r>
            <w:r w:rsidR="008A5FED" w:rsidRPr="005A760B">
              <w:rPr>
                <w:lang w:val="es-ES" w:eastAsia="es-ES"/>
              </w:rPr>
              <w:t>s</w:t>
            </w:r>
          </w:p>
        </w:tc>
        <w:tc>
          <w:tcPr>
            <w:tcW w:w="1839"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jc w:val="right"/>
              <w:rPr>
                <w:lang w:val="es-ES" w:eastAsia="es-ES"/>
              </w:rPr>
            </w:pPr>
            <w:r w:rsidRPr="005A760B">
              <w:rPr>
                <w:lang w:val="es-ES" w:eastAsia="es-ES"/>
              </w:rPr>
              <w:t>18</w:t>
            </w:r>
          </w:p>
        </w:tc>
        <w:tc>
          <w:tcPr>
            <w:tcW w:w="565"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jc w:val="right"/>
              <w:rPr>
                <w:lang w:val="es-ES" w:eastAsia="es-ES"/>
              </w:rPr>
            </w:pPr>
            <w:r w:rsidRPr="005A760B">
              <w:rPr>
                <w:lang w:val="es-ES" w:eastAsia="es-ES"/>
              </w:rPr>
              <w:t>50</w:t>
            </w:r>
          </w:p>
        </w:tc>
        <w:tc>
          <w:tcPr>
            <w:tcW w:w="564"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jc w:val="right"/>
              <w:rPr>
                <w:bCs/>
                <w:lang w:val="es-ES" w:eastAsia="es-ES"/>
              </w:rPr>
            </w:pPr>
            <w:r w:rsidRPr="005A760B">
              <w:rPr>
                <w:bCs/>
                <w:lang w:val="es-ES" w:eastAsia="es-ES"/>
              </w:rPr>
              <w:t>68</w:t>
            </w:r>
          </w:p>
        </w:tc>
      </w:tr>
      <w:tr w:rsidR="001049D6" w:rsidRPr="005A760B" w:rsidTr="005D2B02">
        <w:trPr>
          <w:trHeight w:val="255"/>
          <w:jc w:val="center"/>
        </w:trPr>
        <w:tc>
          <w:tcPr>
            <w:tcW w:w="2032"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rPr>
                <w:lang w:val="es-ES" w:eastAsia="es-ES"/>
              </w:rPr>
            </w:pPr>
            <w:r w:rsidRPr="005A760B">
              <w:rPr>
                <w:lang w:val="es-ES" w:eastAsia="es-ES"/>
              </w:rPr>
              <w:t>Concesión de servicios</w:t>
            </w:r>
          </w:p>
        </w:tc>
        <w:tc>
          <w:tcPr>
            <w:tcW w:w="1839"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jc w:val="right"/>
              <w:rPr>
                <w:lang w:val="es-ES" w:eastAsia="es-ES"/>
              </w:rPr>
            </w:pPr>
            <w:r w:rsidRPr="005A760B">
              <w:rPr>
                <w:lang w:val="es-ES" w:eastAsia="es-ES"/>
              </w:rPr>
              <w:t>0</w:t>
            </w:r>
          </w:p>
        </w:tc>
        <w:tc>
          <w:tcPr>
            <w:tcW w:w="565"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jc w:val="right"/>
              <w:rPr>
                <w:lang w:val="es-ES" w:eastAsia="es-ES"/>
              </w:rPr>
            </w:pPr>
            <w:r w:rsidRPr="005A760B">
              <w:rPr>
                <w:lang w:val="es-ES" w:eastAsia="es-ES"/>
              </w:rPr>
              <w:t>18</w:t>
            </w:r>
          </w:p>
        </w:tc>
        <w:tc>
          <w:tcPr>
            <w:tcW w:w="564" w:type="pct"/>
            <w:tcBorders>
              <w:top w:val="nil"/>
              <w:left w:val="nil"/>
              <w:bottom w:val="single" w:sz="4" w:space="0" w:color="auto"/>
              <w:right w:val="nil"/>
            </w:tcBorders>
            <w:shd w:val="clear" w:color="auto" w:fill="auto"/>
            <w:noWrap/>
            <w:vAlign w:val="center"/>
            <w:hideMark/>
          </w:tcPr>
          <w:p w:rsidR="001049D6" w:rsidRPr="005A760B" w:rsidRDefault="001049D6" w:rsidP="00622810">
            <w:pPr>
              <w:pStyle w:val="cuatexto"/>
              <w:jc w:val="right"/>
              <w:rPr>
                <w:bCs/>
                <w:lang w:val="es-ES" w:eastAsia="es-ES"/>
              </w:rPr>
            </w:pPr>
            <w:r w:rsidRPr="005A760B">
              <w:rPr>
                <w:bCs/>
                <w:lang w:val="es-ES" w:eastAsia="es-ES"/>
              </w:rPr>
              <w:t>18</w:t>
            </w:r>
          </w:p>
        </w:tc>
      </w:tr>
      <w:tr w:rsidR="001049D6" w:rsidRPr="005A760B" w:rsidTr="005D2B02">
        <w:trPr>
          <w:trHeight w:val="300"/>
          <w:jc w:val="center"/>
        </w:trPr>
        <w:tc>
          <w:tcPr>
            <w:tcW w:w="2032" w:type="pct"/>
            <w:tcBorders>
              <w:top w:val="nil"/>
              <w:left w:val="nil"/>
              <w:bottom w:val="single" w:sz="4" w:space="0" w:color="auto"/>
              <w:right w:val="nil"/>
            </w:tcBorders>
            <w:shd w:val="clear" w:color="000000" w:fill="FABF8F"/>
            <w:noWrap/>
            <w:vAlign w:val="center"/>
            <w:hideMark/>
          </w:tcPr>
          <w:p w:rsidR="001049D6" w:rsidRPr="005A760B" w:rsidRDefault="001049D6" w:rsidP="00622810">
            <w:pPr>
              <w:pStyle w:val="cuadroCabe"/>
              <w:rPr>
                <w:lang w:val="es-ES" w:eastAsia="es-ES"/>
              </w:rPr>
            </w:pPr>
            <w:r w:rsidRPr="005A760B">
              <w:rPr>
                <w:lang w:val="es-ES" w:eastAsia="es-ES"/>
              </w:rPr>
              <w:t>total</w:t>
            </w:r>
          </w:p>
        </w:tc>
        <w:tc>
          <w:tcPr>
            <w:tcW w:w="1839" w:type="pct"/>
            <w:tcBorders>
              <w:top w:val="nil"/>
              <w:left w:val="nil"/>
              <w:bottom w:val="single" w:sz="4" w:space="0" w:color="auto"/>
              <w:right w:val="nil"/>
            </w:tcBorders>
            <w:shd w:val="clear" w:color="000000" w:fill="FABF8F"/>
            <w:noWrap/>
            <w:vAlign w:val="center"/>
            <w:hideMark/>
          </w:tcPr>
          <w:p w:rsidR="001049D6" w:rsidRPr="005A760B" w:rsidRDefault="001049D6" w:rsidP="00622810">
            <w:pPr>
              <w:pStyle w:val="cuadroCabe"/>
              <w:jc w:val="right"/>
              <w:rPr>
                <w:lang w:val="es-ES" w:eastAsia="es-ES"/>
              </w:rPr>
            </w:pPr>
            <w:r w:rsidRPr="005A760B">
              <w:rPr>
                <w:lang w:val="es-ES" w:eastAsia="es-ES"/>
              </w:rPr>
              <w:t>89</w:t>
            </w:r>
          </w:p>
        </w:tc>
        <w:tc>
          <w:tcPr>
            <w:tcW w:w="565" w:type="pct"/>
            <w:tcBorders>
              <w:top w:val="nil"/>
              <w:left w:val="nil"/>
              <w:bottom w:val="single" w:sz="4" w:space="0" w:color="auto"/>
              <w:right w:val="nil"/>
            </w:tcBorders>
            <w:shd w:val="clear" w:color="000000" w:fill="FABF8F"/>
            <w:noWrap/>
            <w:vAlign w:val="center"/>
            <w:hideMark/>
          </w:tcPr>
          <w:p w:rsidR="001049D6" w:rsidRPr="005A760B" w:rsidRDefault="001049D6" w:rsidP="00622810">
            <w:pPr>
              <w:pStyle w:val="cuadroCabe"/>
              <w:jc w:val="right"/>
              <w:rPr>
                <w:lang w:val="es-ES" w:eastAsia="es-ES"/>
              </w:rPr>
            </w:pPr>
            <w:r w:rsidRPr="005A760B">
              <w:rPr>
                <w:lang w:val="es-ES" w:eastAsia="es-ES"/>
              </w:rPr>
              <w:t>476</w:t>
            </w:r>
          </w:p>
        </w:tc>
        <w:tc>
          <w:tcPr>
            <w:tcW w:w="564" w:type="pct"/>
            <w:tcBorders>
              <w:top w:val="nil"/>
              <w:left w:val="nil"/>
              <w:bottom w:val="single" w:sz="4" w:space="0" w:color="auto"/>
              <w:right w:val="nil"/>
            </w:tcBorders>
            <w:shd w:val="clear" w:color="000000" w:fill="FABF8F"/>
            <w:noWrap/>
            <w:vAlign w:val="center"/>
            <w:hideMark/>
          </w:tcPr>
          <w:p w:rsidR="001049D6" w:rsidRPr="005A760B" w:rsidRDefault="001049D6" w:rsidP="00622810">
            <w:pPr>
              <w:pStyle w:val="cuadroCabe"/>
              <w:jc w:val="right"/>
              <w:rPr>
                <w:lang w:val="es-ES" w:eastAsia="es-ES"/>
              </w:rPr>
            </w:pPr>
            <w:r w:rsidRPr="005A760B">
              <w:rPr>
                <w:lang w:val="es-ES" w:eastAsia="es-ES"/>
              </w:rPr>
              <w:t>565</w:t>
            </w:r>
          </w:p>
        </w:tc>
      </w:tr>
    </w:tbl>
    <w:p w:rsidR="001049D6" w:rsidRPr="005A760B" w:rsidRDefault="00F96C33" w:rsidP="005D2B02">
      <w:pPr>
        <w:pStyle w:val="texto"/>
        <w:spacing w:before="240"/>
      </w:pPr>
      <w:r w:rsidRPr="005A760B">
        <w:tab/>
        <w:t>El 16</w:t>
      </w:r>
      <w:r w:rsidR="001049D6" w:rsidRPr="005A760B">
        <w:t xml:space="preserve"> por ciento de los contratos son adjudicados teniendo en cuenta s</w:t>
      </w:r>
      <w:r w:rsidR="001B6928">
        <w:t>o</w:t>
      </w:r>
      <w:r w:rsidR="001049D6" w:rsidRPr="005A760B">
        <w:t xml:space="preserve">lo el precio y el resto se adjudican mediante la mejor relación calidad precio (coste eficacia con criterios cualitativos y oferta más ventajosa en la ley </w:t>
      </w:r>
      <w:r w:rsidR="008A5FED" w:rsidRPr="005A760B">
        <w:t xml:space="preserve">foral </w:t>
      </w:r>
      <w:r w:rsidR="001049D6" w:rsidRPr="005A760B">
        <w:t>ant</w:t>
      </w:r>
      <w:r w:rsidR="001049D6" w:rsidRPr="005A760B">
        <w:t>e</w:t>
      </w:r>
      <w:r w:rsidR="001049D6" w:rsidRPr="005A760B">
        <w:t>rior)</w:t>
      </w:r>
    </w:p>
    <w:p w:rsidR="00934965" w:rsidRPr="005A760B" w:rsidRDefault="00934965" w:rsidP="00934965">
      <w:pPr>
        <w:pStyle w:val="texto"/>
      </w:pPr>
      <w:r w:rsidRPr="005A760B">
        <w:t>Analizando los importes de adjudicación anual observamos que, del total de los 565 contratos, 24 contratos de obra, seis de servicios, tres de suministros y uno de concesión de servicios superaron la cuantía de 600.000 euros alcanza</w:t>
      </w:r>
      <w:r w:rsidRPr="005A760B">
        <w:t>n</w:t>
      </w:r>
      <w:r w:rsidRPr="005A760B">
        <w:t>do un importe total de 44,01 millones; 24 contratos de obra, tres de servicios y tres de suministros se adjudicaron por un precio superior a 400.000 euros cada uno sumando un importe total de 14,59 millones y</w:t>
      </w:r>
      <w:r w:rsidR="00444BB1" w:rsidRPr="005A760B">
        <w:t>,</w:t>
      </w:r>
      <w:r w:rsidRPr="005A760B">
        <w:t xml:space="preserve"> por último, 85 contratos de obra, 14 de servicios y uno de suministros superaron los 150.000 euros suma</w:t>
      </w:r>
      <w:r w:rsidRPr="005A760B">
        <w:t>n</w:t>
      </w:r>
      <w:r w:rsidRPr="005A760B">
        <w:t>do en total 22,91 millones.</w:t>
      </w:r>
    </w:p>
    <w:p w:rsidR="00934965" w:rsidRPr="005A760B" w:rsidRDefault="00934965" w:rsidP="00934965">
      <w:pPr>
        <w:pStyle w:val="texto"/>
        <w:spacing w:after="240"/>
        <w:rPr>
          <w:i/>
          <w:sz w:val="20"/>
        </w:rPr>
      </w:pPr>
      <w:r w:rsidRPr="005A760B">
        <w:t>El importe de adjudicación anual para estos contratos, que son más signific</w:t>
      </w:r>
      <w:r w:rsidRPr="005A760B">
        <w:t>a</w:t>
      </w:r>
      <w:r w:rsidRPr="005A760B">
        <w:t>tivos por su cuantía, fue el siguiente:</w:t>
      </w:r>
      <w:r w:rsidRPr="005A760B">
        <w:rPr>
          <w:i/>
          <w:sz w:val="20"/>
        </w:rPr>
        <w:t xml:space="preserve"> </w:t>
      </w:r>
    </w:p>
    <w:tbl>
      <w:tblPr>
        <w:tblW w:w="5000" w:type="pct"/>
        <w:jc w:val="center"/>
        <w:tblCellMar>
          <w:left w:w="70" w:type="dxa"/>
          <w:right w:w="70" w:type="dxa"/>
        </w:tblCellMar>
        <w:tblLook w:val="04A0" w:firstRow="1" w:lastRow="0" w:firstColumn="1" w:lastColumn="0" w:noHBand="0" w:noVBand="1"/>
      </w:tblPr>
      <w:tblGrid>
        <w:gridCol w:w="4817"/>
        <w:gridCol w:w="1530"/>
        <w:gridCol w:w="2582"/>
      </w:tblGrid>
      <w:tr w:rsidR="00934965" w:rsidRPr="005A760B" w:rsidTr="005D2B02">
        <w:trPr>
          <w:trHeight w:val="340"/>
          <w:jc w:val="center"/>
        </w:trPr>
        <w:tc>
          <w:tcPr>
            <w:tcW w:w="2697" w:type="pct"/>
            <w:tcBorders>
              <w:top w:val="single" w:sz="4" w:space="0" w:color="000000"/>
              <w:left w:val="nil"/>
              <w:bottom w:val="single" w:sz="4" w:space="0" w:color="000000"/>
              <w:right w:val="nil"/>
            </w:tcBorders>
            <w:shd w:val="clear" w:color="auto" w:fill="FABF8F" w:themeFill="accent6" w:themeFillTint="99"/>
            <w:noWrap/>
            <w:vAlign w:val="center"/>
            <w:hideMark/>
          </w:tcPr>
          <w:p w:rsidR="00934965" w:rsidRPr="005A760B" w:rsidRDefault="00934965" w:rsidP="00FF7F6B">
            <w:pPr>
              <w:pStyle w:val="cuadroCabe"/>
              <w:rPr>
                <w:lang w:val="es-ES" w:eastAsia="es-ES"/>
              </w:rPr>
            </w:pPr>
            <w:r w:rsidRPr="005A760B">
              <w:rPr>
                <w:lang w:val="es-ES" w:eastAsia="es-ES"/>
              </w:rPr>
              <w:t>Tipo de contrato</w:t>
            </w:r>
          </w:p>
        </w:tc>
        <w:tc>
          <w:tcPr>
            <w:tcW w:w="857" w:type="pct"/>
            <w:tcBorders>
              <w:top w:val="single" w:sz="4" w:space="0" w:color="000000"/>
              <w:left w:val="nil"/>
              <w:bottom w:val="single" w:sz="4" w:space="0" w:color="000000"/>
              <w:right w:val="nil"/>
            </w:tcBorders>
            <w:shd w:val="clear" w:color="auto" w:fill="FABF8F" w:themeFill="accent6" w:themeFillTint="99"/>
            <w:noWrap/>
            <w:vAlign w:val="center"/>
            <w:hideMark/>
          </w:tcPr>
          <w:p w:rsidR="00934965" w:rsidRPr="005A760B" w:rsidRDefault="00934965" w:rsidP="00FF7F6B">
            <w:pPr>
              <w:pStyle w:val="cuadroCabe"/>
              <w:jc w:val="right"/>
              <w:rPr>
                <w:lang w:val="es-ES" w:eastAsia="es-ES"/>
              </w:rPr>
            </w:pPr>
            <w:r w:rsidRPr="005A760B">
              <w:rPr>
                <w:lang w:val="es-ES" w:eastAsia="es-ES"/>
              </w:rPr>
              <w:t>Número</w:t>
            </w:r>
          </w:p>
        </w:tc>
        <w:tc>
          <w:tcPr>
            <w:tcW w:w="1446" w:type="pct"/>
            <w:tcBorders>
              <w:top w:val="single" w:sz="4" w:space="0" w:color="000000"/>
              <w:left w:val="nil"/>
              <w:bottom w:val="single" w:sz="4" w:space="0" w:color="000000"/>
            </w:tcBorders>
            <w:shd w:val="clear" w:color="auto" w:fill="FABF8F" w:themeFill="accent6" w:themeFillTint="99"/>
            <w:vAlign w:val="center"/>
            <w:hideMark/>
          </w:tcPr>
          <w:p w:rsidR="00934965" w:rsidRPr="005A760B" w:rsidRDefault="00934965" w:rsidP="00FF7F6B">
            <w:pPr>
              <w:pStyle w:val="cuadroCabe"/>
              <w:jc w:val="right"/>
              <w:rPr>
                <w:lang w:val="es-ES" w:eastAsia="es-ES"/>
              </w:rPr>
            </w:pPr>
            <w:r w:rsidRPr="005A760B">
              <w:rPr>
                <w:lang w:val="es-ES" w:eastAsia="es-ES"/>
              </w:rPr>
              <w:t>Importe adjudicación</w:t>
            </w:r>
          </w:p>
        </w:tc>
      </w:tr>
      <w:tr w:rsidR="00934965" w:rsidRPr="005A760B" w:rsidTr="00FF7F6B">
        <w:trPr>
          <w:trHeight w:val="284"/>
          <w:jc w:val="center"/>
        </w:trPr>
        <w:tc>
          <w:tcPr>
            <w:tcW w:w="2697" w:type="pct"/>
            <w:tcBorders>
              <w:top w:val="single" w:sz="2" w:space="0" w:color="000000"/>
              <w:left w:val="nil"/>
              <w:bottom w:val="single" w:sz="2" w:space="0" w:color="000000"/>
              <w:right w:val="nil"/>
            </w:tcBorders>
            <w:shd w:val="clear" w:color="auto" w:fill="auto"/>
            <w:noWrap/>
            <w:vAlign w:val="center"/>
            <w:hideMark/>
          </w:tcPr>
          <w:p w:rsidR="00934965" w:rsidRPr="005A760B" w:rsidRDefault="00934965" w:rsidP="00FF7F6B">
            <w:pPr>
              <w:pStyle w:val="cuatexto"/>
              <w:rPr>
                <w:rFonts w:cs="Calibri"/>
                <w:lang w:val="es-ES" w:eastAsia="es-ES"/>
              </w:rPr>
            </w:pPr>
            <w:r w:rsidRPr="005A760B">
              <w:rPr>
                <w:rFonts w:cs="Calibri"/>
                <w:lang w:val="es-ES" w:eastAsia="es-ES"/>
              </w:rPr>
              <w:t>Obras</w:t>
            </w:r>
          </w:p>
        </w:tc>
        <w:tc>
          <w:tcPr>
            <w:tcW w:w="857" w:type="pct"/>
            <w:tcBorders>
              <w:top w:val="single" w:sz="2" w:space="0" w:color="000000"/>
              <w:left w:val="nil"/>
              <w:bottom w:val="single" w:sz="2" w:space="0" w:color="000000"/>
              <w:right w:val="nil"/>
            </w:tcBorders>
            <w:shd w:val="clear" w:color="auto" w:fill="auto"/>
            <w:noWrap/>
            <w:vAlign w:val="center"/>
            <w:hideMark/>
          </w:tcPr>
          <w:p w:rsidR="00934965" w:rsidRPr="005A760B" w:rsidRDefault="00934965" w:rsidP="00FF7F6B">
            <w:pPr>
              <w:pStyle w:val="cuatexto"/>
              <w:jc w:val="right"/>
              <w:rPr>
                <w:rFonts w:cs="Calibri"/>
                <w:lang w:val="es-ES" w:eastAsia="es-ES"/>
              </w:rPr>
            </w:pPr>
            <w:r w:rsidRPr="005A760B">
              <w:rPr>
                <w:rFonts w:cs="Calibri"/>
                <w:lang w:val="es-ES" w:eastAsia="es-ES"/>
              </w:rPr>
              <w:t>133</w:t>
            </w:r>
          </w:p>
        </w:tc>
        <w:tc>
          <w:tcPr>
            <w:tcW w:w="1446" w:type="pct"/>
            <w:tcBorders>
              <w:top w:val="single" w:sz="2" w:space="0" w:color="000000"/>
              <w:left w:val="nil"/>
              <w:bottom w:val="single" w:sz="2" w:space="0" w:color="000000"/>
              <w:right w:val="nil"/>
            </w:tcBorders>
            <w:shd w:val="clear" w:color="auto" w:fill="auto"/>
            <w:noWrap/>
            <w:vAlign w:val="center"/>
            <w:hideMark/>
          </w:tcPr>
          <w:p w:rsidR="00934965" w:rsidRPr="005A760B" w:rsidRDefault="00934965" w:rsidP="00FF7F6B">
            <w:pPr>
              <w:pStyle w:val="cuatexto"/>
              <w:jc w:val="right"/>
              <w:rPr>
                <w:rFonts w:cs="Calibri"/>
                <w:lang w:val="es-ES" w:eastAsia="es-ES"/>
              </w:rPr>
            </w:pPr>
            <w:r w:rsidRPr="005A760B">
              <w:rPr>
                <w:rFonts w:cs="Calibri"/>
                <w:lang w:val="es-ES" w:eastAsia="es-ES"/>
              </w:rPr>
              <w:t>65.797.779</w:t>
            </w:r>
          </w:p>
        </w:tc>
      </w:tr>
      <w:tr w:rsidR="00934965" w:rsidRPr="005A760B" w:rsidTr="00FF7F6B">
        <w:trPr>
          <w:trHeight w:val="284"/>
          <w:jc w:val="center"/>
        </w:trPr>
        <w:tc>
          <w:tcPr>
            <w:tcW w:w="2697" w:type="pct"/>
            <w:tcBorders>
              <w:top w:val="single" w:sz="4" w:space="0" w:color="000000"/>
              <w:left w:val="nil"/>
              <w:bottom w:val="single" w:sz="2" w:space="0" w:color="000000"/>
              <w:right w:val="nil"/>
            </w:tcBorders>
            <w:shd w:val="clear" w:color="auto" w:fill="auto"/>
            <w:noWrap/>
            <w:vAlign w:val="center"/>
            <w:hideMark/>
          </w:tcPr>
          <w:p w:rsidR="00934965" w:rsidRPr="005A760B" w:rsidRDefault="00934965" w:rsidP="00FF7F6B">
            <w:pPr>
              <w:pStyle w:val="cuatexto"/>
              <w:rPr>
                <w:rFonts w:cs="Calibri"/>
                <w:lang w:val="es-ES" w:eastAsia="es-ES"/>
              </w:rPr>
            </w:pPr>
            <w:r w:rsidRPr="005A760B">
              <w:rPr>
                <w:rFonts w:cs="Calibri"/>
                <w:lang w:val="es-ES" w:eastAsia="es-ES"/>
              </w:rPr>
              <w:t>Servicios</w:t>
            </w:r>
          </w:p>
        </w:tc>
        <w:tc>
          <w:tcPr>
            <w:tcW w:w="857" w:type="pct"/>
            <w:tcBorders>
              <w:top w:val="single" w:sz="4" w:space="0" w:color="000000"/>
              <w:left w:val="nil"/>
              <w:bottom w:val="single" w:sz="2" w:space="0" w:color="000000"/>
              <w:right w:val="nil"/>
            </w:tcBorders>
            <w:shd w:val="clear" w:color="auto" w:fill="auto"/>
            <w:noWrap/>
            <w:vAlign w:val="center"/>
            <w:hideMark/>
          </w:tcPr>
          <w:p w:rsidR="00934965" w:rsidRPr="005A760B" w:rsidRDefault="00934965" w:rsidP="00FF7F6B">
            <w:pPr>
              <w:pStyle w:val="cuatexto"/>
              <w:jc w:val="right"/>
              <w:rPr>
                <w:rFonts w:cs="Calibri"/>
                <w:lang w:val="es-ES" w:eastAsia="es-ES"/>
              </w:rPr>
            </w:pPr>
            <w:r w:rsidRPr="005A760B">
              <w:rPr>
                <w:rFonts w:cs="Calibri"/>
                <w:lang w:val="es-ES" w:eastAsia="es-ES"/>
              </w:rPr>
              <w:t>23</w:t>
            </w:r>
          </w:p>
        </w:tc>
        <w:tc>
          <w:tcPr>
            <w:tcW w:w="1446" w:type="pct"/>
            <w:tcBorders>
              <w:top w:val="single" w:sz="4" w:space="0" w:color="000000"/>
              <w:left w:val="nil"/>
              <w:bottom w:val="single" w:sz="2" w:space="0" w:color="000000"/>
              <w:right w:val="nil"/>
            </w:tcBorders>
            <w:shd w:val="clear" w:color="auto" w:fill="auto"/>
            <w:noWrap/>
            <w:vAlign w:val="center"/>
            <w:hideMark/>
          </w:tcPr>
          <w:p w:rsidR="00934965" w:rsidRPr="005A760B" w:rsidRDefault="00934965" w:rsidP="00FF7F6B">
            <w:pPr>
              <w:pStyle w:val="cuatexto"/>
              <w:jc w:val="right"/>
              <w:rPr>
                <w:rFonts w:cs="Calibri"/>
                <w:lang w:val="es-ES" w:eastAsia="es-ES"/>
              </w:rPr>
            </w:pPr>
            <w:r w:rsidRPr="005A760B">
              <w:rPr>
                <w:rFonts w:cs="Calibri"/>
                <w:lang w:val="es-ES" w:eastAsia="es-ES"/>
              </w:rPr>
              <w:t>10.483.779</w:t>
            </w:r>
          </w:p>
        </w:tc>
      </w:tr>
      <w:tr w:rsidR="00934965" w:rsidRPr="005A760B" w:rsidTr="00FF7F6B">
        <w:trPr>
          <w:trHeight w:val="284"/>
          <w:jc w:val="center"/>
        </w:trPr>
        <w:tc>
          <w:tcPr>
            <w:tcW w:w="2697" w:type="pct"/>
            <w:tcBorders>
              <w:top w:val="single" w:sz="2" w:space="0" w:color="000000"/>
              <w:left w:val="nil"/>
              <w:bottom w:val="single" w:sz="4" w:space="0" w:color="auto"/>
              <w:right w:val="nil"/>
            </w:tcBorders>
            <w:shd w:val="clear" w:color="auto" w:fill="auto"/>
            <w:noWrap/>
            <w:vAlign w:val="center"/>
            <w:hideMark/>
          </w:tcPr>
          <w:p w:rsidR="00934965" w:rsidRPr="005A760B" w:rsidRDefault="00934965" w:rsidP="00FF7F6B">
            <w:pPr>
              <w:pStyle w:val="cuatexto"/>
              <w:rPr>
                <w:rFonts w:cs="Calibri"/>
                <w:lang w:val="es-ES" w:eastAsia="es-ES"/>
              </w:rPr>
            </w:pPr>
            <w:r w:rsidRPr="005A760B">
              <w:rPr>
                <w:rFonts w:cs="Calibri"/>
                <w:lang w:val="es-ES" w:eastAsia="es-ES"/>
              </w:rPr>
              <w:t>Suministros</w:t>
            </w:r>
          </w:p>
        </w:tc>
        <w:tc>
          <w:tcPr>
            <w:tcW w:w="857" w:type="pct"/>
            <w:tcBorders>
              <w:top w:val="single" w:sz="2" w:space="0" w:color="000000"/>
              <w:left w:val="nil"/>
              <w:bottom w:val="single" w:sz="4" w:space="0" w:color="auto"/>
              <w:right w:val="nil"/>
            </w:tcBorders>
            <w:shd w:val="clear" w:color="auto" w:fill="auto"/>
            <w:noWrap/>
            <w:vAlign w:val="center"/>
            <w:hideMark/>
          </w:tcPr>
          <w:p w:rsidR="00934965" w:rsidRPr="005A760B" w:rsidRDefault="00934965" w:rsidP="00FF7F6B">
            <w:pPr>
              <w:pStyle w:val="cuatexto"/>
              <w:jc w:val="right"/>
              <w:rPr>
                <w:rFonts w:cs="Calibri"/>
                <w:lang w:val="es-ES" w:eastAsia="es-ES"/>
              </w:rPr>
            </w:pPr>
            <w:r w:rsidRPr="005A760B">
              <w:rPr>
                <w:rFonts w:cs="Calibri"/>
                <w:lang w:val="es-ES" w:eastAsia="es-ES"/>
              </w:rPr>
              <w:t>7</w:t>
            </w:r>
          </w:p>
        </w:tc>
        <w:tc>
          <w:tcPr>
            <w:tcW w:w="1446" w:type="pct"/>
            <w:tcBorders>
              <w:top w:val="single" w:sz="2" w:space="0" w:color="000000"/>
              <w:left w:val="nil"/>
              <w:bottom w:val="single" w:sz="4" w:space="0" w:color="auto"/>
              <w:right w:val="nil"/>
            </w:tcBorders>
            <w:shd w:val="clear" w:color="auto" w:fill="auto"/>
            <w:noWrap/>
            <w:vAlign w:val="center"/>
            <w:hideMark/>
          </w:tcPr>
          <w:p w:rsidR="00934965" w:rsidRPr="005A760B" w:rsidRDefault="00934965" w:rsidP="00FF7F6B">
            <w:pPr>
              <w:pStyle w:val="cuatexto"/>
              <w:jc w:val="right"/>
              <w:rPr>
                <w:rFonts w:cs="Calibri"/>
                <w:lang w:val="es-ES" w:eastAsia="es-ES"/>
              </w:rPr>
            </w:pPr>
            <w:r w:rsidRPr="005A760B">
              <w:rPr>
                <w:rFonts w:cs="Calibri"/>
                <w:lang w:val="es-ES" w:eastAsia="es-ES"/>
              </w:rPr>
              <w:t>4.245.216</w:t>
            </w:r>
          </w:p>
        </w:tc>
      </w:tr>
      <w:tr w:rsidR="00934965" w:rsidRPr="005A760B" w:rsidTr="00FF7F6B">
        <w:trPr>
          <w:trHeight w:val="284"/>
          <w:jc w:val="center"/>
        </w:trPr>
        <w:tc>
          <w:tcPr>
            <w:tcW w:w="2697" w:type="pct"/>
            <w:tcBorders>
              <w:top w:val="single" w:sz="2" w:space="0" w:color="000000"/>
              <w:left w:val="nil"/>
              <w:bottom w:val="single" w:sz="4" w:space="0" w:color="auto"/>
              <w:right w:val="nil"/>
            </w:tcBorders>
            <w:shd w:val="clear" w:color="auto" w:fill="auto"/>
            <w:noWrap/>
            <w:vAlign w:val="center"/>
          </w:tcPr>
          <w:p w:rsidR="00934965" w:rsidRPr="005A760B" w:rsidRDefault="00934965" w:rsidP="00FF7F6B">
            <w:pPr>
              <w:pStyle w:val="cuatexto"/>
              <w:rPr>
                <w:rFonts w:cs="Calibri"/>
                <w:lang w:val="es-ES" w:eastAsia="es-ES"/>
              </w:rPr>
            </w:pPr>
            <w:r w:rsidRPr="005A760B">
              <w:rPr>
                <w:rFonts w:cs="Calibri"/>
                <w:lang w:val="es-ES" w:eastAsia="es-ES"/>
              </w:rPr>
              <w:t>Concesión de servicios</w:t>
            </w:r>
          </w:p>
        </w:tc>
        <w:tc>
          <w:tcPr>
            <w:tcW w:w="857" w:type="pct"/>
            <w:tcBorders>
              <w:top w:val="single" w:sz="2" w:space="0" w:color="000000"/>
              <w:left w:val="nil"/>
              <w:bottom w:val="single" w:sz="4" w:space="0" w:color="auto"/>
              <w:right w:val="nil"/>
            </w:tcBorders>
            <w:shd w:val="clear" w:color="auto" w:fill="auto"/>
            <w:noWrap/>
            <w:vAlign w:val="center"/>
          </w:tcPr>
          <w:p w:rsidR="00934965" w:rsidRPr="005A760B" w:rsidRDefault="00934965" w:rsidP="00FF7F6B">
            <w:pPr>
              <w:pStyle w:val="cuatexto"/>
              <w:jc w:val="right"/>
              <w:rPr>
                <w:rFonts w:cs="Calibri"/>
                <w:lang w:val="es-ES" w:eastAsia="es-ES"/>
              </w:rPr>
            </w:pPr>
            <w:r w:rsidRPr="005A760B">
              <w:rPr>
                <w:rFonts w:cs="Calibri"/>
                <w:lang w:val="es-ES" w:eastAsia="es-ES"/>
              </w:rPr>
              <w:t>1</w:t>
            </w:r>
          </w:p>
        </w:tc>
        <w:tc>
          <w:tcPr>
            <w:tcW w:w="1446" w:type="pct"/>
            <w:tcBorders>
              <w:top w:val="single" w:sz="2" w:space="0" w:color="000000"/>
              <w:left w:val="nil"/>
              <w:bottom w:val="single" w:sz="4" w:space="0" w:color="auto"/>
              <w:right w:val="nil"/>
            </w:tcBorders>
            <w:shd w:val="clear" w:color="auto" w:fill="auto"/>
            <w:noWrap/>
            <w:vAlign w:val="center"/>
          </w:tcPr>
          <w:p w:rsidR="00934965" w:rsidRPr="005A760B" w:rsidRDefault="00934965" w:rsidP="00FF7F6B">
            <w:pPr>
              <w:pStyle w:val="cuatexto"/>
              <w:jc w:val="right"/>
              <w:rPr>
                <w:rFonts w:cs="Calibri"/>
                <w:lang w:val="es-ES" w:eastAsia="es-ES"/>
              </w:rPr>
            </w:pPr>
            <w:r w:rsidRPr="005A760B">
              <w:rPr>
                <w:rFonts w:cs="Calibri"/>
                <w:lang w:val="es-ES" w:eastAsia="es-ES"/>
              </w:rPr>
              <w:t>990.612</w:t>
            </w:r>
          </w:p>
        </w:tc>
      </w:tr>
      <w:tr w:rsidR="00934965" w:rsidRPr="005A760B" w:rsidTr="00FF7F6B">
        <w:trPr>
          <w:trHeight w:val="284"/>
          <w:jc w:val="center"/>
        </w:trPr>
        <w:tc>
          <w:tcPr>
            <w:tcW w:w="2697" w:type="pct"/>
            <w:tcBorders>
              <w:top w:val="single" w:sz="4" w:space="0" w:color="auto"/>
              <w:left w:val="nil"/>
              <w:bottom w:val="single" w:sz="4" w:space="0" w:color="000000"/>
              <w:right w:val="nil"/>
            </w:tcBorders>
            <w:shd w:val="clear" w:color="auto" w:fill="FABF8F" w:themeFill="accent6" w:themeFillTint="99"/>
            <w:noWrap/>
            <w:vAlign w:val="center"/>
            <w:hideMark/>
          </w:tcPr>
          <w:p w:rsidR="00934965" w:rsidRPr="005A760B" w:rsidRDefault="00934965" w:rsidP="00FF7F6B">
            <w:pPr>
              <w:pStyle w:val="cuadroCabe"/>
              <w:rPr>
                <w:lang w:val="es-ES" w:eastAsia="es-ES"/>
              </w:rPr>
            </w:pPr>
            <w:r w:rsidRPr="005A760B">
              <w:rPr>
                <w:lang w:val="es-ES" w:eastAsia="es-ES"/>
              </w:rPr>
              <w:t>Total general</w:t>
            </w:r>
          </w:p>
        </w:tc>
        <w:tc>
          <w:tcPr>
            <w:tcW w:w="857" w:type="pct"/>
            <w:tcBorders>
              <w:top w:val="single" w:sz="4" w:space="0" w:color="auto"/>
              <w:left w:val="nil"/>
              <w:bottom w:val="single" w:sz="4" w:space="0" w:color="000000"/>
              <w:right w:val="nil"/>
            </w:tcBorders>
            <w:shd w:val="clear" w:color="auto" w:fill="FABF8F" w:themeFill="accent6" w:themeFillTint="99"/>
            <w:noWrap/>
            <w:vAlign w:val="center"/>
            <w:hideMark/>
          </w:tcPr>
          <w:p w:rsidR="00934965" w:rsidRPr="005A760B" w:rsidRDefault="00934965" w:rsidP="00FF7F6B">
            <w:pPr>
              <w:pStyle w:val="cuadroCabe"/>
              <w:jc w:val="right"/>
              <w:rPr>
                <w:lang w:val="es-ES" w:eastAsia="es-ES"/>
              </w:rPr>
            </w:pPr>
            <w:r w:rsidRPr="005A760B">
              <w:rPr>
                <w:lang w:val="es-ES" w:eastAsia="es-ES"/>
              </w:rPr>
              <w:t>164</w:t>
            </w:r>
          </w:p>
        </w:tc>
        <w:tc>
          <w:tcPr>
            <w:tcW w:w="1446" w:type="pct"/>
            <w:tcBorders>
              <w:top w:val="single" w:sz="4" w:space="0" w:color="auto"/>
              <w:left w:val="nil"/>
              <w:bottom w:val="single" w:sz="4" w:space="0" w:color="000000"/>
            </w:tcBorders>
            <w:shd w:val="clear" w:color="auto" w:fill="FABF8F" w:themeFill="accent6" w:themeFillTint="99"/>
            <w:noWrap/>
            <w:vAlign w:val="center"/>
            <w:hideMark/>
          </w:tcPr>
          <w:p w:rsidR="00934965" w:rsidRPr="005A760B" w:rsidRDefault="00934965" w:rsidP="00FF7F6B">
            <w:pPr>
              <w:pStyle w:val="cuadroCabe"/>
              <w:jc w:val="right"/>
              <w:rPr>
                <w:lang w:val="es-ES" w:eastAsia="es-ES"/>
              </w:rPr>
            </w:pPr>
            <w:r w:rsidRPr="005A760B">
              <w:rPr>
                <w:lang w:val="es-ES" w:eastAsia="es-ES"/>
              </w:rPr>
              <w:t>81.517.386</w:t>
            </w:r>
          </w:p>
        </w:tc>
      </w:tr>
    </w:tbl>
    <w:p w:rsidR="00934965" w:rsidRPr="005A760B" w:rsidRDefault="00934965" w:rsidP="00934965">
      <w:pPr>
        <w:pStyle w:val="texto"/>
        <w:spacing w:after="0"/>
      </w:pPr>
    </w:p>
    <w:p w:rsidR="00934965" w:rsidRPr="005A760B" w:rsidRDefault="00934965" w:rsidP="0045127C">
      <w:pPr>
        <w:pStyle w:val="texto"/>
      </w:pPr>
    </w:p>
    <w:p w:rsidR="00934965" w:rsidRPr="005A760B" w:rsidRDefault="00934965">
      <w:pPr>
        <w:spacing w:after="0"/>
        <w:ind w:firstLine="0"/>
        <w:jc w:val="left"/>
      </w:pPr>
      <w:r w:rsidRPr="005A760B">
        <w:br w:type="page"/>
      </w:r>
    </w:p>
    <w:p w:rsidR="001049D6" w:rsidRPr="005A760B" w:rsidRDefault="001049D6" w:rsidP="0045127C">
      <w:pPr>
        <w:pStyle w:val="atitulo1"/>
        <w:rPr>
          <w:color w:val="auto"/>
        </w:rPr>
      </w:pPr>
      <w:bookmarkStart w:id="78" w:name="_Toc52348296"/>
      <w:bookmarkStart w:id="79" w:name="_Toc54691929"/>
      <w:r w:rsidRPr="005A760B">
        <w:rPr>
          <w:color w:val="auto"/>
        </w:rPr>
        <w:t>VII. Comparativa por estratos de población de un conjunto de indicadores entre los ayuntamientos de Navarra y del Estado</w:t>
      </w:r>
      <w:bookmarkStart w:id="80" w:name="_Toc52348297"/>
      <w:bookmarkEnd w:id="78"/>
      <w:bookmarkEnd w:id="79"/>
    </w:p>
    <w:p w:rsidR="001049D6" w:rsidRPr="005A760B" w:rsidRDefault="001049D6" w:rsidP="0045127C">
      <w:pPr>
        <w:ind w:firstLine="284"/>
        <w:rPr>
          <w:rFonts w:ascii="Arial" w:hAnsi="Arial"/>
          <w:sz w:val="26"/>
          <w:szCs w:val="26"/>
        </w:rPr>
      </w:pPr>
      <w:r w:rsidRPr="005A760B">
        <w:rPr>
          <w:rStyle w:val="textoCar"/>
          <w:szCs w:val="26"/>
        </w:rPr>
        <w:t>En este epígrafe se efectúa una comparativa de un conjunto de indicadores entre los ayuntamientos de Navarra y del conjunto del Estado, por estratos de población. La información de estos últimos ayuntamientos se ha obtenido del informe del Tri</w:t>
      </w:r>
      <w:r w:rsidRPr="005A760B">
        <w:rPr>
          <w:sz w:val="26"/>
          <w:szCs w:val="26"/>
        </w:rPr>
        <w:t>bunal de Cuentas sobre el Sector Público Local de 2018</w:t>
      </w:r>
      <w:bookmarkEnd w:id="80"/>
      <w:r w:rsidR="005E6498" w:rsidRPr="005A760B">
        <w:rPr>
          <w:sz w:val="26"/>
          <w:szCs w:val="26"/>
        </w:rPr>
        <w:t>, en el que no se incluyen los datos de Navarra ni del País Vasco.</w:t>
      </w:r>
    </w:p>
    <w:p w:rsidR="001049D6" w:rsidRPr="00D94226" w:rsidRDefault="001049D6" w:rsidP="00D94226">
      <w:pPr>
        <w:pStyle w:val="Prrafodelista"/>
        <w:numPr>
          <w:ilvl w:val="0"/>
          <w:numId w:val="24"/>
        </w:numPr>
        <w:spacing w:before="240" w:after="300"/>
        <w:ind w:left="641" w:hanging="357"/>
        <w:rPr>
          <w:rStyle w:val="textoCar"/>
          <w:rFonts w:ascii="Arial" w:hAnsi="Arial" w:cs="Arial"/>
          <w:i/>
          <w:sz w:val="25"/>
          <w:szCs w:val="25"/>
        </w:rPr>
      </w:pPr>
      <w:bookmarkStart w:id="81" w:name="_Toc52348298"/>
      <w:r w:rsidRPr="00D94226">
        <w:rPr>
          <w:rStyle w:val="textoCar"/>
          <w:rFonts w:ascii="Arial" w:hAnsi="Arial" w:cs="Arial"/>
          <w:i/>
          <w:sz w:val="25"/>
          <w:szCs w:val="25"/>
        </w:rPr>
        <w:t>Ayuntamientos con población inferior a 1.000 habitantes</w:t>
      </w:r>
      <w:bookmarkEnd w:id="81"/>
    </w:p>
    <w:tbl>
      <w:tblPr>
        <w:tblW w:w="5000" w:type="pct"/>
        <w:tblCellMar>
          <w:left w:w="70" w:type="dxa"/>
          <w:right w:w="70" w:type="dxa"/>
        </w:tblCellMar>
        <w:tblLook w:val="04A0" w:firstRow="1" w:lastRow="0" w:firstColumn="1" w:lastColumn="0" w:noHBand="0" w:noVBand="1"/>
      </w:tblPr>
      <w:tblGrid>
        <w:gridCol w:w="4834"/>
        <w:gridCol w:w="1327"/>
        <w:gridCol w:w="1327"/>
        <w:gridCol w:w="1441"/>
      </w:tblGrid>
      <w:tr w:rsidR="00B81E61" w:rsidRPr="005A760B" w:rsidTr="00030037">
        <w:trPr>
          <w:trHeight w:val="540"/>
        </w:trPr>
        <w:tc>
          <w:tcPr>
            <w:tcW w:w="2707" w:type="pct"/>
            <w:tcBorders>
              <w:top w:val="single" w:sz="4" w:space="0" w:color="auto"/>
              <w:left w:val="nil"/>
              <w:bottom w:val="single" w:sz="4" w:space="0" w:color="auto"/>
              <w:right w:val="nil"/>
            </w:tcBorders>
            <w:shd w:val="clear" w:color="auto" w:fill="FABF8F" w:themeFill="accent6" w:themeFillTint="99"/>
            <w:noWrap/>
            <w:vAlign w:val="center"/>
            <w:hideMark/>
          </w:tcPr>
          <w:p w:rsidR="003F4FE0" w:rsidRPr="005A760B" w:rsidRDefault="003F4FE0" w:rsidP="003F4FE0">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Indicador</w:t>
            </w:r>
          </w:p>
        </w:tc>
        <w:tc>
          <w:tcPr>
            <w:tcW w:w="743" w:type="pct"/>
            <w:tcBorders>
              <w:top w:val="single" w:sz="4" w:space="0" w:color="auto"/>
              <w:left w:val="nil"/>
              <w:bottom w:val="single" w:sz="4" w:space="0" w:color="auto"/>
              <w:right w:val="nil"/>
            </w:tcBorders>
            <w:shd w:val="clear" w:color="auto" w:fill="FABF8F" w:themeFill="accent6" w:themeFillTint="99"/>
            <w:noWrap/>
            <w:vAlign w:val="center"/>
            <w:hideMark/>
          </w:tcPr>
          <w:p w:rsidR="003F4FE0" w:rsidRPr="005A760B" w:rsidRDefault="003F4FE0" w:rsidP="00030037">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Navarra</w:t>
            </w:r>
          </w:p>
        </w:tc>
        <w:tc>
          <w:tcPr>
            <w:tcW w:w="743" w:type="pct"/>
            <w:tcBorders>
              <w:top w:val="single" w:sz="4" w:space="0" w:color="auto"/>
              <w:left w:val="nil"/>
              <w:bottom w:val="single" w:sz="4" w:space="0" w:color="auto"/>
              <w:right w:val="nil"/>
            </w:tcBorders>
            <w:shd w:val="clear" w:color="auto" w:fill="FABF8F" w:themeFill="accent6" w:themeFillTint="99"/>
            <w:noWrap/>
            <w:vAlign w:val="center"/>
            <w:hideMark/>
          </w:tcPr>
          <w:p w:rsidR="003F4FE0" w:rsidRPr="005A760B" w:rsidRDefault="003F4FE0" w:rsidP="00030037">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Estado</w:t>
            </w:r>
          </w:p>
        </w:tc>
        <w:tc>
          <w:tcPr>
            <w:tcW w:w="807" w:type="pct"/>
            <w:tcBorders>
              <w:top w:val="single" w:sz="4" w:space="0" w:color="auto"/>
              <w:left w:val="nil"/>
              <w:bottom w:val="single" w:sz="4" w:space="0" w:color="auto"/>
              <w:right w:val="nil"/>
            </w:tcBorders>
            <w:shd w:val="clear" w:color="auto" w:fill="FABF8F" w:themeFill="accent6" w:themeFillTint="99"/>
            <w:vAlign w:val="center"/>
            <w:hideMark/>
          </w:tcPr>
          <w:p w:rsidR="00030037" w:rsidRDefault="00657850" w:rsidP="00030037">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 xml:space="preserve">% Var. </w:t>
            </w:r>
          </w:p>
          <w:p w:rsidR="003F4FE0" w:rsidRPr="005A760B" w:rsidRDefault="00657850" w:rsidP="00030037">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Navarra-Estado</w:t>
            </w:r>
          </w:p>
        </w:tc>
      </w:tr>
      <w:tr w:rsidR="00B81E61" w:rsidRPr="005A760B" w:rsidTr="003F4FE0">
        <w:trPr>
          <w:trHeight w:val="252"/>
        </w:trPr>
        <w:tc>
          <w:tcPr>
            <w:tcW w:w="2707" w:type="pct"/>
            <w:tcBorders>
              <w:top w:val="nil"/>
              <w:left w:val="nil"/>
              <w:bottom w:val="single" w:sz="4" w:space="0" w:color="auto"/>
              <w:right w:val="nil"/>
            </w:tcBorders>
            <w:shd w:val="clear" w:color="auto" w:fill="auto"/>
            <w:vAlign w:val="center"/>
            <w:hideMark/>
          </w:tcPr>
          <w:p w:rsidR="003F4FE0" w:rsidRPr="005A760B" w:rsidRDefault="003F4FE0" w:rsidP="003F4FE0">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Gastos totales (por habitante)</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1.706</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1.454</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15</w:t>
            </w:r>
          </w:p>
        </w:tc>
      </w:tr>
      <w:tr w:rsidR="00B81E61" w:rsidRPr="005A760B" w:rsidTr="003F4FE0">
        <w:trPr>
          <w:trHeight w:val="252"/>
        </w:trPr>
        <w:tc>
          <w:tcPr>
            <w:tcW w:w="2707" w:type="pct"/>
            <w:tcBorders>
              <w:top w:val="nil"/>
              <w:left w:val="nil"/>
              <w:bottom w:val="single" w:sz="4" w:space="0" w:color="auto"/>
              <w:right w:val="nil"/>
            </w:tcBorders>
            <w:shd w:val="clear" w:color="auto" w:fill="auto"/>
            <w:vAlign w:val="center"/>
            <w:hideMark/>
          </w:tcPr>
          <w:p w:rsidR="003F4FE0" w:rsidRPr="005A760B" w:rsidRDefault="003F4FE0" w:rsidP="003F4FE0">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Gastos de funcionamiento (por habitante)</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1.035</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942</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9</w:t>
            </w:r>
          </w:p>
        </w:tc>
      </w:tr>
      <w:tr w:rsidR="00B81E61" w:rsidRPr="005A760B" w:rsidTr="003F4FE0">
        <w:trPr>
          <w:trHeight w:val="252"/>
        </w:trPr>
        <w:tc>
          <w:tcPr>
            <w:tcW w:w="2707" w:type="pct"/>
            <w:tcBorders>
              <w:top w:val="nil"/>
              <w:left w:val="nil"/>
              <w:bottom w:val="single" w:sz="4" w:space="0" w:color="auto"/>
              <w:right w:val="nil"/>
            </w:tcBorders>
            <w:shd w:val="clear" w:color="auto" w:fill="auto"/>
            <w:vAlign w:val="center"/>
            <w:hideMark/>
          </w:tcPr>
          <w:p w:rsidR="003F4FE0" w:rsidRPr="005A760B" w:rsidRDefault="003F4FE0" w:rsidP="003F4FE0">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Gastos corriente (por habitante)</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1.039</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1.014</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2</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Cumplimiento pagos %</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92</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93</w:t>
            </w:r>
          </w:p>
        </w:tc>
        <w:tc>
          <w:tcPr>
            <w:tcW w:w="807" w:type="pct"/>
            <w:tcBorders>
              <w:top w:val="nil"/>
              <w:left w:val="nil"/>
              <w:bottom w:val="single" w:sz="4" w:space="0" w:color="auto"/>
              <w:right w:val="nil"/>
            </w:tcBorders>
            <w:shd w:val="clear" w:color="auto" w:fill="auto"/>
            <w:noWrap/>
            <w:vAlign w:val="center"/>
            <w:hideMark/>
          </w:tcPr>
          <w:p w:rsidR="003F4FE0" w:rsidRPr="005A760B" w:rsidRDefault="00254EF3"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w:t>
            </w:r>
            <w:r w:rsidR="003F4FE0" w:rsidRPr="005A760B">
              <w:rPr>
                <w:rFonts w:ascii="Arial Narrow" w:hAnsi="Arial Narrow" w:cs="Arial"/>
                <w:szCs w:val="18"/>
                <w:lang w:val="es-ES" w:eastAsia="es-ES"/>
              </w:rPr>
              <w:t> </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8D3658" w:rsidP="003F4FE0">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Índice</w:t>
            </w:r>
            <w:r w:rsidR="003F4FE0" w:rsidRPr="005A760B">
              <w:rPr>
                <w:rFonts w:ascii="Arial Narrow" w:hAnsi="Arial Narrow" w:cs="Arial"/>
                <w:szCs w:val="18"/>
                <w:lang w:val="es-ES" w:eastAsia="es-ES"/>
              </w:rPr>
              <w:t xml:space="preserve"> inversión %</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33</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28</w:t>
            </w:r>
          </w:p>
        </w:tc>
        <w:tc>
          <w:tcPr>
            <w:tcW w:w="807" w:type="pct"/>
            <w:tcBorders>
              <w:top w:val="nil"/>
              <w:left w:val="nil"/>
              <w:bottom w:val="single" w:sz="4" w:space="0" w:color="auto"/>
              <w:right w:val="nil"/>
            </w:tcBorders>
            <w:shd w:val="clear" w:color="auto" w:fill="auto"/>
            <w:noWrap/>
            <w:vAlign w:val="center"/>
            <w:hideMark/>
          </w:tcPr>
          <w:p w:rsidR="003F4FE0" w:rsidRPr="005A760B" w:rsidRDefault="00254EF3"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w:t>
            </w:r>
            <w:r w:rsidR="003F4FE0" w:rsidRPr="005A760B">
              <w:rPr>
                <w:rFonts w:ascii="Arial Narrow" w:hAnsi="Arial Narrow" w:cs="Arial"/>
                <w:szCs w:val="18"/>
                <w:lang w:val="es-ES" w:eastAsia="es-ES"/>
              </w:rPr>
              <w:t> </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8D3658" w:rsidP="003F4FE0">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Índice</w:t>
            </w:r>
            <w:r w:rsidR="003F4FE0" w:rsidRPr="005A760B">
              <w:rPr>
                <w:rFonts w:ascii="Arial Narrow" w:hAnsi="Arial Narrow" w:cs="Arial"/>
                <w:szCs w:val="18"/>
                <w:lang w:val="es-ES" w:eastAsia="es-ES"/>
              </w:rPr>
              <w:t xml:space="preserve"> personal %</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21</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28</w:t>
            </w:r>
          </w:p>
        </w:tc>
        <w:tc>
          <w:tcPr>
            <w:tcW w:w="807" w:type="pct"/>
            <w:tcBorders>
              <w:top w:val="nil"/>
              <w:left w:val="nil"/>
              <w:bottom w:val="single" w:sz="4" w:space="0" w:color="auto"/>
              <w:right w:val="nil"/>
            </w:tcBorders>
            <w:shd w:val="clear" w:color="auto" w:fill="auto"/>
            <w:noWrap/>
            <w:vAlign w:val="center"/>
            <w:hideMark/>
          </w:tcPr>
          <w:p w:rsidR="003F4FE0" w:rsidRPr="005A760B" w:rsidRDefault="00254EF3"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w:t>
            </w:r>
            <w:r w:rsidR="003F4FE0" w:rsidRPr="005A760B">
              <w:rPr>
                <w:rFonts w:ascii="Arial Narrow" w:hAnsi="Arial Narrow" w:cs="Arial"/>
                <w:szCs w:val="18"/>
                <w:lang w:val="es-ES" w:eastAsia="es-ES"/>
              </w:rPr>
              <w:t> </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Ingresos totales</w:t>
            </w:r>
            <w:r w:rsidR="00D75699" w:rsidRPr="005A760B">
              <w:rPr>
                <w:rFonts w:ascii="Arial Narrow" w:hAnsi="Arial Narrow" w:cs="Arial"/>
                <w:szCs w:val="18"/>
                <w:lang w:val="es-ES" w:eastAsia="es-ES"/>
              </w:rPr>
              <w:t xml:space="preserve"> </w:t>
            </w:r>
            <w:r w:rsidRPr="005A760B">
              <w:rPr>
                <w:rFonts w:ascii="Arial Narrow" w:hAnsi="Arial Narrow" w:cs="Arial"/>
                <w:szCs w:val="18"/>
                <w:lang w:val="es-ES" w:eastAsia="es-ES"/>
              </w:rPr>
              <w:t>(por habitante)</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1.774</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1.591</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10</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Ingresos tributarios</w:t>
            </w:r>
            <w:r w:rsidR="00D75699" w:rsidRPr="005A760B">
              <w:rPr>
                <w:rFonts w:ascii="Arial Narrow" w:hAnsi="Arial Narrow" w:cs="Arial"/>
                <w:szCs w:val="18"/>
                <w:lang w:val="es-ES" w:eastAsia="es-ES"/>
              </w:rPr>
              <w:t xml:space="preserve"> </w:t>
            </w:r>
            <w:r w:rsidRPr="005A760B">
              <w:rPr>
                <w:rFonts w:ascii="Arial Narrow" w:hAnsi="Arial Narrow" w:cs="Arial"/>
                <w:szCs w:val="18"/>
                <w:lang w:val="es-ES" w:eastAsia="es-ES"/>
              </w:rPr>
              <w:t>(por habitante)</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602</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659</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-9</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Ingresos corrientes</w:t>
            </w:r>
            <w:r w:rsidR="00D75699" w:rsidRPr="005A760B">
              <w:rPr>
                <w:rFonts w:ascii="Arial Narrow" w:hAnsi="Arial Narrow" w:cs="Arial"/>
                <w:szCs w:val="18"/>
                <w:lang w:val="es-ES" w:eastAsia="es-ES"/>
              </w:rPr>
              <w:t xml:space="preserve"> </w:t>
            </w:r>
            <w:r w:rsidRPr="005A760B">
              <w:rPr>
                <w:rFonts w:ascii="Arial Narrow" w:hAnsi="Arial Narrow" w:cs="Arial"/>
                <w:szCs w:val="18"/>
                <w:lang w:val="es-ES" w:eastAsia="es-ES"/>
              </w:rPr>
              <w:t>(por habitante)</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1.477</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1.291</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13</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Cumplimiento cobros %</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88</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87</w:t>
            </w:r>
          </w:p>
        </w:tc>
        <w:tc>
          <w:tcPr>
            <w:tcW w:w="8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 </w:t>
            </w:r>
            <w:r w:rsidR="00254EF3" w:rsidRPr="005A760B">
              <w:rPr>
                <w:rFonts w:ascii="Arial Narrow" w:hAnsi="Arial Narrow" w:cs="Arial"/>
                <w:szCs w:val="18"/>
                <w:lang w:val="es-ES" w:eastAsia="es-ES"/>
              </w:rPr>
              <w:t>-</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Dependencia transferencias corrientes %</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41</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37</w:t>
            </w:r>
          </w:p>
        </w:tc>
        <w:tc>
          <w:tcPr>
            <w:tcW w:w="8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 </w:t>
            </w:r>
            <w:r w:rsidR="00254EF3" w:rsidRPr="005A760B">
              <w:rPr>
                <w:rFonts w:ascii="Arial Narrow" w:hAnsi="Arial Narrow" w:cs="Arial"/>
                <w:szCs w:val="18"/>
                <w:lang w:val="es-ES" w:eastAsia="es-ES"/>
              </w:rPr>
              <w:t>-</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Ahorro bruto</w:t>
            </w:r>
            <w:r w:rsidR="00D75699" w:rsidRPr="005A760B">
              <w:rPr>
                <w:rFonts w:ascii="Arial Narrow" w:hAnsi="Arial Narrow" w:cs="Arial"/>
                <w:szCs w:val="18"/>
                <w:lang w:val="es-ES" w:eastAsia="es-ES"/>
              </w:rPr>
              <w:t xml:space="preserve"> </w:t>
            </w:r>
            <w:r w:rsidRPr="005A760B">
              <w:rPr>
                <w:rFonts w:ascii="Arial Narrow" w:hAnsi="Arial Narrow" w:cs="Arial"/>
                <w:szCs w:val="18"/>
                <w:lang w:val="es-ES" w:eastAsia="es-ES"/>
              </w:rPr>
              <w:t>(por habitante)</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443</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281</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36</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Carga financiera</w:t>
            </w:r>
            <w:r w:rsidR="00D75699" w:rsidRPr="005A760B">
              <w:rPr>
                <w:rFonts w:ascii="Arial Narrow" w:hAnsi="Arial Narrow" w:cs="Arial"/>
                <w:szCs w:val="18"/>
                <w:lang w:val="es-ES" w:eastAsia="es-ES"/>
              </w:rPr>
              <w:t xml:space="preserve"> </w:t>
            </w:r>
            <w:r w:rsidRPr="005A760B">
              <w:rPr>
                <w:rFonts w:ascii="Arial Narrow" w:hAnsi="Arial Narrow" w:cs="Arial"/>
                <w:szCs w:val="18"/>
                <w:lang w:val="es-ES" w:eastAsia="es-ES"/>
              </w:rPr>
              <w:t>(por habitante)</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72</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36</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50</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Ahorro neto</w:t>
            </w:r>
            <w:r w:rsidR="00D75699" w:rsidRPr="005A760B">
              <w:rPr>
                <w:rFonts w:ascii="Arial Narrow" w:hAnsi="Arial Narrow" w:cs="Arial"/>
                <w:szCs w:val="18"/>
                <w:lang w:val="es-ES" w:eastAsia="es-ES"/>
              </w:rPr>
              <w:t xml:space="preserve"> </w:t>
            </w:r>
            <w:r w:rsidRPr="005A760B">
              <w:rPr>
                <w:rFonts w:ascii="Arial Narrow" w:hAnsi="Arial Narrow" w:cs="Arial"/>
                <w:szCs w:val="18"/>
                <w:lang w:val="es-ES" w:eastAsia="es-ES"/>
              </w:rPr>
              <w:t>(por habitante)</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370</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245</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34</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8D3658" w:rsidP="003F4FE0">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Índice</w:t>
            </w:r>
            <w:r w:rsidR="003F4FE0" w:rsidRPr="005A760B">
              <w:rPr>
                <w:rFonts w:ascii="Arial Narrow" w:hAnsi="Arial Narrow" w:cs="Arial"/>
                <w:szCs w:val="18"/>
                <w:lang w:val="es-ES" w:eastAsia="es-ES"/>
              </w:rPr>
              <w:t xml:space="preserve"> de carga financiera %</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5</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3</w:t>
            </w:r>
          </w:p>
        </w:tc>
        <w:tc>
          <w:tcPr>
            <w:tcW w:w="8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 </w:t>
            </w:r>
            <w:r w:rsidR="00254EF3" w:rsidRPr="005A760B">
              <w:rPr>
                <w:rFonts w:ascii="Arial Narrow" w:hAnsi="Arial Narrow" w:cs="Arial"/>
                <w:szCs w:val="18"/>
                <w:lang w:val="es-ES" w:eastAsia="es-ES"/>
              </w:rPr>
              <w:t>-</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Capacidad de endeudamiento %</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24</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19</w:t>
            </w:r>
          </w:p>
        </w:tc>
        <w:tc>
          <w:tcPr>
            <w:tcW w:w="8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 </w:t>
            </w:r>
            <w:r w:rsidR="00254EF3" w:rsidRPr="005A760B">
              <w:rPr>
                <w:rFonts w:ascii="Arial Narrow" w:hAnsi="Arial Narrow" w:cs="Arial"/>
                <w:szCs w:val="18"/>
                <w:lang w:val="es-ES" w:eastAsia="es-ES"/>
              </w:rPr>
              <w:t>-</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66202A">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Por</w:t>
            </w:r>
            <w:r w:rsidR="0066202A" w:rsidRPr="005A760B">
              <w:rPr>
                <w:rFonts w:ascii="Arial Narrow" w:hAnsi="Arial Narrow" w:cs="Arial"/>
                <w:szCs w:val="18"/>
                <w:lang w:val="es-ES" w:eastAsia="es-ES"/>
              </w:rPr>
              <w:t>centaje ahorro bruto/ingresos corrientes</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28</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22</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22</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Deuda viva</w:t>
            </w:r>
            <w:r w:rsidR="00D75699" w:rsidRPr="005A760B">
              <w:rPr>
                <w:rFonts w:ascii="Arial Narrow" w:hAnsi="Arial Narrow" w:cs="Arial"/>
                <w:szCs w:val="18"/>
                <w:lang w:val="es-ES" w:eastAsia="es-ES"/>
              </w:rPr>
              <w:t xml:space="preserve"> </w:t>
            </w:r>
            <w:r w:rsidRPr="005A760B">
              <w:rPr>
                <w:rFonts w:ascii="Arial Narrow" w:hAnsi="Arial Narrow" w:cs="Arial"/>
                <w:szCs w:val="18"/>
                <w:lang w:val="es-ES" w:eastAsia="es-ES"/>
              </w:rPr>
              <w:t>(por habitante)</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342</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178</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48</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66202A">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Saldo no financiero</w:t>
            </w:r>
            <w:r w:rsidR="00D75699" w:rsidRPr="005A760B">
              <w:rPr>
                <w:rFonts w:ascii="Arial Narrow" w:hAnsi="Arial Narrow" w:cs="Arial"/>
                <w:szCs w:val="18"/>
                <w:lang w:val="es-ES" w:eastAsia="es-ES"/>
              </w:rPr>
              <w:t xml:space="preserve"> </w:t>
            </w:r>
            <w:r w:rsidRPr="005A760B">
              <w:rPr>
                <w:rFonts w:ascii="Arial Narrow" w:hAnsi="Arial Narrow" w:cs="Arial"/>
                <w:szCs w:val="18"/>
                <w:lang w:val="es-ES" w:eastAsia="es-ES"/>
              </w:rPr>
              <w:t>(por habitante)</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122</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71</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42</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Saldo financiero</w:t>
            </w:r>
            <w:r w:rsidR="00D75699" w:rsidRPr="005A760B">
              <w:rPr>
                <w:rFonts w:ascii="Arial Narrow" w:hAnsi="Arial Narrow" w:cs="Arial"/>
                <w:szCs w:val="18"/>
                <w:lang w:val="es-ES" w:eastAsia="es-ES"/>
              </w:rPr>
              <w:t xml:space="preserve"> </w:t>
            </w:r>
            <w:r w:rsidRPr="005A760B">
              <w:rPr>
                <w:rFonts w:ascii="Arial Narrow" w:hAnsi="Arial Narrow" w:cs="Arial"/>
                <w:szCs w:val="18"/>
                <w:lang w:val="es-ES" w:eastAsia="es-ES"/>
              </w:rPr>
              <w:t>(por habitante)</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-54</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-22</w:t>
            </w:r>
          </w:p>
        </w:tc>
        <w:tc>
          <w:tcPr>
            <w:tcW w:w="807" w:type="pct"/>
            <w:tcBorders>
              <w:top w:val="nil"/>
              <w:left w:val="nil"/>
              <w:bottom w:val="single" w:sz="4" w:space="0" w:color="auto"/>
              <w:right w:val="nil"/>
            </w:tcBorders>
            <w:shd w:val="clear" w:color="auto" w:fill="auto"/>
            <w:noWrap/>
            <w:vAlign w:val="center"/>
            <w:hideMark/>
          </w:tcPr>
          <w:p w:rsidR="003F4FE0" w:rsidRPr="005A760B" w:rsidRDefault="004132AB"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60</w:t>
            </w:r>
          </w:p>
        </w:tc>
      </w:tr>
      <w:tr w:rsidR="00B81E61" w:rsidRPr="005A760B" w:rsidTr="003F4FE0">
        <w:trPr>
          <w:trHeight w:val="252"/>
        </w:trPr>
        <w:tc>
          <w:tcPr>
            <w:tcW w:w="27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Nivel de endeudamiento %</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22</w:t>
            </w:r>
          </w:p>
        </w:tc>
        <w:tc>
          <w:tcPr>
            <w:tcW w:w="743"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14</w:t>
            </w:r>
          </w:p>
        </w:tc>
        <w:tc>
          <w:tcPr>
            <w:tcW w:w="807" w:type="pct"/>
            <w:tcBorders>
              <w:top w:val="nil"/>
              <w:left w:val="nil"/>
              <w:bottom w:val="single" w:sz="4" w:space="0" w:color="auto"/>
              <w:right w:val="nil"/>
            </w:tcBorders>
            <w:shd w:val="clear" w:color="auto" w:fill="auto"/>
            <w:noWrap/>
            <w:vAlign w:val="center"/>
            <w:hideMark/>
          </w:tcPr>
          <w:p w:rsidR="003F4FE0" w:rsidRPr="005A760B" w:rsidRDefault="003F4FE0" w:rsidP="003F4FE0">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 </w:t>
            </w:r>
            <w:r w:rsidR="00254EF3" w:rsidRPr="005A760B">
              <w:rPr>
                <w:rFonts w:ascii="Arial Narrow" w:hAnsi="Arial Narrow" w:cs="Arial"/>
                <w:szCs w:val="18"/>
                <w:lang w:val="es-ES" w:eastAsia="es-ES"/>
              </w:rPr>
              <w:t>-</w:t>
            </w:r>
          </w:p>
        </w:tc>
      </w:tr>
    </w:tbl>
    <w:p w:rsidR="001049D6" w:rsidRPr="005A760B" w:rsidRDefault="001049D6" w:rsidP="0045127C">
      <w:pPr>
        <w:pStyle w:val="texto"/>
        <w:spacing w:before="240"/>
        <w:rPr>
          <w:b/>
        </w:rPr>
      </w:pPr>
      <w:bookmarkStart w:id="82" w:name="_Toc52348299"/>
      <w:r w:rsidRPr="005A760B">
        <w:t>De este tramo comparativo destacamos</w:t>
      </w:r>
      <w:r w:rsidR="008A5FED" w:rsidRPr="005A760B">
        <w:t xml:space="preserve"> lo siguiente</w:t>
      </w:r>
      <w:r w:rsidRPr="005A760B">
        <w:t>:</w:t>
      </w:r>
      <w:bookmarkEnd w:id="82"/>
    </w:p>
    <w:p w:rsidR="001049D6" w:rsidRPr="005A760B" w:rsidRDefault="001049D6" w:rsidP="001049D6">
      <w:pPr>
        <w:pStyle w:val="texto"/>
        <w:rPr>
          <w:b/>
        </w:rPr>
      </w:pPr>
      <w:bookmarkStart w:id="83" w:name="_Toc52348300"/>
      <w:r w:rsidRPr="005A760B">
        <w:t xml:space="preserve">En este </w:t>
      </w:r>
      <w:r w:rsidR="005E6498" w:rsidRPr="005A760B">
        <w:t>estrato poblacional</w:t>
      </w:r>
      <w:r w:rsidRPr="005A760B">
        <w:t xml:space="preserve"> se encuentran 189 de los 272 ayuntamientos n</w:t>
      </w:r>
      <w:r w:rsidRPr="005A760B">
        <w:t>a</w:t>
      </w:r>
      <w:r w:rsidRPr="005A760B">
        <w:t>varros, si bien los indicadores se han calculado con los datos presentados por 176 ayuntamientos.</w:t>
      </w:r>
      <w:bookmarkEnd w:id="83"/>
      <w:r w:rsidR="004C2414" w:rsidRPr="005A760B">
        <w:t xml:space="preserve"> </w:t>
      </w:r>
    </w:p>
    <w:p w:rsidR="001049D6" w:rsidRPr="005A760B" w:rsidRDefault="001049D6" w:rsidP="001049D6">
      <w:pPr>
        <w:pStyle w:val="texto"/>
        <w:rPr>
          <w:b/>
        </w:rPr>
      </w:pPr>
      <w:bookmarkStart w:id="84" w:name="_Toc52348301"/>
      <w:r w:rsidRPr="005A760B">
        <w:t>El vol</w:t>
      </w:r>
      <w:r w:rsidR="0066202A" w:rsidRPr="005A760B">
        <w:t>umen del gasto es sup</w:t>
      </w:r>
      <w:r w:rsidRPr="005A760B">
        <w:t xml:space="preserve">erior en Navarra, así como los ingresos, </w:t>
      </w:r>
      <w:r w:rsidR="0066202A" w:rsidRPr="005A760B">
        <w:t>excepto</w:t>
      </w:r>
      <w:r w:rsidRPr="005A760B">
        <w:t xml:space="preserve"> los tributarios que son un </w:t>
      </w:r>
      <w:r w:rsidR="0066202A" w:rsidRPr="005A760B">
        <w:t>nueve</w:t>
      </w:r>
      <w:r w:rsidRPr="005A760B">
        <w:t xml:space="preserve"> por ciento inferiores a los de los ayuntamientos del Estado.</w:t>
      </w:r>
      <w:bookmarkEnd w:id="84"/>
    </w:p>
    <w:p w:rsidR="001049D6" w:rsidRPr="005A760B" w:rsidRDefault="001049D6" w:rsidP="001049D6">
      <w:pPr>
        <w:pStyle w:val="texto"/>
        <w:rPr>
          <w:b/>
        </w:rPr>
      </w:pPr>
      <w:bookmarkStart w:id="85" w:name="_Toc52348302"/>
      <w:r w:rsidRPr="005A760B">
        <w:t xml:space="preserve">El índice de inversión sobre el total del gasto es superior al del Estado y el de personal es </w:t>
      </w:r>
      <w:r w:rsidR="0066202A" w:rsidRPr="005A760B">
        <w:t>inferior.</w:t>
      </w:r>
      <w:bookmarkEnd w:id="85"/>
      <w:r w:rsidRPr="005A760B">
        <w:t xml:space="preserve"> </w:t>
      </w:r>
    </w:p>
    <w:p w:rsidR="001049D6" w:rsidRPr="005A760B" w:rsidRDefault="001049D6" w:rsidP="001049D6">
      <w:pPr>
        <w:pStyle w:val="texto"/>
        <w:rPr>
          <w:b/>
        </w:rPr>
      </w:pPr>
      <w:bookmarkStart w:id="86" w:name="_Toc52348303"/>
      <w:r w:rsidRPr="005A760B">
        <w:t xml:space="preserve">La deuda viva por habitante en los municipios navarros es de 342 euros, un 48 por ciento superior a la del resto de municipios del Estado. Sin </w:t>
      </w:r>
      <w:r w:rsidR="004C2414" w:rsidRPr="005A760B">
        <w:t>embargo, en Navarra se obtiene un ahorro bruto y neto</w:t>
      </w:r>
      <w:r w:rsidRPr="005A760B">
        <w:t xml:space="preserve"> per cápita más e</w:t>
      </w:r>
      <w:r w:rsidR="00254EF3" w:rsidRPr="005A760B">
        <w:t xml:space="preserve">levado, </w:t>
      </w:r>
      <w:r w:rsidR="00816E87" w:rsidRPr="005A760B">
        <w:t>un</w:t>
      </w:r>
      <w:r w:rsidR="00254EF3" w:rsidRPr="005A760B">
        <w:t xml:space="preserve"> 36</w:t>
      </w:r>
      <w:r w:rsidRPr="005A760B">
        <w:t xml:space="preserve"> y </w:t>
      </w:r>
      <w:r w:rsidR="00254EF3" w:rsidRPr="005A760B">
        <w:t>34</w:t>
      </w:r>
      <w:r w:rsidRPr="005A760B">
        <w:t xml:space="preserve"> por ciento </w:t>
      </w:r>
      <w:r w:rsidR="00657850" w:rsidRPr="005A760B">
        <w:t>superiores</w:t>
      </w:r>
      <w:r w:rsidR="008F15CC" w:rsidRPr="005A760B">
        <w:t>,</w:t>
      </w:r>
      <w:r w:rsidR="00657850" w:rsidRPr="005A760B">
        <w:t xml:space="preserve"> </w:t>
      </w:r>
      <w:r w:rsidRPr="005A760B">
        <w:t>respectivamente</w:t>
      </w:r>
      <w:r w:rsidR="008F15CC" w:rsidRPr="005A760B">
        <w:t>,</w:t>
      </w:r>
      <w:r w:rsidRPr="005A760B">
        <w:t xml:space="preserve"> sobre los municipios estatales.</w:t>
      </w:r>
    </w:p>
    <w:p w:rsidR="001049D6" w:rsidRPr="005A760B" w:rsidRDefault="001049D6" w:rsidP="001049D6">
      <w:pPr>
        <w:pStyle w:val="texto"/>
      </w:pPr>
      <w:r w:rsidRPr="005A760B">
        <w:t>El nivel de endeudamiento o deuda sobre ingresos corrientes se sitúa para los municipios navarros en el 22 por ciento frente al 14 por ciento en el Estado.</w:t>
      </w:r>
      <w:bookmarkStart w:id="87" w:name="_Toc52348304"/>
      <w:bookmarkEnd w:id="86"/>
      <w:r w:rsidRPr="005A760B">
        <w:rPr>
          <w:highlight w:val="yellow"/>
        </w:rPr>
        <w:t xml:space="preserve"> </w:t>
      </w:r>
      <w:bookmarkEnd w:id="87"/>
    </w:p>
    <w:p w:rsidR="005E6498" w:rsidRPr="00E703F0" w:rsidRDefault="005E6498" w:rsidP="00E703F0">
      <w:pPr>
        <w:pStyle w:val="Prrafodelista"/>
        <w:numPr>
          <w:ilvl w:val="0"/>
          <w:numId w:val="24"/>
        </w:numPr>
        <w:spacing w:before="240" w:after="300"/>
        <w:ind w:left="641" w:hanging="357"/>
        <w:rPr>
          <w:rStyle w:val="textoCar"/>
          <w:rFonts w:ascii="Arial" w:hAnsi="Arial" w:cs="Arial"/>
          <w:i/>
          <w:sz w:val="25"/>
          <w:szCs w:val="25"/>
        </w:rPr>
      </w:pPr>
      <w:r w:rsidRPr="00E703F0">
        <w:rPr>
          <w:rStyle w:val="textoCar"/>
          <w:rFonts w:ascii="Arial" w:hAnsi="Arial" w:cs="Arial"/>
          <w:i/>
          <w:sz w:val="25"/>
          <w:szCs w:val="25"/>
        </w:rPr>
        <w:t>Ayuntamientos con población entre 1.001 y 5.000 habitantes</w:t>
      </w:r>
    </w:p>
    <w:tbl>
      <w:tblPr>
        <w:tblW w:w="7422" w:type="pct"/>
        <w:tblCellMar>
          <w:left w:w="70" w:type="dxa"/>
          <w:right w:w="70" w:type="dxa"/>
        </w:tblCellMar>
        <w:tblLook w:val="04A0" w:firstRow="1" w:lastRow="0" w:firstColumn="1" w:lastColumn="0" w:noHBand="0" w:noVBand="1"/>
      </w:tblPr>
      <w:tblGrid>
        <w:gridCol w:w="5434"/>
        <w:gridCol w:w="732"/>
        <w:gridCol w:w="1328"/>
        <w:gridCol w:w="1442"/>
        <w:gridCol w:w="1442"/>
        <w:gridCol w:w="1442"/>
        <w:gridCol w:w="1434"/>
      </w:tblGrid>
      <w:tr w:rsidR="00B81E61" w:rsidRPr="005A760B" w:rsidTr="00D75699">
        <w:trPr>
          <w:trHeight w:val="540"/>
        </w:trPr>
        <w:tc>
          <w:tcPr>
            <w:tcW w:w="2050" w:type="pct"/>
            <w:tcBorders>
              <w:top w:val="single" w:sz="4" w:space="0" w:color="auto"/>
              <w:left w:val="nil"/>
              <w:bottom w:val="single" w:sz="4" w:space="0" w:color="auto"/>
              <w:right w:val="nil"/>
            </w:tcBorders>
            <w:shd w:val="clear" w:color="000000" w:fill="FABF8F"/>
            <w:noWrap/>
            <w:vAlign w:val="center"/>
            <w:hideMark/>
          </w:tcPr>
          <w:p w:rsidR="008F15CC" w:rsidRPr="005A760B" w:rsidRDefault="008F15CC" w:rsidP="008F15CC">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Indicador</w:t>
            </w:r>
          </w:p>
        </w:tc>
        <w:tc>
          <w:tcPr>
            <w:tcW w:w="276" w:type="pct"/>
            <w:tcBorders>
              <w:top w:val="single" w:sz="4" w:space="0" w:color="auto"/>
              <w:left w:val="nil"/>
              <w:bottom w:val="single" w:sz="4" w:space="0" w:color="auto"/>
              <w:right w:val="nil"/>
            </w:tcBorders>
            <w:shd w:val="clear" w:color="000000" w:fill="FABF8F"/>
            <w:noWrap/>
            <w:vAlign w:val="center"/>
            <w:hideMark/>
          </w:tcPr>
          <w:p w:rsidR="008F15CC" w:rsidRPr="005A760B" w:rsidRDefault="008F15CC" w:rsidP="008F15CC">
            <w:pPr>
              <w:spacing w:after="0"/>
              <w:ind w:firstLine="0"/>
              <w:jc w:val="center"/>
              <w:rPr>
                <w:rFonts w:ascii="Arial Narrow" w:hAnsi="Arial Narrow" w:cs="Arial"/>
                <w:szCs w:val="18"/>
                <w:lang w:val="es-ES" w:eastAsia="es-ES"/>
              </w:rPr>
            </w:pPr>
            <w:r w:rsidRPr="005A760B">
              <w:rPr>
                <w:rFonts w:ascii="Arial Narrow" w:hAnsi="Arial Narrow" w:cs="Arial"/>
                <w:szCs w:val="18"/>
                <w:lang w:val="es-ES" w:eastAsia="es-ES"/>
              </w:rPr>
              <w:t>Navarra</w:t>
            </w:r>
          </w:p>
        </w:tc>
        <w:tc>
          <w:tcPr>
            <w:tcW w:w="501" w:type="pct"/>
            <w:tcBorders>
              <w:top w:val="single" w:sz="4" w:space="0" w:color="auto"/>
              <w:left w:val="nil"/>
              <w:bottom w:val="single" w:sz="4" w:space="0" w:color="auto"/>
              <w:right w:val="nil"/>
            </w:tcBorders>
            <w:shd w:val="clear" w:color="000000" w:fill="FABF8F"/>
            <w:noWrap/>
            <w:vAlign w:val="center"/>
            <w:hideMark/>
          </w:tcPr>
          <w:p w:rsidR="008F15CC" w:rsidRPr="005A760B" w:rsidRDefault="008F15CC" w:rsidP="00D75699">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Estado</w:t>
            </w:r>
          </w:p>
        </w:tc>
        <w:tc>
          <w:tcPr>
            <w:tcW w:w="544" w:type="pct"/>
            <w:tcBorders>
              <w:top w:val="single" w:sz="4" w:space="0" w:color="auto"/>
              <w:left w:val="nil"/>
              <w:bottom w:val="single" w:sz="4" w:space="0" w:color="auto"/>
              <w:right w:val="nil"/>
            </w:tcBorders>
            <w:shd w:val="clear" w:color="000000" w:fill="FABF8F"/>
            <w:vAlign w:val="center"/>
            <w:hideMark/>
          </w:tcPr>
          <w:p w:rsidR="008F15CC" w:rsidRPr="005A760B" w:rsidRDefault="008F15CC" w:rsidP="008F15CC">
            <w:pPr>
              <w:spacing w:after="0"/>
              <w:ind w:firstLine="0"/>
              <w:jc w:val="center"/>
              <w:rPr>
                <w:rFonts w:ascii="Arial Narrow" w:hAnsi="Arial Narrow" w:cs="Arial"/>
                <w:strike/>
                <w:szCs w:val="18"/>
                <w:lang w:val="es-ES" w:eastAsia="es-ES"/>
              </w:rPr>
            </w:pPr>
            <w:r w:rsidRPr="005A760B">
              <w:rPr>
                <w:rFonts w:ascii="Arial Narrow" w:hAnsi="Arial Narrow" w:cs="Arial"/>
                <w:szCs w:val="18"/>
                <w:lang w:val="es-ES" w:eastAsia="es-ES"/>
              </w:rPr>
              <w:t>% Var. Navarra-Estado</w:t>
            </w:r>
          </w:p>
        </w:tc>
        <w:tc>
          <w:tcPr>
            <w:tcW w:w="544" w:type="pct"/>
            <w:vAlign w:val="center"/>
          </w:tcPr>
          <w:p w:rsidR="008F15CC" w:rsidRPr="005A760B" w:rsidRDefault="008F15CC" w:rsidP="008F15CC">
            <w:pPr>
              <w:spacing w:after="0"/>
              <w:ind w:firstLine="0"/>
              <w:jc w:val="right"/>
              <w:rPr>
                <w:rFonts w:ascii="Arial Narrow" w:hAnsi="Arial Narrow" w:cs="Arial"/>
                <w:strike/>
                <w:szCs w:val="18"/>
                <w:lang w:val="es-ES" w:eastAsia="es-ES"/>
              </w:rPr>
            </w:pPr>
          </w:p>
        </w:tc>
        <w:tc>
          <w:tcPr>
            <w:tcW w:w="544" w:type="pct"/>
            <w:vAlign w:val="center"/>
          </w:tcPr>
          <w:p w:rsidR="008F15CC" w:rsidRPr="005A760B" w:rsidRDefault="008F15CC" w:rsidP="008F15CC">
            <w:pPr>
              <w:spacing w:after="0"/>
              <w:ind w:firstLine="0"/>
              <w:jc w:val="right"/>
              <w:rPr>
                <w:rFonts w:ascii="Arial Narrow" w:hAnsi="Arial Narrow" w:cs="Arial"/>
                <w:strike/>
                <w:szCs w:val="18"/>
                <w:lang w:val="es-ES" w:eastAsia="es-ES"/>
              </w:rPr>
            </w:pPr>
            <w:r w:rsidRPr="005A760B">
              <w:rPr>
                <w:rFonts w:ascii="Arial Narrow" w:hAnsi="Arial Narrow" w:cs="Arial"/>
                <w:strike/>
                <w:szCs w:val="18"/>
                <w:lang w:val="es-ES" w:eastAsia="es-ES"/>
              </w:rPr>
              <w:t>83</w:t>
            </w:r>
          </w:p>
        </w:tc>
        <w:tc>
          <w:tcPr>
            <w:tcW w:w="542" w:type="pct"/>
            <w:vAlign w:val="center"/>
          </w:tcPr>
          <w:p w:rsidR="008F15CC" w:rsidRPr="005A760B" w:rsidRDefault="008F15CC" w:rsidP="008F15CC">
            <w:pPr>
              <w:spacing w:after="0"/>
              <w:ind w:firstLine="0"/>
              <w:jc w:val="right"/>
              <w:rPr>
                <w:rFonts w:ascii="Arial Narrow" w:hAnsi="Arial Narrow" w:cs="Arial"/>
                <w:strike/>
                <w:szCs w:val="18"/>
                <w:lang w:val="es-ES" w:eastAsia="es-ES"/>
              </w:rPr>
            </w:pPr>
            <w:r w:rsidRPr="005A760B">
              <w:rPr>
                <w:rFonts w:ascii="Arial Narrow" w:hAnsi="Arial Narrow" w:cs="Arial"/>
                <w:strike/>
                <w:szCs w:val="18"/>
                <w:lang w:val="es-ES" w:eastAsia="es-ES"/>
              </w:rPr>
              <w:t>32</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vAlign w:val="center"/>
            <w:hideMark/>
          </w:tcPr>
          <w:p w:rsidR="008F15CC" w:rsidRPr="005A760B" w:rsidRDefault="008F15CC" w:rsidP="008F15CC">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Gastos totales (por habitante)</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1.151</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1.075</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7</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vAlign w:val="center"/>
            <w:hideMark/>
          </w:tcPr>
          <w:p w:rsidR="008F15CC" w:rsidRPr="005A760B" w:rsidRDefault="008F15CC" w:rsidP="008F15CC">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Gastos de funcionamiento (por habitante)</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861</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763</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11</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vAlign w:val="center"/>
            <w:hideMark/>
          </w:tcPr>
          <w:p w:rsidR="008F15CC" w:rsidRPr="005A760B" w:rsidRDefault="008F15CC" w:rsidP="008F15CC">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Gastos corriente (por habitante)</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864</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821</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5</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Cumplimiento pagos %</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92</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93</w:t>
            </w:r>
          </w:p>
        </w:tc>
        <w:tc>
          <w:tcPr>
            <w:tcW w:w="544" w:type="pct"/>
            <w:tcBorders>
              <w:top w:val="nil"/>
              <w:left w:val="nil"/>
              <w:bottom w:val="single" w:sz="4" w:space="0" w:color="auto"/>
              <w:right w:val="nil"/>
            </w:tcBorders>
            <w:shd w:val="clear" w:color="auto" w:fill="auto"/>
            <w:noWrap/>
            <w:vAlign w:val="center"/>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D3658" w:rsidP="008F15CC">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Índice</w:t>
            </w:r>
            <w:r w:rsidR="008F15CC" w:rsidRPr="005A760B">
              <w:rPr>
                <w:rFonts w:ascii="Arial Narrow" w:hAnsi="Arial Narrow" w:cs="Arial"/>
                <w:szCs w:val="18"/>
                <w:lang w:val="es-ES" w:eastAsia="es-ES"/>
              </w:rPr>
              <w:t xml:space="preserve"> inversión %</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20</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20</w:t>
            </w:r>
          </w:p>
        </w:tc>
        <w:tc>
          <w:tcPr>
            <w:tcW w:w="544" w:type="pct"/>
            <w:tcBorders>
              <w:top w:val="nil"/>
              <w:left w:val="nil"/>
              <w:bottom w:val="single" w:sz="4" w:space="0" w:color="auto"/>
              <w:right w:val="nil"/>
            </w:tcBorders>
            <w:shd w:val="clear" w:color="auto" w:fill="auto"/>
            <w:noWrap/>
            <w:vAlign w:val="center"/>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D3658" w:rsidP="008F15CC">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Índice</w:t>
            </w:r>
            <w:r w:rsidR="008F15CC" w:rsidRPr="005A760B">
              <w:rPr>
                <w:rFonts w:ascii="Arial Narrow" w:hAnsi="Arial Narrow" w:cs="Arial"/>
                <w:szCs w:val="18"/>
                <w:lang w:val="es-ES" w:eastAsia="es-ES"/>
              </w:rPr>
              <w:t xml:space="preserve"> personal %</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30</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34</w:t>
            </w:r>
          </w:p>
        </w:tc>
        <w:tc>
          <w:tcPr>
            <w:tcW w:w="544" w:type="pct"/>
            <w:tcBorders>
              <w:top w:val="nil"/>
              <w:left w:val="nil"/>
              <w:bottom w:val="single" w:sz="4" w:space="0" w:color="auto"/>
              <w:right w:val="nil"/>
            </w:tcBorders>
            <w:shd w:val="clear" w:color="auto" w:fill="auto"/>
            <w:noWrap/>
            <w:vAlign w:val="center"/>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Ingresos totales</w:t>
            </w:r>
            <w:r w:rsidR="00D75699" w:rsidRPr="005A760B">
              <w:rPr>
                <w:rFonts w:ascii="Arial Narrow" w:hAnsi="Arial Narrow" w:cs="Arial"/>
                <w:szCs w:val="18"/>
                <w:lang w:val="es-ES" w:eastAsia="es-ES"/>
              </w:rPr>
              <w:t xml:space="preserve"> </w:t>
            </w:r>
            <w:r w:rsidRPr="005A760B">
              <w:rPr>
                <w:rFonts w:ascii="Arial Narrow" w:hAnsi="Arial Narrow" w:cs="Arial"/>
                <w:szCs w:val="18"/>
                <w:lang w:val="es-ES" w:eastAsia="es-ES"/>
              </w:rPr>
              <w:t>(por habitante)</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1.274</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1.158</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9</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Ingresos tributarios</w:t>
            </w:r>
            <w:r w:rsidR="00D75699" w:rsidRPr="005A760B">
              <w:rPr>
                <w:rFonts w:ascii="Arial Narrow" w:hAnsi="Arial Narrow" w:cs="Arial"/>
                <w:szCs w:val="18"/>
                <w:lang w:val="es-ES" w:eastAsia="es-ES"/>
              </w:rPr>
              <w:t xml:space="preserve"> </w:t>
            </w:r>
            <w:r w:rsidRPr="005A760B">
              <w:rPr>
                <w:rFonts w:ascii="Arial Narrow" w:hAnsi="Arial Narrow" w:cs="Arial"/>
                <w:szCs w:val="18"/>
                <w:lang w:val="es-ES" w:eastAsia="es-ES"/>
              </w:rPr>
              <w:t>(por habitante)</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547</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546</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0</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Ingresos corrientes</w:t>
            </w:r>
            <w:r w:rsidR="00D75699" w:rsidRPr="005A760B">
              <w:rPr>
                <w:rFonts w:ascii="Arial Narrow" w:hAnsi="Arial Narrow" w:cs="Arial"/>
                <w:szCs w:val="18"/>
                <w:lang w:val="es-ES" w:eastAsia="es-ES"/>
              </w:rPr>
              <w:t xml:space="preserve"> </w:t>
            </w:r>
            <w:r w:rsidRPr="005A760B">
              <w:rPr>
                <w:rFonts w:ascii="Arial Narrow" w:hAnsi="Arial Narrow" w:cs="Arial"/>
                <w:szCs w:val="18"/>
                <w:lang w:val="es-ES" w:eastAsia="es-ES"/>
              </w:rPr>
              <w:t>(por habitante)</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1.081</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1.019</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6</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Cumplimiento cobros %</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90</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86</w:t>
            </w:r>
          </w:p>
        </w:tc>
        <w:tc>
          <w:tcPr>
            <w:tcW w:w="544" w:type="pct"/>
            <w:tcBorders>
              <w:top w:val="nil"/>
              <w:left w:val="nil"/>
              <w:bottom w:val="single" w:sz="4" w:space="0" w:color="auto"/>
              <w:right w:val="nil"/>
            </w:tcBorders>
            <w:shd w:val="clear" w:color="auto" w:fill="auto"/>
            <w:noWrap/>
            <w:vAlign w:val="center"/>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Dependencia transferencias corrientes %</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39</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37</w:t>
            </w:r>
          </w:p>
        </w:tc>
        <w:tc>
          <w:tcPr>
            <w:tcW w:w="544" w:type="pct"/>
            <w:tcBorders>
              <w:top w:val="nil"/>
              <w:left w:val="nil"/>
              <w:bottom w:val="single" w:sz="4" w:space="0" w:color="auto"/>
              <w:right w:val="nil"/>
            </w:tcBorders>
            <w:shd w:val="clear" w:color="auto" w:fill="auto"/>
            <w:noWrap/>
            <w:vAlign w:val="center"/>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Ahorro bruto</w:t>
            </w:r>
            <w:r w:rsidR="00D75699" w:rsidRPr="005A760B">
              <w:rPr>
                <w:rFonts w:ascii="Arial Narrow" w:hAnsi="Arial Narrow" w:cs="Arial"/>
                <w:szCs w:val="18"/>
                <w:lang w:val="es-ES" w:eastAsia="es-ES"/>
              </w:rPr>
              <w:t xml:space="preserve"> </w:t>
            </w:r>
            <w:r w:rsidRPr="005A760B">
              <w:rPr>
                <w:rFonts w:ascii="Arial Narrow" w:hAnsi="Arial Narrow" w:cs="Arial"/>
                <w:szCs w:val="18"/>
                <w:lang w:val="es-ES" w:eastAsia="es-ES"/>
              </w:rPr>
              <w:t>(por habitante)</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220</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203</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8</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Carga financiera</w:t>
            </w:r>
            <w:r w:rsidR="00D75699" w:rsidRPr="005A760B">
              <w:rPr>
                <w:rFonts w:ascii="Arial Narrow" w:hAnsi="Arial Narrow" w:cs="Arial"/>
                <w:szCs w:val="18"/>
                <w:lang w:val="es-ES" w:eastAsia="es-ES"/>
              </w:rPr>
              <w:t xml:space="preserve"> </w:t>
            </w:r>
            <w:r w:rsidRPr="005A760B">
              <w:rPr>
                <w:rFonts w:ascii="Arial Narrow" w:hAnsi="Arial Narrow" w:cs="Arial"/>
                <w:szCs w:val="18"/>
                <w:lang w:val="es-ES" w:eastAsia="es-ES"/>
              </w:rPr>
              <w:t>(por habitante)</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58</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47</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20</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Ahorro neto</w:t>
            </w:r>
            <w:r w:rsidR="00D75699" w:rsidRPr="005A760B">
              <w:rPr>
                <w:rFonts w:ascii="Arial Narrow" w:hAnsi="Arial Narrow" w:cs="Arial"/>
                <w:szCs w:val="18"/>
                <w:lang w:val="es-ES" w:eastAsia="es-ES"/>
              </w:rPr>
              <w:t xml:space="preserve"> </w:t>
            </w:r>
            <w:r w:rsidRPr="005A760B">
              <w:rPr>
                <w:rFonts w:ascii="Arial Narrow" w:hAnsi="Arial Narrow" w:cs="Arial"/>
                <w:szCs w:val="18"/>
                <w:lang w:val="es-ES" w:eastAsia="es-ES"/>
              </w:rPr>
              <w:t>(por habitante)</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161</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156</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3</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D3658" w:rsidP="008F15CC">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Índice</w:t>
            </w:r>
            <w:r w:rsidR="008F15CC" w:rsidRPr="005A760B">
              <w:rPr>
                <w:rFonts w:ascii="Arial Narrow" w:hAnsi="Arial Narrow" w:cs="Arial"/>
                <w:szCs w:val="18"/>
                <w:lang w:val="es-ES" w:eastAsia="es-ES"/>
              </w:rPr>
              <w:t xml:space="preserve"> de carga financiera %</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5</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5</w:t>
            </w:r>
          </w:p>
        </w:tc>
        <w:tc>
          <w:tcPr>
            <w:tcW w:w="544" w:type="pct"/>
            <w:tcBorders>
              <w:top w:val="nil"/>
              <w:left w:val="nil"/>
              <w:bottom w:val="single" w:sz="4" w:space="0" w:color="auto"/>
              <w:right w:val="nil"/>
            </w:tcBorders>
            <w:shd w:val="clear" w:color="auto" w:fill="auto"/>
            <w:noWrap/>
            <w:vAlign w:val="center"/>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Capacidad de endeudamiento %</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15</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16</w:t>
            </w:r>
          </w:p>
        </w:tc>
        <w:tc>
          <w:tcPr>
            <w:tcW w:w="544" w:type="pct"/>
            <w:tcBorders>
              <w:top w:val="nil"/>
              <w:left w:val="nil"/>
              <w:bottom w:val="single" w:sz="4" w:space="0" w:color="auto"/>
              <w:right w:val="nil"/>
            </w:tcBorders>
            <w:shd w:val="clear" w:color="auto" w:fill="auto"/>
            <w:noWrap/>
            <w:vAlign w:val="center"/>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D75699">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 xml:space="preserve">Porcentaje ahorro bruto/ingresos </w:t>
            </w:r>
            <w:r w:rsidR="00D75699" w:rsidRPr="005A760B">
              <w:rPr>
                <w:rFonts w:ascii="Arial Narrow" w:hAnsi="Arial Narrow" w:cs="Arial"/>
                <w:szCs w:val="18"/>
                <w:lang w:val="es-ES" w:eastAsia="es-ES"/>
              </w:rPr>
              <w:t>corrientes</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20</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20</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2</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Deuda viva</w:t>
            </w:r>
            <w:r w:rsidR="00D75699" w:rsidRPr="005A760B">
              <w:rPr>
                <w:rFonts w:ascii="Arial Narrow" w:hAnsi="Arial Narrow" w:cs="Arial"/>
                <w:szCs w:val="18"/>
                <w:lang w:val="es-ES" w:eastAsia="es-ES"/>
              </w:rPr>
              <w:t xml:space="preserve"> </w:t>
            </w:r>
            <w:r w:rsidRPr="005A760B">
              <w:rPr>
                <w:rFonts w:ascii="Arial Narrow" w:hAnsi="Arial Narrow" w:cs="Arial"/>
                <w:szCs w:val="18"/>
                <w:lang w:val="es-ES" w:eastAsia="es-ES"/>
              </w:rPr>
              <w:t>(por habitante)</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339</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239</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30</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Saldo no financiero</w:t>
            </w:r>
            <w:r w:rsidR="00D75699" w:rsidRPr="005A760B">
              <w:rPr>
                <w:rFonts w:ascii="Arial Narrow" w:hAnsi="Arial Narrow" w:cs="Arial"/>
                <w:szCs w:val="18"/>
                <w:lang w:val="es-ES" w:eastAsia="es-ES"/>
              </w:rPr>
              <w:t xml:space="preserve"> (por habitante</w:t>
            </w:r>
            <w:r w:rsidRPr="005A760B">
              <w:rPr>
                <w:rFonts w:ascii="Arial Narrow" w:hAnsi="Arial Narrow" w:cs="Arial"/>
                <w:szCs w:val="18"/>
                <w:lang w:val="es-ES" w:eastAsia="es-ES"/>
              </w:rPr>
              <w:t>)</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160</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110</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31</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Saldo financiero</w:t>
            </w:r>
            <w:r w:rsidR="00D75699" w:rsidRPr="005A760B">
              <w:rPr>
                <w:rFonts w:ascii="Arial Narrow" w:hAnsi="Arial Narrow" w:cs="Arial"/>
                <w:szCs w:val="18"/>
                <w:lang w:val="es-ES" w:eastAsia="es-ES"/>
              </w:rPr>
              <w:t xml:space="preserve">  </w:t>
            </w:r>
            <w:r w:rsidRPr="005A760B">
              <w:rPr>
                <w:rFonts w:ascii="Arial Narrow" w:hAnsi="Arial Narrow" w:cs="Arial"/>
                <w:szCs w:val="18"/>
                <w:lang w:val="es-ES" w:eastAsia="es-ES"/>
              </w:rPr>
              <w:t>(por habitante)</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-37</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-27</w:t>
            </w:r>
          </w:p>
        </w:tc>
        <w:tc>
          <w:tcPr>
            <w:tcW w:w="544"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27</w:t>
            </w:r>
          </w:p>
        </w:tc>
      </w:tr>
      <w:tr w:rsidR="00B81E61" w:rsidRPr="005A760B" w:rsidTr="00D75699">
        <w:trPr>
          <w:gridAfter w:val="3"/>
          <w:wAfter w:w="1630" w:type="pct"/>
          <w:trHeight w:val="252"/>
        </w:trPr>
        <w:tc>
          <w:tcPr>
            <w:tcW w:w="2050"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left"/>
              <w:rPr>
                <w:rFonts w:ascii="Arial Narrow" w:hAnsi="Arial Narrow" w:cs="Arial"/>
                <w:szCs w:val="18"/>
                <w:lang w:val="es-ES" w:eastAsia="es-ES"/>
              </w:rPr>
            </w:pPr>
            <w:r w:rsidRPr="005A760B">
              <w:rPr>
                <w:rFonts w:ascii="Arial Narrow" w:hAnsi="Arial Narrow" w:cs="Arial"/>
                <w:szCs w:val="18"/>
                <w:lang w:val="es-ES" w:eastAsia="es-ES"/>
              </w:rPr>
              <w:t>Nivel de endeudamiento %</w:t>
            </w:r>
          </w:p>
        </w:tc>
        <w:tc>
          <w:tcPr>
            <w:tcW w:w="276"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32</w:t>
            </w:r>
          </w:p>
        </w:tc>
        <w:tc>
          <w:tcPr>
            <w:tcW w:w="501" w:type="pct"/>
            <w:tcBorders>
              <w:top w:val="nil"/>
              <w:left w:val="nil"/>
              <w:bottom w:val="single" w:sz="4" w:space="0" w:color="auto"/>
              <w:right w:val="nil"/>
            </w:tcBorders>
            <w:shd w:val="clear" w:color="auto" w:fill="auto"/>
            <w:noWrap/>
            <w:vAlign w:val="center"/>
            <w:hideMark/>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23</w:t>
            </w:r>
          </w:p>
        </w:tc>
        <w:tc>
          <w:tcPr>
            <w:tcW w:w="544" w:type="pct"/>
            <w:tcBorders>
              <w:top w:val="nil"/>
              <w:left w:val="nil"/>
              <w:bottom w:val="single" w:sz="4" w:space="0" w:color="auto"/>
              <w:right w:val="nil"/>
            </w:tcBorders>
            <w:shd w:val="clear" w:color="auto" w:fill="auto"/>
            <w:noWrap/>
            <w:vAlign w:val="center"/>
          </w:tcPr>
          <w:p w:rsidR="008F15CC" w:rsidRPr="005A760B" w:rsidRDefault="008F15CC" w:rsidP="008F15CC">
            <w:pPr>
              <w:spacing w:after="0"/>
              <w:ind w:firstLine="0"/>
              <w:jc w:val="right"/>
              <w:rPr>
                <w:rFonts w:ascii="Arial Narrow" w:hAnsi="Arial Narrow" w:cs="Arial"/>
                <w:szCs w:val="18"/>
                <w:lang w:val="es-ES" w:eastAsia="es-ES"/>
              </w:rPr>
            </w:pPr>
            <w:r w:rsidRPr="005A760B">
              <w:rPr>
                <w:rFonts w:ascii="Arial Narrow" w:hAnsi="Arial Narrow" w:cs="Arial"/>
                <w:szCs w:val="18"/>
                <w:lang w:val="es-ES" w:eastAsia="es-ES"/>
              </w:rPr>
              <w:t>-</w:t>
            </w:r>
          </w:p>
        </w:tc>
      </w:tr>
    </w:tbl>
    <w:p w:rsidR="001049D6" w:rsidRPr="005A760B" w:rsidRDefault="001049D6" w:rsidP="0045127C">
      <w:pPr>
        <w:pStyle w:val="texto"/>
        <w:spacing w:before="240"/>
      </w:pPr>
      <w:bookmarkStart w:id="88" w:name="_Toc52348307"/>
      <w:r w:rsidRPr="005A760B">
        <w:t>De este estrato de población destacamos:</w:t>
      </w:r>
      <w:bookmarkEnd w:id="88"/>
    </w:p>
    <w:p w:rsidR="001049D6" w:rsidRPr="005A760B" w:rsidRDefault="001049D6" w:rsidP="00BE47E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bookmarkStart w:id="89" w:name="_Toc52348308"/>
      <w:r w:rsidRPr="005A760B">
        <w:t xml:space="preserve">En este tramo tenemos un total de 62 ayuntamientos en Navarra, si bien cuatro </w:t>
      </w:r>
      <w:r w:rsidRPr="005A760B">
        <w:rPr>
          <w:rFonts w:cs="Arial"/>
        </w:rPr>
        <w:t>de ellos no han rendido cuentas.</w:t>
      </w:r>
      <w:bookmarkEnd w:id="89"/>
    </w:p>
    <w:p w:rsidR="001049D6" w:rsidRPr="005A760B" w:rsidRDefault="001049D6" w:rsidP="00BE47E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bookmarkStart w:id="90" w:name="_Toc52348309"/>
      <w:r w:rsidRPr="005A760B">
        <w:rPr>
          <w:rFonts w:cs="Arial"/>
        </w:rPr>
        <w:t xml:space="preserve">El volumen de gasto por habitante es superior en Navarra, especialmente los gastos de funcionamiento. Los ingresos totales por habitante también son superiores en </w:t>
      </w:r>
      <w:r w:rsidR="0066202A" w:rsidRPr="005A760B">
        <w:rPr>
          <w:rFonts w:cs="Arial"/>
        </w:rPr>
        <w:t>los municipios navarros</w:t>
      </w:r>
      <w:r w:rsidRPr="005A760B">
        <w:rPr>
          <w:rFonts w:cs="Arial"/>
        </w:rPr>
        <w:t xml:space="preserve"> si bien los ingresos tributarios son </w:t>
      </w:r>
      <w:bookmarkEnd w:id="90"/>
      <w:r w:rsidR="0066202A" w:rsidRPr="005A760B">
        <w:rPr>
          <w:rFonts w:cs="Arial"/>
        </w:rPr>
        <w:t>prá</w:t>
      </w:r>
      <w:r w:rsidR="0066202A" w:rsidRPr="005A760B">
        <w:rPr>
          <w:rFonts w:cs="Arial"/>
        </w:rPr>
        <w:t>c</w:t>
      </w:r>
      <w:r w:rsidR="0066202A" w:rsidRPr="005A760B">
        <w:rPr>
          <w:rFonts w:cs="Arial"/>
        </w:rPr>
        <w:t xml:space="preserve">ticamente iguales que en los estatales. </w:t>
      </w:r>
    </w:p>
    <w:p w:rsidR="001049D6" w:rsidRPr="005A760B" w:rsidRDefault="001049D6" w:rsidP="00BE47E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bookmarkStart w:id="91" w:name="_Toc52348310"/>
      <w:r w:rsidRPr="005A760B">
        <w:rPr>
          <w:rFonts w:cs="Arial"/>
        </w:rPr>
        <w:t xml:space="preserve">El índice de inversión es </w:t>
      </w:r>
      <w:r w:rsidR="0066202A" w:rsidRPr="005A760B">
        <w:rPr>
          <w:rFonts w:cs="Arial"/>
        </w:rPr>
        <w:t>igual en Navarra y Estado</w:t>
      </w:r>
      <w:r w:rsidRPr="005A760B">
        <w:rPr>
          <w:rFonts w:cs="Arial"/>
        </w:rPr>
        <w:t xml:space="preserve"> mientras que el índice de personal es inferior al estatal.</w:t>
      </w:r>
      <w:bookmarkEnd w:id="91"/>
      <w:r w:rsidRPr="005A760B">
        <w:rPr>
          <w:rFonts w:cs="Arial"/>
        </w:rPr>
        <w:t xml:space="preserve"> </w:t>
      </w:r>
    </w:p>
    <w:p w:rsidR="001049D6" w:rsidRPr="005A760B" w:rsidRDefault="001049D6" w:rsidP="00BE47E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pPr>
      <w:r w:rsidRPr="005A760B">
        <w:rPr>
          <w:rFonts w:cs="Arial"/>
        </w:rPr>
        <w:t xml:space="preserve">La deuda viva por habitante en los municipios navarros es de 339 euros, un 30 por ciento superior a la del resto de municipios del Estado. Sin embargo, en </w:t>
      </w:r>
      <w:r w:rsidR="0082447C" w:rsidRPr="005A760B">
        <w:rPr>
          <w:rFonts w:cs="Arial"/>
        </w:rPr>
        <w:t>Navarra se obtienen un ahorro</w:t>
      </w:r>
      <w:r w:rsidRPr="005A760B">
        <w:rPr>
          <w:rFonts w:cs="Arial"/>
        </w:rPr>
        <w:t xml:space="preserve"> bruto y neto per cápita más </w:t>
      </w:r>
      <w:r w:rsidR="0082447C" w:rsidRPr="005A760B">
        <w:rPr>
          <w:rFonts w:cs="Arial"/>
        </w:rPr>
        <w:t>elevado</w:t>
      </w:r>
      <w:r w:rsidRPr="005A760B">
        <w:rPr>
          <w:rFonts w:cs="Arial"/>
        </w:rPr>
        <w:t xml:space="preserve">, </w:t>
      </w:r>
      <w:r w:rsidR="00657850" w:rsidRPr="005A760B">
        <w:t xml:space="preserve">un </w:t>
      </w:r>
      <w:r w:rsidR="004132AB" w:rsidRPr="005A760B">
        <w:t xml:space="preserve">ocho y </w:t>
      </w:r>
      <w:r w:rsidR="00657850" w:rsidRPr="005A760B">
        <w:t xml:space="preserve">un </w:t>
      </w:r>
      <w:r w:rsidR="004132AB" w:rsidRPr="005A760B">
        <w:t>tres</w:t>
      </w:r>
      <w:r w:rsidRPr="005A760B">
        <w:t xml:space="preserve"> por ciento respectivamente.</w:t>
      </w:r>
    </w:p>
    <w:p w:rsidR="001049D6" w:rsidRPr="005A760B" w:rsidRDefault="001049D6" w:rsidP="00BE47E4">
      <w:pPr>
        <w:pStyle w:val="texto"/>
      </w:pPr>
      <w:r w:rsidRPr="005A760B">
        <w:t xml:space="preserve">El nivel de endeudamiento se sitúa para los municipios navarros en el 32 por ciento frente al 23 por ciento en el Estado. </w:t>
      </w:r>
    </w:p>
    <w:p w:rsidR="005E6498" w:rsidRPr="00E703F0" w:rsidRDefault="005E6498" w:rsidP="00E703F0">
      <w:pPr>
        <w:pStyle w:val="Prrafodelista"/>
        <w:numPr>
          <w:ilvl w:val="0"/>
          <w:numId w:val="24"/>
        </w:numPr>
        <w:spacing w:before="240" w:after="300"/>
        <w:ind w:left="641" w:hanging="357"/>
        <w:rPr>
          <w:rStyle w:val="textoCar"/>
          <w:rFonts w:ascii="Arial" w:hAnsi="Arial" w:cs="Arial"/>
          <w:i/>
          <w:sz w:val="25"/>
          <w:szCs w:val="25"/>
        </w:rPr>
      </w:pPr>
      <w:bookmarkStart w:id="92" w:name="_Toc52348313"/>
      <w:r w:rsidRPr="00E703F0">
        <w:rPr>
          <w:rStyle w:val="textoCar"/>
          <w:rFonts w:ascii="Arial" w:hAnsi="Arial" w:cs="Arial"/>
          <w:i/>
          <w:sz w:val="25"/>
          <w:szCs w:val="25"/>
        </w:rPr>
        <w:t>Ayuntamientos con población entre 5.001 y 50.000 habitantes</w:t>
      </w:r>
    </w:p>
    <w:tbl>
      <w:tblPr>
        <w:tblW w:w="5000" w:type="pct"/>
        <w:tblCellMar>
          <w:left w:w="70" w:type="dxa"/>
          <w:right w:w="70" w:type="dxa"/>
        </w:tblCellMar>
        <w:tblLook w:val="04A0" w:firstRow="1" w:lastRow="0" w:firstColumn="1" w:lastColumn="0" w:noHBand="0" w:noVBand="1"/>
      </w:tblPr>
      <w:tblGrid>
        <w:gridCol w:w="4998"/>
        <w:gridCol w:w="1327"/>
        <w:gridCol w:w="1327"/>
        <w:gridCol w:w="1277"/>
      </w:tblGrid>
      <w:tr w:rsidR="00B81E61" w:rsidRPr="005A760B" w:rsidTr="0066202A">
        <w:trPr>
          <w:trHeight w:val="510"/>
        </w:trPr>
        <w:tc>
          <w:tcPr>
            <w:tcW w:w="2799" w:type="pct"/>
            <w:tcBorders>
              <w:top w:val="single" w:sz="4" w:space="0" w:color="auto"/>
              <w:left w:val="nil"/>
              <w:bottom w:val="single" w:sz="4" w:space="0" w:color="auto"/>
              <w:right w:val="nil"/>
            </w:tcBorders>
            <w:shd w:val="clear" w:color="000000" w:fill="FABF8F"/>
            <w:noWrap/>
            <w:vAlign w:val="center"/>
            <w:hideMark/>
          </w:tcPr>
          <w:p w:rsidR="0066202A" w:rsidRPr="005A760B" w:rsidRDefault="0066202A" w:rsidP="0066202A">
            <w:pPr>
              <w:spacing w:after="0"/>
              <w:ind w:firstLine="0"/>
              <w:jc w:val="left"/>
              <w:rPr>
                <w:rFonts w:ascii="Arial Narrow" w:hAnsi="Arial Narrow" w:cs="Arial"/>
                <w:lang w:val="es-ES" w:eastAsia="es-ES"/>
              </w:rPr>
            </w:pPr>
            <w:r w:rsidRPr="005A760B">
              <w:rPr>
                <w:rFonts w:ascii="Arial Narrow" w:hAnsi="Arial Narrow" w:cs="Arial"/>
                <w:lang w:val="es-ES" w:eastAsia="es-ES"/>
              </w:rPr>
              <w:t>Indicador</w:t>
            </w:r>
          </w:p>
        </w:tc>
        <w:tc>
          <w:tcPr>
            <w:tcW w:w="743" w:type="pct"/>
            <w:tcBorders>
              <w:top w:val="single" w:sz="4" w:space="0" w:color="auto"/>
              <w:left w:val="nil"/>
              <w:bottom w:val="single" w:sz="4" w:space="0" w:color="auto"/>
              <w:right w:val="nil"/>
            </w:tcBorders>
            <w:shd w:val="clear" w:color="000000" w:fill="FABF8F"/>
            <w:noWrap/>
            <w:vAlign w:val="center"/>
            <w:hideMark/>
          </w:tcPr>
          <w:p w:rsidR="0066202A" w:rsidRPr="005A760B" w:rsidRDefault="0066202A" w:rsidP="00D75699">
            <w:pPr>
              <w:spacing w:after="0"/>
              <w:ind w:firstLine="0"/>
              <w:jc w:val="right"/>
              <w:rPr>
                <w:rFonts w:ascii="Arial Narrow" w:hAnsi="Arial Narrow" w:cs="Arial"/>
                <w:lang w:val="es-ES" w:eastAsia="es-ES"/>
              </w:rPr>
            </w:pPr>
            <w:r w:rsidRPr="005A760B">
              <w:rPr>
                <w:rFonts w:ascii="Arial Narrow" w:hAnsi="Arial Narrow" w:cs="Arial"/>
                <w:lang w:val="es-ES" w:eastAsia="es-ES"/>
              </w:rPr>
              <w:t>Navarra</w:t>
            </w:r>
          </w:p>
        </w:tc>
        <w:tc>
          <w:tcPr>
            <w:tcW w:w="743" w:type="pct"/>
            <w:tcBorders>
              <w:top w:val="single" w:sz="4" w:space="0" w:color="auto"/>
              <w:left w:val="nil"/>
              <w:bottom w:val="single" w:sz="4" w:space="0" w:color="auto"/>
              <w:right w:val="nil"/>
            </w:tcBorders>
            <w:shd w:val="clear" w:color="000000" w:fill="FABF8F"/>
            <w:noWrap/>
            <w:vAlign w:val="center"/>
            <w:hideMark/>
          </w:tcPr>
          <w:p w:rsidR="0066202A" w:rsidRPr="005A760B" w:rsidRDefault="0066202A" w:rsidP="00D75699">
            <w:pPr>
              <w:spacing w:after="0"/>
              <w:ind w:firstLine="0"/>
              <w:jc w:val="right"/>
              <w:rPr>
                <w:rFonts w:ascii="Arial Narrow" w:hAnsi="Arial Narrow" w:cs="Arial"/>
                <w:lang w:val="es-ES" w:eastAsia="es-ES"/>
              </w:rPr>
            </w:pPr>
            <w:r w:rsidRPr="005A760B">
              <w:rPr>
                <w:rFonts w:ascii="Arial Narrow" w:hAnsi="Arial Narrow" w:cs="Arial"/>
                <w:lang w:val="es-ES" w:eastAsia="es-ES"/>
              </w:rPr>
              <w:t>Estado</w:t>
            </w:r>
          </w:p>
        </w:tc>
        <w:tc>
          <w:tcPr>
            <w:tcW w:w="715" w:type="pct"/>
            <w:tcBorders>
              <w:top w:val="single" w:sz="4" w:space="0" w:color="auto"/>
              <w:left w:val="nil"/>
              <w:bottom w:val="single" w:sz="4" w:space="0" w:color="auto"/>
              <w:right w:val="nil"/>
            </w:tcBorders>
            <w:shd w:val="clear" w:color="000000" w:fill="FABF8F"/>
            <w:vAlign w:val="center"/>
            <w:hideMark/>
          </w:tcPr>
          <w:p w:rsidR="0066202A" w:rsidRPr="005A760B" w:rsidRDefault="00D75699" w:rsidP="0066202A">
            <w:pPr>
              <w:spacing w:after="0"/>
              <w:ind w:firstLine="0"/>
              <w:jc w:val="center"/>
              <w:rPr>
                <w:rFonts w:ascii="Arial Narrow" w:hAnsi="Arial Narrow" w:cs="Arial"/>
                <w:lang w:val="es-ES" w:eastAsia="es-ES"/>
              </w:rPr>
            </w:pPr>
            <w:r w:rsidRPr="005A760B">
              <w:rPr>
                <w:rFonts w:ascii="Arial Narrow" w:hAnsi="Arial Narrow" w:cs="Arial"/>
                <w:szCs w:val="18"/>
                <w:lang w:val="es-ES" w:eastAsia="es-ES"/>
              </w:rPr>
              <w:t>% Var. Nav</w:t>
            </w:r>
            <w:r w:rsidRPr="005A760B">
              <w:rPr>
                <w:rFonts w:ascii="Arial Narrow" w:hAnsi="Arial Narrow" w:cs="Arial"/>
                <w:szCs w:val="18"/>
                <w:lang w:val="es-ES" w:eastAsia="es-ES"/>
              </w:rPr>
              <w:t>a</w:t>
            </w:r>
            <w:r w:rsidRPr="005A760B">
              <w:rPr>
                <w:rFonts w:ascii="Arial Narrow" w:hAnsi="Arial Narrow" w:cs="Arial"/>
                <w:szCs w:val="18"/>
                <w:lang w:val="es-ES" w:eastAsia="es-ES"/>
              </w:rPr>
              <w:t>rra-Estado</w:t>
            </w:r>
          </w:p>
        </w:tc>
      </w:tr>
      <w:tr w:rsidR="00B81E61" w:rsidRPr="005A760B" w:rsidTr="0066202A">
        <w:trPr>
          <w:trHeight w:val="252"/>
        </w:trPr>
        <w:tc>
          <w:tcPr>
            <w:tcW w:w="2799" w:type="pct"/>
            <w:tcBorders>
              <w:top w:val="nil"/>
              <w:left w:val="nil"/>
              <w:bottom w:val="single" w:sz="4" w:space="0" w:color="auto"/>
              <w:right w:val="nil"/>
            </w:tcBorders>
            <w:shd w:val="clear" w:color="auto" w:fill="auto"/>
            <w:vAlign w:val="center"/>
            <w:hideMark/>
          </w:tcPr>
          <w:p w:rsidR="0066202A" w:rsidRPr="005A760B" w:rsidRDefault="0066202A" w:rsidP="0066202A">
            <w:pPr>
              <w:spacing w:after="0"/>
              <w:ind w:firstLine="0"/>
              <w:jc w:val="left"/>
              <w:rPr>
                <w:rFonts w:ascii="Arial Narrow" w:hAnsi="Arial Narrow" w:cs="Arial"/>
                <w:lang w:val="es-ES" w:eastAsia="es-ES"/>
              </w:rPr>
            </w:pPr>
            <w:r w:rsidRPr="005A760B">
              <w:rPr>
                <w:rFonts w:ascii="Arial Narrow" w:hAnsi="Arial Narrow" w:cs="Arial"/>
                <w:lang w:val="es-ES" w:eastAsia="es-ES"/>
              </w:rPr>
              <w:t>Gastos totales (por habitante)</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938</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997</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-6</w:t>
            </w:r>
          </w:p>
        </w:tc>
      </w:tr>
      <w:tr w:rsidR="00B81E61" w:rsidRPr="005A760B" w:rsidTr="0066202A">
        <w:trPr>
          <w:trHeight w:val="252"/>
        </w:trPr>
        <w:tc>
          <w:tcPr>
            <w:tcW w:w="2799" w:type="pct"/>
            <w:tcBorders>
              <w:top w:val="nil"/>
              <w:left w:val="nil"/>
              <w:bottom w:val="single" w:sz="4" w:space="0" w:color="auto"/>
              <w:right w:val="nil"/>
            </w:tcBorders>
            <w:shd w:val="clear" w:color="auto" w:fill="auto"/>
            <w:vAlign w:val="center"/>
            <w:hideMark/>
          </w:tcPr>
          <w:p w:rsidR="0066202A" w:rsidRPr="005A760B" w:rsidRDefault="0066202A" w:rsidP="0066202A">
            <w:pPr>
              <w:spacing w:after="0"/>
              <w:ind w:firstLine="0"/>
              <w:jc w:val="left"/>
              <w:rPr>
                <w:rFonts w:ascii="Arial Narrow" w:hAnsi="Arial Narrow" w:cs="Arial"/>
                <w:lang w:val="es-ES" w:eastAsia="es-ES"/>
              </w:rPr>
            </w:pPr>
            <w:r w:rsidRPr="005A760B">
              <w:rPr>
                <w:rFonts w:ascii="Arial Narrow" w:hAnsi="Arial Narrow" w:cs="Arial"/>
                <w:lang w:val="es-ES" w:eastAsia="es-ES"/>
              </w:rPr>
              <w:t>Gastos de funcionamiento (por habitante)</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779</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728</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7</w:t>
            </w:r>
          </w:p>
        </w:tc>
      </w:tr>
      <w:tr w:rsidR="00B81E61" w:rsidRPr="005A760B" w:rsidTr="0066202A">
        <w:trPr>
          <w:trHeight w:val="252"/>
        </w:trPr>
        <w:tc>
          <w:tcPr>
            <w:tcW w:w="2799" w:type="pct"/>
            <w:tcBorders>
              <w:top w:val="nil"/>
              <w:left w:val="nil"/>
              <w:bottom w:val="single" w:sz="4" w:space="0" w:color="auto"/>
              <w:right w:val="nil"/>
            </w:tcBorders>
            <w:shd w:val="clear" w:color="auto" w:fill="auto"/>
            <w:vAlign w:val="center"/>
            <w:hideMark/>
          </w:tcPr>
          <w:p w:rsidR="0066202A" w:rsidRPr="005A760B" w:rsidRDefault="0066202A" w:rsidP="0066202A">
            <w:pPr>
              <w:spacing w:after="0"/>
              <w:ind w:firstLine="0"/>
              <w:jc w:val="left"/>
              <w:rPr>
                <w:rFonts w:ascii="Arial Narrow" w:hAnsi="Arial Narrow" w:cs="Arial"/>
                <w:lang w:val="es-ES" w:eastAsia="es-ES"/>
              </w:rPr>
            </w:pPr>
            <w:r w:rsidRPr="005A760B">
              <w:rPr>
                <w:rFonts w:ascii="Arial Narrow" w:hAnsi="Arial Narrow" w:cs="Arial"/>
                <w:lang w:val="es-ES" w:eastAsia="es-ES"/>
              </w:rPr>
              <w:t>Gastos corriente (por habitante)</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782</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799</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-2</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lang w:val="es-ES" w:eastAsia="es-ES"/>
              </w:rPr>
            </w:pPr>
            <w:r w:rsidRPr="005A760B">
              <w:rPr>
                <w:rFonts w:ascii="Arial Narrow" w:hAnsi="Arial Narrow" w:cs="Arial"/>
                <w:lang w:val="es-ES" w:eastAsia="es-ES"/>
              </w:rPr>
              <w:t>Cumplimiento pagos %</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92</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92</w:t>
            </w:r>
          </w:p>
        </w:tc>
        <w:tc>
          <w:tcPr>
            <w:tcW w:w="715" w:type="pct"/>
            <w:tcBorders>
              <w:top w:val="nil"/>
              <w:left w:val="nil"/>
              <w:bottom w:val="single" w:sz="4" w:space="0" w:color="auto"/>
              <w:right w:val="nil"/>
            </w:tcBorders>
            <w:shd w:val="clear" w:color="auto" w:fill="auto"/>
            <w:noWrap/>
            <w:vAlign w:val="center"/>
          </w:tcPr>
          <w:p w:rsidR="0066202A" w:rsidRPr="005A760B" w:rsidRDefault="00254EF3"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8D3658" w:rsidP="0066202A">
            <w:pPr>
              <w:spacing w:after="0"/>
              <w:ind w:firstLine="0"/>
              <w:jc w:val="left"/>
              <w:rPr>
                <w:rFonts w:ascii="Arial Narrow" w:hAnsi="Arial Narrow" w:cs="Arial"/>
                <w:lang w:val="es-ES" w:eastAsia="es-ES"/>
              </w:rPr>
            </w:pPr>
            <w:r w:rsidRPr="005A760B">
              <w:rPr>
                <w:rFonts w:ascii="Arial Narrow" w:hAnsi="Arial Narrow" w:cs="Arial"/>
                <w:lang w:val="es-ES" w:eastAsia="es-ES"/>
              </w:rPr>
              <w:t>Índice</w:t>
            </w:r>
            <w:r w:rsidR="0066202A" w:rsidRPr="005A760B">
              <w:rPr>
                <w:rFonts w:ascii="Arial Narrow" w:hAnsi="Arial Narrow" w:cs="Arial"/>
                <w:lang w:val="es-ES" w:eastAsia="es-ES"/>
              </w:rPr>
              <w:t xml:space="preserve"> inversión %</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12</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13</w:t>
            </w:r>
          </w:p>
        </w:tc>
        <w:tc>
          <w:tcPr>
            <w:tcW w:w="715" w:type="pct"/>
            <w:tcBorders>
              <w:top w:val="nil"/>
              <w:left w:val="nil"/>
              <w:bottom w:val="single" w:sz="4" w:space="0" w:color="auto"/>
              <w:right w:val="nil"/>
            </w:tcBorders>
            <w:shd w:val="clear" w:color="auto" w:fill="auto"/>
            <w:noWrap/>
            <w:vAlign w:val="center"/>
          </w:tcPr>
          <w:p w:rsidR="0066202A" w:rsidRPr="005A760B" w:rsidRDefault="00254EF3"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8D3658" w:rsidP="0066202A">
            <w:pPr>
              <w:spacing w:after="0"/>
              <w:ind w:firstLine="0"/>
              <w:jc w:val="left"/>
              <w:rPr>
                <w:rFonts w:ascii="Arial Narrow" w:hAnsi="Arial Narrow" w:cs="Arial"/>
                <w:lang w:val="es-ES" w:eastAsia="es-ES"/>
              </w:rPr>
            </w:pPr>
            <w:r w:rsidRPr="005A760B">
              <w:rPr>
                <w:rFonts w:ascii="Arial Narrow" w:hAnsi="Arial Narrow" w:cs="Arial"/>
                <w:lang w:val="es-ES" w:eastAsia="es-ES"/>
              </w:rPr>
              <w:t>Índice</w:t>
            </w:r>
            <w:r w:rsidR="0066202A" w:rsidRPr="005A760B">
              <w:rPr>
                <w:rFonts w:ascii="Arial Narrow" w:hAnsi="Arial Narrow" w:cs="Arial"/>
                <w:lang w:val="es-ES" w:eastAsia="es-ES"/>
              </w:rPr>
              <w:t xml:space="preserve"> personal %</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42</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37</w:t>
            </w:r>
          </w:p>
        </w:tc>
        <w:tc>
          <w:tcPr>
            <w:tcW w:w="715" w:type="pct"/>
            <w:tcBorders>
              <w:top w:val="nil"/>
              <w:left w:val="nil"/>
              <w:bottom w:val="single" w:sz="4" w:space="0" w:color="auto"/>
              <w:right w:val="nil"/>
            </w:tcBorders>
            <w:shd w:val="clear" w:color="auto" w:fill="auto"/>
            <w:noWrap/>
            <w:vAlign w:val="center"/>
          </w:tcPr>
          <w:p w:rsidR="0066202A" w:rsidRPr="005A760B" w:rsidRDefault="00254EF3"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lang w:val="es-ES" w:eastAsia="es-ES"/>
              </w:rPr>
            </w:pPr>
            <w:r w:rsidRPr="005A760B">
              <w:rPr>
                <w:rFonts w:ascii="Arial Narrow" w:hAnsi="Arial Narrow" w:cs="Arial"/>
                <w:lang w:val="es-ES" w:eastAsia="es-ES"/>
              </w:rPr>
              <w:t>Ingresos totales</w:t>
            </w:r>
            <w:r w:rsidR="00D75699" w:rsidRPr="005A760B">
              <w:rPr>
                <w:rFonts w:ascii="Arial Narrow" w:hAnsi="Arial Narrow" w:cs="Arial"/>
                <w:lang w:val="es-ES" w:eastAsia="es-ES"/>
              </w:rPr>
              <w:t xml:space="preserve"> </w:t>
            </w:r>
            <w:r w:rsidRPr="005A760B">
              <w:rPr>
                <w:rFonts w:ascii="Arial Narrow" w:hAnsi="Arial Narrow" w:cs="Arial"/>
                <w:lang w:val="es-ES" w:eastAsia="es-ES"/>
              </w:rPr>
              <w:t>(por habitante)</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1.001</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1.089</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-9</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D75699">
            <w:pPr>
              <w:spacing w:after="0"/>
              <w:ind w:firstLine="0"/>
              <w:jc w:val="left"/>
              <w:rPr>
                <w:rFonts w:ascii="Arial Narrow" w:hAnsi="Arial Narrow" w:cs="Arial"/>
                <w:lang w:val="es-ES" w:eastAsia="es-ES"/>
              </w:rPr>
            </w:pPr>
            <w:r w:rsidRPr="005A760B">
              <w:rPr>
                <w:rFonts w:ascii="Arial Narrow" w:hAnsi="Arial Narrow" w:cs="Arial"/>
                <w:lang w:val="es-ES" w:eastAsia="es-ES"/>
              </w:rPr>
              <w:t>Ingresos tributarios</w:t>
            </w:r>
            <w:r w:rsidR="00D75699" w:rsidRPr="005A760B">
              <w:rPr>
                <w:rFonts w:ascii="Arial Narrow" w:hAnsi="Arial Narrow" w:cs="Arial"/>
                <w:lang w:val="es-ES" w:eastAsia="es-ES"/>
              </w:rPr>
              <w:t xml:space="preserve"> </w:t>
            </w:r>
            <w:r w:rsidRPr="005A760B">
              <w:rPr>
                <w:rFonts w:ascii="Arial Narrow" w:hAnsi="Arial Narrow" w:cs="Arial"/>
                <w:lang w:val="es-ES" w:eastAsia="es-ES"/>
              </w:rPr>
              <w:t>(por habitante)</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522</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617</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-18</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lang w:val="es-ES" w:eastAsia="es-ES"/>
              </w:rPr>
            </w:pPr>
            <w:r w:rsidRPr="005A760B">
              <w:rPr>
                <w:rFonts w:ascii="Arial Narrow" w:hAnsi="Arial Narrow" w:cs="Arial"/>
                <w:lang w:val="es-ES" w:eastAsia="es-ES"/>
              </w:rPr>
              <w:t>Ingresos corrientes</w:t>
            </w:r>
            <w:r w:rsidR="00D75699" w:rsidRPr="005A760B">
              <w:rPr>
                <w:rFonts w:ascii="Arial Narrow" w:hAnsi="Arial Narrow" w:cs="Arial"/>
                <w:lang w:val="es-ES" w:eastAsia="es-ES"/>
              </w:rPr>
              <w:t xml:space="preserve"> </w:t>
            </w:r>
            <w:r w:rsidRPr="005A760B">
              <w:rPr>
                <w:rFonts w:ascii="Arial Narrow" w:hAnsi="Arial Narrow" w:cs="Arial"/>
                <w:lang w:val="es-ES" w:eastAsia="es-ES"/>
              </w:rPr>
              <w:t>(por habitante)</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923</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1.002</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-9</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lang w:val="es-ES" w:eastAsia="es-ES"/>
              </w:rPr>
            </w:pPr>
            <w:r w:rsidRPr="005A760B">
              <w:rPr>
                <w:rFonts w:ascii="Arial Narrow" w:hAnsi="Arial Narrow" w:cs="Arial"/>
                <w:lang w:val="es-ES" w:eastAsia="es-ES"/>
              </w:rPr>
              <w:t>Cumplimiento cobros %</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94</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88</w:t>
            </w:r>
          </w:p>
        </w:tc>
        <w:tc>
          <w:tcPr>
            <w:tcW w:w="715" w:type="pct"/>
            <w:tcBorders>
              <w:top w:val="nil"/>
              <w:left w:val="nil"/>
              <w:bottom w:val="single" w:sz="4" w:space="0" w:color="auto"/>
              <w:right w:val="nil"/>
            </w:tcBorders>
            <w:shd w:val="clear" w:color="auto" w:fill="auto"/>
            <w:noWrap/>
            <w:vAlign w:val="center"/>
          </w:tcPr>
          <w:p w:rsidR="0066202A" w:rsidRPr="005A760B" w:rsidRDefault="00254EF3"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lang w:val="es-ES" w:eastAsia="es-ES"/>
              </w:rPr>
            </w:pPr>
            <w:r w:rsidRPr="005A760B">
              <w:rPr>
                <w:rFonts w:ascii="Arial Narrow" w:hAnsi="Arial Narrow" w:cs="Arial"/>
                <w:lang w:val="es-ES" w:eastAsia="es-ES"/>
              </w:rPr>
              <w:t>Dependencia transferencias corrientes %</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40</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33</w:t>
            </w:r>
          </w:p>
        </w:tc>
        <w:tc>
          <w:tcPr>
            <w:tcW w:w="715" w:type="pct"/>
            <w:tcBorders>
              <w:top w:val="nil"/>
              <w:left w:val="nil"/>
              <w:bottom w:val="single" w:sz="4" w:space="0" w:color="auto"/>
              <w:right w:val="nil"/>
            </w:tcBorders>
            <w:shd w:val="clear" w:color="auto" w:fill="auto"/>
            <w:noWrap/>
            <w:vAlign w:val="center"/>
          </w:tcPr>
          <w:p w:rsidR="0066202A" w:rsidRPr="005A760B" w:rsidRDefault="00254EF3"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lang w:val="es-ES" w:eastAsia="es-ES"/>
              </w:rPr>
            </w:pPr>
            <w:r w:rsidRPr="005A760B">
              <w:rPr>
                <w:rFonts w:ascii="Arial Narrow" w:hAnsi="Arial Narrow" w:cs="Arial"/>
                <w:lang w:val="es-ES" w:eastAsia="es-ES"/>
              </w:rPr>
              <w:t>Ahorro bruto</w:t>
            </w:r>
            <w:r w:rsidR="00D75699" w:rsidRPr="005A760B">
              <w:rPr>
                <w:rFonts w:ascii="Arial Narrow" w:hAnsi="Arial Narrow" w:cs="Arial"/>
                <w:lang w:val="es-ES" w:eastAsia="es-ES"/>
              </w:rPr>
              <w:t xml:space="preserve"> </w:t>
            </w:r>
            <w:r w:rsidRPr="005A760B">
              <w:rPr>
                <w:rFonts w:ascii="Arial Narrow" w:hAnsi="Arial Narrow" w:cs="Arial"/>
                <w:lang w:val="es-ES" w:eastAsia="es-ES"/>
              </w:rPr>
              <w:t>(por habitante)</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143</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210</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-47</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lang w:val="es-ES" w:eastAsia="es-ES"/>
              </w:rPr>
            </w:pPr>
            <w:r w:rsidRPr="005A760B">
              <w:rPr>
                <w:rFonts w:ascii="Arial Narrow" w:hAnsi="Arial Narrow" w:cs="Arial"/>
                <w:lang w:val="es-ES" w:eastAsia="es-ES"/>
              </w:rPr>
              <w:t>Carga financiera</w:t>
            </w:r>
            <w:r w:rsidR="00D75699" w:rsidRPr="005A760B">
              <w:rPr>
                <w:rFonts w:ascii="Arial Narrow" w:hAnsi="Arial Narrow" w:cs="Arial"/>
                <w:lang w:val="es-ES" w:eastAsia="es-ES"/>
              </w:rPr>
              <w:t xml:space="preserve"> </w:t>
            </w:r>
            <w:r w:rsidRPr="005A760B">
              <w:rPr>
                <w:rFonts w:ascii="Arial Narrow" w:hAnsi="Arial Narrow" w:cs="Arial"/>
                <w:lang w:val="es-ES" w:eastAsia="es-ES"/>
              </w:rPr>
              <w:t>(por habitante)</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36</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76</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-110</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lang w:val="es-ES" w:eastAsia="es-ES"/>
              </w:rPr>
            </w:pPr>
            <w:r w:rsidRPr="005A760B">
              <w:rPr>
                <w:rFonts w:ascii="Arial Narrow" w:hAnsi="Arial Narrow" w:cs="Arial"/>
                <w:lang w:val="es-ES" w:eastAsia="es-ES"/>
              </w:rPr>
              <w:t>Ahorro neto</w:t>
            </w:r>
            <w:r w:rsidR="00D75699" w:rsidRPr="005A760B">
              <w:rPr>
                <w:rFonts w:ascii="Arial Narrow" w:hAnsi="Arial Narrow" w:cs="Arial"/>
                <w:lang w:val="es-ES" w:eastAsia="es-ES"/>
              </w:rPr>
              <w:t xml:space="preserve"> </w:t>
            </w:r>
            <w:r w:rsidRPr="005A760B">
              <w:rPr>
                <w:rFonts w:ascii="Arial Narrow" w:hAnsi="Arial Narrow" w:cs="Arial"/>
                <w:lang w:val="es-ES" w:eastAsia="es-ES"/>
              </w:rPr>
              <w:t>(por habitante)</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107</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134</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-25</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8D3658" w:rsidP="0066202A">
            <w:pPr>
              <w:spacing w:after="0"/>
              <w:ind w:firstLine="0"/>
              <w:jc w:val="left"/>
              <w:rPr>
                <w:rFonts w:ascii="Arial Narrow" w:hAnsi="Arial Narrow" w:cs="Arial"/>
                <w:lang w:val="es-ES" w:eastAsia="es-ES"/>
              </w:rPr>
            </w:pPr>
            <w:r w:rsidRPr="005A760B">
              <w:rPr>
                <w:rFonts w:ascii="Arial Narrow" w:hAnsi="Arial Narrow" w:cs="Arial"/>
                <w:lang w:val="es-ES" w:eastAsia="es-ES"/>
              </w:rPr>
              <w:t>Índice</w:t>
            </w:r>
            <w:r w:rsidR="0066202A" w:rsidRPr="005A760B">
              <w:rPr>
                <w:rFonts w:ascii="Arial Narrow" w:hAnsi="Arial Narrow" w:cs="Arial"/>
                <w:lang w:val="es-ES" w:eastAsia="es-ES"/>
              </w:rPr>
              <w:t xml:space="preserve"> de carga financiera %</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4</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8</w:t>
            </w:r>
          </w:p>
        </w:tc>
        <w:tc>
          <w:tcPr>
            <w:tcW w:w="715" w:type="pct"/>
            <w:tcBorders>
              <w:top w:val="nil"/>
              <w:left w:val="nil"/>
              <w:bottom w:val="single" w:sz="4" w:space="0" w:color="auto"/>
              <w:right w:val="nil"/>
            </w:tcBorders>
            <w:shd w:val="clear" w:color="auto" w:fill="auto"/>
            <w:noWrap/>
            <w:vAlign w:val="center"/>
          </w:tcPr>
          <w:p w:rsidR="0066202A" w:rsidRPr="005A760B" w:rsidRDefault="00254EF3"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lang w:val="es-ES" w:eastAsia="es-ES"/>
              </w:rPr>
            </w:pPr>
            <w:r w:rsidRPr="005A760B">
              <w:rPr>
                <w:rFonts w:ascii="Arial Narrow" w:hAnsi="Arial Narrow" w:cs="Arial"/>
                <w:lang w:val="es-ES" w:eastAsia="es-ES"/>
              </w:rPr>
              <w:t>Capacidad de endeudamiento %</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12</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13</w:t>
            </w:r>
          </w:p>
        </w:tc>
        <w:tc>
          <w:tcPr>
            <w:tcW w:w="715" w:type="pct"/>
            <w:tcBorders>
              <w:top w:val="nil"/>
              <w:left w:val="nil"/>
              <w:bottom w:val="single" w:sz="4" w:space="0" w:color="auto"/>
              <w:right w:val="nil"/>
            </w:tcBorders>
            <w:shd w:val="clear" w:color="auto" w:fill="auto"/>
            <w:noWrap/>
            <w:vAlign w:val="center"/>
          </w:tcPr>
          <w:p w:rsidR="0066202A" w:rsidRPr="005A760B" w:rsidRDefault="00254EF3"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D75699">
            <w:pPr>
              <w:spacing w:after="0"/>
              <w:ind w:firstLine="0"/>
              <w:jc w:val="left"/>
              <w:rPr>
                <w:rFonts w:ascii="Arial Narrow" w:hAnsi="Arial Narrow" w:cs="Arial"/>
                <w:lang w:val="es-ES" w:eastAsia="es-ES"/>
              </w:rPr>
            </w:pPr>
            <w:r w:rsidRPr="005A760B">
              <w:rPr>
                <w:rFonts w:ascii="Arial Narrow" w:hAnsi="Arial Narrow" w:cs="Arial"/>
                <w:lang w:val="es-ES" w:eastAsia="es-ES"/>
              </w:rPr>
              <w:t>Porcentaje ahorro bruto/ingresos c</w:t>
            </w:r>
            <w:r w:rsidR="00D75699" w:rsidRPr="005A760B">
              <w:rPr>
                <w:rFonts w:ascii="Arial Narrow" w:hAnsi="Arial Narrow" w:cs="Arial"/>
                <w:lang w:val="es-ES" w:eastAsia="es-ES"/>
              </w:rPr>
              <w:t>orrien</w:t>
            </w:r>
            <w:r w:rsidRPr="005A760B">
              <w:rPr>
                <w:rFonts w:ascii="Arial Narrow" w:hAnsi="Arial Narrow" w:cs="Arial"/>
                <w:lang w:val="es-ES" w:eastAsia="es-ES"/>
              </w:rPr>
              <w:t>tes</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15</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21</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-36</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lang w:val="es-ES" w:eastAsia="es-ES"/>
              </w:rPr>
            </w:pPr>
            <w:r w:rsidRPr="005A760B">
              <w:rPr>
                <w:rFonts w:ascii="Arial Narrow" w:hAnsi="Arial Narrow" w:cs="Arial"/>
                <w:lang w:val="es-ES" w:eastAsia="es-ES"/>
              </w:rPr>
              <w:t>Deuda viva</w:t>
            </w:r>
            <w:r w:rsidR="00D75699" w:rsidRPr="005A760B">
              <w:rPr>
                <w:rFonts w:ascii="Arial Narrow" w:hAnsi="Arial Narrow" w:cs="Arial"/>
                <w:lang w:val="es-ES" w:eastAsia="es-ES"/>
              </w:rPr>
              <w:t xml:space="preserve"> </w:t>
            </w:r>
            <w:r w:rsidRPr="005A760B">
              <w:rPr>
                <w:rFonts w:ascii="Arial Narrow" w:hAnsi="Arial Narrow" w:cs="Arial"/>
                <w:lang w:val="es-ES" w:eastAsia="es-ES"/>
              </w:rPr>
              <w:t>(por habitante)</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241</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348</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-45</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lang w:val="es-ES" w:eastAsia="es-ES"/>
              </w:rPr>
            </w:pPr>
            <w:r w:rsidRPr="005A760B">
              <w:rPr>
                <w:rFonts w:ascii="Arial Narrow" w:hAnsi="Arial Narrow" w:cs="Arial"/>
                <w:lang w:val="es-ES" w:eastAsia="es-ES"/>
              </w:rPr>
              <w:t>Saldo no financiero</w:t>
            </w:r>
            <w:r w:rsidR="00D75699" w:rsidRPr="005A760B">
              <w:rPr>
                <w:rFonts w:ascii="Arial Narrow" w:hAnsi="Arial Narrow" w:cs="Arial"/>
                <w:lang w:val="es-ES" w:eastAsia="es-ES"/>
              </w:rPr>
              <w:t xml:space="preserve"> </w:t>
            </w:r>
            <w:r w:rsidRPr="005A760B">
              <w:rPr>
                <w:rFonts w:ascii="Arial Narrow" w:hAnsi="Arial Narrow" w:cs="Arial"/>
                <w:lang w:val="es-ES" w:eastAsia="es-ES"/>
              </w:rPr>
              <w:t>(por habitantes)</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98</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129</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-32</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lang w:val="es-ES" w:eastAsia="es-ES"/>
              </w:rPr>
            </w:pPr>
            <w:r w:rsidRPr="005A760B">
              <w:rPr>
                <w:rFonts w:ascii="Arial Narrow" w:hAnsi="Arial Narrow" w:cs="Arial"/>
                <w:lang w:val="es-ES" w:eastAsia="es-ES"/>
              </w:rPr>
              <w:t>Saldo financiero</w:t>
            </w:r>
            <w:r w:rsidR="00D75699" w:rsidRPr="005A760B">
              <w:rPr>
                <w:rFonts w:ascii="Arial Narrow" w:hAnsi="Arial Narrow" w:cs="Arial"/>
                <w:lang w:val="es-ES" w:eastAsia="es-ES"/>
              </w:rPr>
              <w:t xml:space="preserve"> </w:t>
            </w:r>
            <w:r w:rsidRPr="005A760B">
              <w:rPr>
                <w:rFonts w:ascii="Arial Narrow" w:hAnsi="Arial Narrow" w:cs="Arial"/>
                <w:lang w:val="es-ES" w:eastAsia="es-ES"/>
              </w:rPr>
              <w:t>(por habitante)</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-35</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-36</w:t>
            </w:r>
          </w:p>
        </w:tc>
        <w:tc>
          <w:tcPr>
            <w:tcW w:w="715" w:type="pct"/>
            <w:tcBorders>
              <w:top w:val="nil"/>
              <w:left w:val="nil"/>
              <w:bottom w:val="single" w:sz="4" w:space="0" w:color="auto"/>
              <w:right w:val="nil"/>
            </w:tcBorders>
            <w:shd w:val="clear" w:color="auto" w:fill="auto"/>
            <w:noWrap/>
            <w:vAlign w:val="center"/>
            <w:hideMark/>
          </w:tcPr>
          <w:p w:rsidR="0066202A" w:rsidRPr="005A760B" w:rsidRDefault="004132AB"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-3</w:t>
            </w:r>
          </w:p>
        </w:tc>
      </w:tr>
      <w:tr w:rsidR="00B81E61" w:rsidRPr="005A760B" w:rsidTr="0066202A">
        <w:trPr>
          <w:trHeight w:val="252"/>
        </w:trPr>
        <w:tc>
          <w:tcPr>
            <w:tcW w:w="2799"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left"/>
              <w:rPr>
                <w:rFonts w:ascii="Arial Narrow" w:hAnsi="Arial Narrow" w:cs="Arial"/>
                <w:lang w:val="es-ES" w:eastAsia="es-ES"/>
              </w:rPr>
            </w:pPr>
            <w:r w:rsidRPr="005A760B">
              <w:rPr>
                <w:rFonts w:ascii="Arial Narrow" w:hAnsi="Arial Narrow" w:cs="Arial"/>
                <w:lang w:val="es-ES" w:eastAsia="es-ES"/>
              </w:rPr>
              <w:t>Nivel de endeudamiento %</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26</w:t>
            </w:r>
          </w:p>
        </w:tc>
        <w:tc>
          <w:tcPr>
            <w:tcW w:w="743" w:type="pct"/>
            <w:tcBorders>
              <w:top w:val="nil"/>
              <w:left w:val="nil"/>
              <w:bottom w:val="single" w:sz="4" w:space="0" w:color="auto"/>
              <w:right w:val="nil"/>
            </w:tcBorders>
            <w:shd w:val="clear" w:color="auto" w:fill="auto"/>
            <w:noWrap/>
            <w:vAlign w:val="center"/>
            <w:hideMark/>
          </w:tcPr>
          <w:p w:rsidR="0066202A" w:rsidRPr="005A760B" w:rsidRDefault="0066202A"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35</w:t>
            </w:r>
          </w:p>
        </w:tc>
        <w:tc>
          <w:tcPr>
            <w:tcW w:w="715" w:type="pct"/>
            <w:tcBorders>
              <w:top w:val="nil"/>
              <w:left w:val="nil"/>
              <w:bottom w:val="single" w:sz="4" w:space="0" w:color="auto"/>
              <w:right w:val="nil"/>
            </w:tcBorders>
            <w:shd w:val="clear" w:color="auto" w:fill="auto"/>
            <w:noWrap/>
            <w:vAlign w:val="center"/>
          </w:tcPr>
          <w:p w:rsidR="0066202A" w:rsidRPr="005A760B" w:rsidRDefault="00254EF3" w:rsidP="0066202A">
            <w:pPr>
              <w:spacing w:after="0"/>
              <w:ind w:firstLine="0"/>
              <w:jc w:val="right"/>
              <w:rPr>
                <w:rFonts w:ascii="Arial Narrow" w:hAnsi="Arial Narrow" w:cs="Arial"/>
                <w:lang w:val="es-ES" w:eastAsia="es-ES"/>
              </w:rPr>
            </w:pPr>
            <w:r w:rsidRPr="005A760B">
              <w:rPr>
                <w:rFonts w:ascii="Arial Narrow" w:hAnsi="Arial Narrow" w:cs="Arial"/>
                <w:lang w:val="es-ES" w:eastAsia="es-ES"/>
              </w:rPr>
              <w:t>-</w:t>
            </w:r>
          </w:p>
        </w:tc>
      </w:tr>
    </w:tbl>
    <w:p w:rsidR="001049D6" w:rsidRPr="005A760B" w:rsidRDefault="001049D6" w:rsidP="00BE47E4">
      <w:pPr>
        <w:pStyle w:val="texto"/>
        <w:spacing w:before="240"/>
      </w:pPr>
      <w:bookmarkStart w:id="93" w:name="_Toc52348314"/>
      <w:bookmarkEnd w:id="92"/>
      <w:r w:rsidRPr="005A760B">
        <w:t>De este estrato de población destacamos:</w:t>
      </w:r>
      <w:bookmarkEnd w:id="93"/>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bookmarkStart w:id="94" w:name="_Toc52348315"/>
      <w:r w:rsidRPr="005A760B">
        <w:rPr>
          <w:rFonts w:cs="Arial"/>
        </w:rPr>
        <w:t>En este tramo tenemos un total de 20 ayuntamientos en Navarra y todos ellos han rendido cuentas.</w:t>
      </w:r>
      <w:bookmarkEnd w:id="94"/>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bookmarkStart w:id="95" w:name="_Toc52348316"/>
      <w:r w:rsidRPr="005A760B">
        <w:rPr>
          <w:rFonts w:cs="Arial"/>
        </w:rPr>
        <w:t>El volumen de gasto total y gasto corriente por habitante es inferior en N</w:t>
      </w:r>
      <w:r w:rsidRPr="005A760B">
        <w:rPr>
          <w:rFonts w:cs="Arial"/>
        </w:rPr>
        <w:t>a</w:t>
      </w:r>
      <w:r w:rsidRPr="005A760B">
        <w:rPr>
          <w:rFonts w:cs="Arial"/>
        </w:rPr>
        <w:t xml:space="preserve">varra, si bien el gasto de funcionamiento es superior. Los ingresos totales por habitante también son inferiores en Navarra destacando los ingresos tributarios por habitante que son un </w:t>
      </w:r>
      <w:r w:rsidR="004132AB" w:rsidRPr="005A760B">
        <w:rPr>
          <w:rFonts w:cs="Arial"/>
        </w:rPr>
        <w:t>1</w:t>
      </w:r>
      <w:r w:rsidRPr="005A760B">
        <w:rPr>
          <w:rFonts w:cs="Arial"/>
        </w:rPr>
        <w:t xml:space="preserve">8 por ciento inferiores a los </w:t>
      </w:r>
      <w:r w:rsidR="004132AB" w:rsidRPr="005A760B">
        <w:rPr>
          <w:rFonts w:cs="Arial"/>
        </w:rPr>
        <w:t xml:space="preserve">de los </w:t>
      </w:r>
      <w:r w:rsidRPr="005A760B">
        <w:rPr>
          <w:rFonts w:cs="Arial"/>
        </w:rPr>
        <w:t xml:space="preserve">ayuntamientos del Estado. La dependencia de las transferencias corrientes en Navarra es superior en </w:t>
      </w:r>
      <w:r w:rsidR="004132AB" w:rsidRPr="005A760B">
        <w:rPr>
          <w:rFonts w:cs="Arial"/>
        </w:rPr>
        <w:t>siete</w:t>
      </w:r>
      <w:r w:rsidRPr="005A760B">
        <w:rPr>
          <w:rFonts w:cs="Arial"/>
        </w:rPr>
        <w:t xml:space="preserve"> puntos porcentuales a la de los municipios estatales.</w:t>
      </w:r>
      <w:bookmarkEnd w:id="95"/>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bookmarkStart w:id="96" w:name="_Toc52348317"/>
      <w:r w:rsidRPr="005A760B">
        <w:rPr>
          <w:rFonts w:cs="Arial"/>
        </w:rPr>
        <w:t xml:space="preserve">El índice de inversión es </w:t>
      </w:r>
      <w:r w:rsidR="004132AB" w:rsidRPr="005A760B">
        <w:rPr>
          <w:rFonts w:cs="Arial"/>
        </w:rPr>
        <w:t>un punto porcentual inferior</w:t>
      </w:r>
      <w:r w:rsidRPr="005A760B">
        <w:rPr>
          <w:rFonts w:cs="Arial"/>
        </w:rPr>
        <w:t xml:space="preserve"> en Navarra mientras que el índice de personal es </w:t>
      </w:r>
      <w:r w:rsidR="004132AB" w:rsidRPr="005A760B">
        <w:rPr>
          <w:rFonts w:cs="Arial"/>
        </w:rPr>
        <w:t>superior</w:t>
      </w:r>
      <w:r w:rsidRPr="005A760B">
        <w:rPr>
          <w:rFonts w:cs="Arial"/>
        </w:rPr>
        <w:t xml:space="preserve"> al estatal</w:t>
      </w:r>
      <w:bookmarkEnd w:id="96"/>
      <w:r w:rsidR="004132AB" w:rsidRPr="005A760B">
        <w:rPr>
          <w:rFonts w:cs="Arial"/>
        </w:rPr>
        <w:t xml:space="preserve"> en este tramo.</w:t>
      </w:r>
      <w:r w:rsidRPr="005A760B">
        <w:rPr>
          <w:rFonts w:cs="Arial"/>
        </w:rPr>
        <w:t xml:space="preserve"> </w:t>
      </w:r>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r w:rsidRPr="005A760B">
        <w:rPr>
          <w:rFonts w:cs="Arial"/>
        </w:rPr>
        <w:t xml:space="preserve">La deuda viva por habitante en los municipios navarros es de 241 euros, un 45 por ciento inferior a la del resto de municipios del Estado. Sin embargo, en Navarra se obtienen unos ahorros brutos y netos per cápita inferiores en un </w:t>
      </w:r>
      <w:r w:rsidR="004132AB" w:rsidRPr="005A760B">
        <w:rPr>
          <w:rFonts w:cs="Arial"/>
        </w:rPr>
        <w:t xml:space="preserve">47 </w:t>
      </w:r>
      <w:r w:rsidRPr="005A760B">
        <w:rPr>
          <w:rFonts w:cs="Arial"/>
        </w:rPr>
        <w:t xml:space="preserve">y </w:t>
      </w:r>
      <w:r w:rsidR="004132AB" w:rsidRPr="005A760B">
        <w:rPr>
          <w:rFonts w:cs="Arial"/>
        </w:rPr>
        <w:t>25</w:t>
      </w:r>
      <w:r w:rsidRPr="005A760B">
        <w:rPr>
          <w:rFonts w:cs="Arial"/>
        </w:rPr>
        <w:t xml:space="preserve"> por ciento respectivamente.</w:t>
      </w:r>
    </w:p>
    <w:p w:rsidR="005E6498" w:rsidRPr="005A760B" w:rsidRDefault="001049D6" w:rsidP="005E6498">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240"/>
        <w:ind w:left="0" w:firstLine="289"/>
        <w:rPr>
          <w:rStyle w:val="textoCar"/>
          <w:rFonts w:ascii="Arial" w:hAnsi="Arial" w:cs="Arial"/>
          <w:sz w:val="22"/>
          <w:szCs w:val="22"/>
        </w:rPr>
      </w:pPr>
      <w:r w:rsidRPr="005A760B">
        <w:rPr>
          <w:rFonts w:cs="Arial"/>
        </w:rPr>
        <w:t>El nivel de endeudamiento se sitúa para los municipios navarros en el 26 por ciento frente al 35 por ciento en el Estado</w:t>
      </w:r>
      <w:r w:rsidR="005E6498" w:rsidRPr="005A760B">
        <w:rPr>
          <w:rFonts w:cs="Arial"/>
        </w:rPr>
        <w:t>.</w:t>
      </w:r>
    </w:p>
    <w:p w:rsidR="005E6498" w:rsidRPr="00E703F0" w:rsidRDefault="005E6498" w:rsidP="00E703F0">
      <w:pPr>
        <w:pStyle w:val="Prrafodelista"/>
        <w:numPr>
          <w:ilvl w:val="0"/>
          <w:numId w:val="24"/>
        </w:numPr>
        <w:spacing w:before="240" w:after="300"/>
        <w:ind w:left="641" w:hanging="357"/>
        <w:rPr>
          <w:rStyle w:val="textoCar"/>
          <w:rFonts w:ascii="Arial" w:hAnsi="Arial" w:cs="Arial"/>
          <w:i/>
          <w:sz w:val="25"/>
          <w:szCs w:val="25"/>
        </w:rPr>
      </w:pPr>
      <w:r w:rsidRPr="00E703F0">
        <w:rPr>
          <w:rStyle w:val="textoCar"/>
          <w:rFonts w:ascii="Arial" w:hAnsi="Arial" w:cs="Arial"/>
          <w:i/>
          <w:sz w:val="25"/>
          <w:szCs w:val="25"/>
        </w:rPr>
        <w:t>Ayuntamientos con población entre 100.000 y 500.000 habitantes (Pamplona)</w:t>
      </w:r>
    </w:p>
    <w:tbl>
      <w:tblPr>
        <w:tblW w:w="5000" w:type="pct"/>
        <w:tblCellMar>
          <w:left w:w="70" w:type="dxa"/>
          <w:right w:w="70" w:type="dxa"/>
        </w:tblCellMar>
        <w:tblLook w:val="04A0" w:firstRow="1" w:lastRow="0" w:firstColumn="1" w:lastColumn="0" w:noHBand="0" w:noVBand="1"/>
      </w:tblPr>
      <w:tblGrid>
        <w:gridCol w:w="4997"/>
        <w:gridCol w:w="1050"/>
        <w:gridCol w:w="1441"/>
        <w:gridCol w:w="1441"/>
      </w:tblGrid>
      <w:tr w:rsidR="00B81E61" w:rsidRPr="005A760B" w:rsidTr="00200A4A">
        <w:trPr>
          <w:trHeight w:val="510"/>
        </w:trPr>
        <w:tc>
          <w:tcPr>
            <w:tcW w:w="2798" w:type="pct"/>
            <w:tcBorders>
              <w:top w:val="single" w:sz="4" w:space="0" w:color="auto"/>
              <w:left w:val="nil"/>
              <w:bottom w:val="single" w:sz="4" w:space="0" w:color="auto"/>
              <w:right w:val="nil"/>
            </w:tcBorders>
            <w:shd w:val="clear" w:color="000000" w:fill="FABF8F"/>
            <w:noWrap/>
            <w:vAlign w:val="center"/>
            <w:hideMark/>
          </w:tcPr>
          <w:p w:rsidR="00D4093A" w:rsidRPr="005A760B" w:rsidRDefault="00D4093A" w:rsidP="00D4093A">
            <w:pPr>
              <w:spacing w:after="0"/>
              <w:ind w:firstLine="0"/>
              <w:jc w:val="left"/>
              <w:rPr>
                <w:rFonts w:ascii="Arial Narrow" w:hAnsi="Arial Narrow" w:cs="Arial"/>
                <w:lang w:val="es-ES" w:eastAsia="es-ES"/>
              </w:rPr>
            </w:pPr>
            <w:r w:rsidRPr="005A760B">
              <w:rPr>
                <w:rFonts w:ascii="Arial Narrow" w:hAnsi="Arial Narrow" w:cs="Arial"/>
                <w:lang w:val="es-ES" w:eastAsia="es-ES"/>
              </w:rPr>
              <w:t>Indicador</w:t>
            </w:r>
          </w:p>
        </w:tc>
        <w:tc>
          <w:tcPr>
            <w:tcW w:w="588" w:type="pct"/>
            <w:tcBorders>
              <w:top w:val="single" w:sz="4" w:space="0" w:color="auto"/>
              <w:left w:val="nil"/>
              <w:bottom w:val="single" w:sz="4" w:space="0" w:color="auto"/>
              <w:right w:val="nil"/>
            </w:tcBorders>
            <w:shd w:val="clear" w:color="000000" w:fill="FABF8F"/>
            <w:noWrap/>
            <w:vAlign w:val="center"/>
            <w:hideMark/>
          </w:tcPr>
          <w:p w:rsidR="00D4093A" w:rsidRPr="005A760B" w:rsidRDefault="00D4093A" w:rsidP="00D75699">
            <w:pPr>
              <w:spacing w:after="0"/>
              <w:ind w:firstLine="0"/>
              <w:jc w:val="right"/>
              <w:rPr>
                <w:rFonts w:ascii="Arial Narrow" w:hAnsi="Arial Narrow" w:cs="Arial"/>
                <w:lang w:val="es-ES" w:eastAsia="es-ES"/>
              </w:rPr>
            </w:pPr>
            <w:r w:rsidRPr="005A760B">
              <w:rPr>
                <w:rFonts w:ascii="Arial Narrow" w:hAnsi="Arial Narrow" w:cs="Arial"/>
                <w:lang w:val="es-ES" w:eastAsia="es-ES"/>
              </w:rPr>
              <w:t>Navarra</w:t>
            </w:r>
          </w:p>
        </w:tc>
        <w:tc>
          <w:tcPr>
            <w:tcW w:w="807" w:type="pct"/>
            <w:tcBorders>
              <w:top w:val="single" w:sz="4" w:space="0" w:color="auto"/>
              <w:left w:val="nil"/>
              <w:bottom w:val="single" w:sz="4" w:space="0" w:color="auto"/>
              <w:right w:val="nil"/>
            </w:tcBorders>
            <w:shd w:val="clear" w:color="000000" w:fill="FABF8F"/>
            <w:noWrap/>
            <w:vAlign w:val="center"/>
            <w:hideMark/>
          </w:tcPr>
          <w:p w:rsidR="00D4093A" w:rsidRPr="005A760B" w:rsidRDefault="00D4093A" w:rsidP="00D75699">
            <w:pPr>
              <w:spacing w:after="0"/>
              <w:ind w:firstLine="0"/>
              <w:jc w:val="right"/>
              <w:rPr>
                <w:rFonts w:ascii="Arial Narrow" w:hAnsi="Arial Narrow" w:cs="Arial"/>
                <w:lang w:val="es-ES" w:eastAsia="es-ES"/>
              </w:rPr>
            </w:pPr>
            <w:r w:rsidRPr="005A760B">
              <w:rPr>
                <w:rFonts w:ascii="Arial Narrow" w:hAnsi="Arial Narrow" w:cs="Arial"/>
                <w:lang w:val="es-ES" w:eastAsia="es-ES"/>
              </w:rPr>
              <w:t>Estado</w:t>
            </w:r>
          </w:p>
        </w:tc>
        <w:tc>
          <w:tcPr>
            <w:tcW w:w="807" w:type="pct"/>
            <w:tcBorders>
              <w:top w:val="single" w:sz="4" w:space="0" w:color="auto"/>
              <w:left w:val="nil"/>
              <w:bottom w:val="single" w:sz="4" w:space="0" w:color="auto"/>
              <w:right w:val="nil"/>
            </w:tcBorders>
            <w:shd w:val="clear" w:color="000000" w:fill="FABF8F"/>
            <w:vAlign w:val="center"/>
            <w:hideMark/>
          </w:tcPr>
          <w:p w:rsidR="00D4093A" w:rsidRPr="005A760B" w:rsidRDefault="0082447C" w:rsidP="00200A4A">
            <w:pPr>
              <w:spacing w:after="0"/>
              <w:ind w:firstLine="0"/>
              <w:jc w:val="right"/>
              <w:rPr>
                <w:rFonts w:ascii="Arial Narrow" w:hAnsi="Arial Narrow" w:cs="Arial"/>
                <w:lang w:val="es-ES" w:eastAsia="es-ES"/>
              </w:rPr>
            </w:pPr>
            <w:r w:rsidRPr="005A760B">
              <w:rPr>
                <w:rFonts w:ascii="Arial Narrow" w:hAnsi="Arial Narrow" w:cs="Arial"/>
                <w:szCs w:val="18"/>
                <w:lang w:val="es-ES" w:eastAsia="es-ES"/>
              </w:rPr>
              <w:t>% Var. Navarra-Estado</w:t>
            </w:r>
          </w:p>
        </w:tc>
      </w:tr>
      <w:tr w:rsidR="00B81E61" w:rsidRPr="005A760B" w:rsidTr="00200A4A">
        <w:trPr>
          <w:trHeight w:val="252"/>
        </w:trPr>
        <w:tc>
          <w:tcPr>
            <w:tcW w:w="2798" w:type="pct"/>
            <w:tcBorders>
              <w:top w:val="nil"/>
              <w:left w:val="nil"/>
              <w:bottom w:val="single" w:sz="4" w:space="0" w:color="auto"/>
              <w:right w:val="nil"/>
            </w:tcBorders>
            <w:shd w:val="clear" w:color="auto" w:fill="auto"/>
            <w:vAlign w:val="center"/>
            <w:hideMark/>
          </w:tcPr>
          <w:p w:rsidR="00D4093A" w:rsidRPr="005A760B" w:rsidRDefault="00D4093A" w:rsidP="00D4093A">
            <w:pPr>
              <w:spacing w:after="0"/>
              <w:ind w:firstLine="0"/>
              <w:jc w:val="left"/>
              <w:rPr>
                <w:rFonts w:ascii="Arial Narrow" w:hAnsi="Arial Narrow" w:cs="Arial"/>
                <w:lang w:val="es-ES" w:eastAsia="es-ES"/>
              </w:rPr>
            </w:pPr>
            <w:r w:rsidRPr="005A760B">
              <w:rPr>
                <w:rFonts w:ascii="Arial Narrow" w:hAnsi="Arial Narrow" w:cs="Arial"/>
                <w:lang w:val="es-ES" w:eastAsia="es-ES"/>
              </w:rPr>
              <w:t>Gastos totales (por habitante)</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1.025</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937</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9</w:t>
            </w:r>
          </w:p>
        </w:tc>
      </w:tr>
      <w:tr w:rsidR="00B81E61" w:rsidRPr="005A760B" w:rsidTr="00200A4A">
        <w:trPr>
          <w:trHeight w:val="252"/>
        </w:trPr>
        <w:tc>
          <w:tcPr>
            <w:tcW w:w="2798" w:type="pct"/>
            <w:tcBorders>
              <w:top w:val="nil"/>
              <w:left w:val="nil"/>
              <w:bottom w:val="single" w:sz="4" w:space="0" w:color="auto"/>
              <w:right w:val="nil"/>
            </w:tcBorders>
            <w:shd w:val="clear" w:color="auto" w:fill="auto"/>
            <w:vAlign w:val="center"/>
            <w:hideMark/>
          </w:tcPr>
          <w:p w:rsidR="00D4093A" w:rsidRPr="005A760B" w:rsidRDefault="00D4093A" w:rsidP="00D4093A">
            <w:pPr>
              <w:spacing w:after="0"/>
              <w:ind w:firstLine="0"/>
              <w:jc w:val="left"/>
              <w:rPr>
                <w:rFonts w:ascii="Arial Narrow" w:hAnsi="Arial Narrow" w:cs="Arial"/>
                <w:lang w:val="es-ES" w:eastAsia="es-ES"/>
              </w:rPr>
            </w:pPr>
            <w:r w:rsidRPr="005A760B">
              <w:rPr>
                <w:rFonts w:ascii="Arial Narrow" w:hAnsi="Arial Narrow" w:cs="Arial"/>
                <w:lang w:val="es-ES" w:eastAsia="es-ES"/>
              </w:rPr>
              <w:t>Gastos de funcionamiento (por habitante)</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896</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634</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29</w:t>
            </w:r>
          </w:p>
        </w:tc>
      </w:tr>
      <w:tr w:rsidR="00B81E61" w:rsidRPr="005A760B" w:rsidTr="00200A4A">
        <w:trPr>
          <w:trHeight w:val="252"/>
        </w:trPr>
        <w:tc>
          <w:tcPr>
            <w:tcW w:w="2798" w:type="pct"/>
            <w:tcBorders>
              <w:top w:val="nil"/>
              <w:left w:val="nil"/>
              <w:bottom w:val="single" w:sz="4" w:space="0" w:color="auto"/>
              <w:right w:val="nil"/>
            </w:tcBorders>
            <w:shd w:val="clear" w:color="auto" w:fill="auto"/>
            <w:vAlign w:val="center"/>
            <w:hideMark/>
          </w:tcPr>
          <w:p w:rsidR="00D4093A" w:rsidRPr="005A760B" w:rsidRDefault="00D4093A" w:rsidP="00D4093A">
            <w:pPr>
              <w:spacing w:after="0"/>
              <w:ind w:firstLine="0"/>
              <w:jc w:val="left"/>
              <w:rPr>
                <w:rFonts w:ascii="Arial Narrow" w:hAnsi="Arial Narrow" w:cs="Arial"/>
                <w:lang w:val="es-ES" w:eastAsia="es-ES"/>
              </w:rPr>
            </w:pPr>
            <w:r w:rsidRPr="005A760B">
              <w:rPr>
                <w:rFonts w:ascii="Arial Narrow" w:hAnsi="Arial Narrow" w:cs="Arial"/>
                <w:lang w:val="es-ES" w:eastAsia="es-ES"/>
              </w:rPr>
              <w:t>Gastos corriente (por habitante)</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899</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755</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16</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lang w:val="es-ES" w:eastAsia="es-ES"/>
              </w:rPr>
            </w:pPr>
            <w:r w:rsidRPr="005A760B">
              <w:rPr>
                <w:rFonts w:ascii="Arial Narrow" w:hAnsi="Arial Narrow" w:cs="Arial"/>
                <w:lang w:val="es-ES" w:eastAsia="es-ES"/>
              </w:rPr>
              <w:t>Cumplimiento pagos %</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90</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90</w:t>
            </w:r>
          </w:p>
        </w:tc>
        <w:tc>
          <w:tcPr>
            <w:tcW w:w="807" w:type="pct"/>
            <w:tcBorders>
              <w:top w:val="nil"/>
              <w:left w:val="nil"/>
              <w:bottom w:val="single" w:sz="4" w:space="0" w:color="auto"/>
              <w:right w:val="nil"/>
            </w:tcBorders>
            <w:shd w:val="clear" w:color="auto" w:fill="auto"/>
            <w:noWrap/>
            <w:vAlign w:val="center"/>
            <w:hideMark/>
          </w:tcPr>
          <w:p w:rsidR="00D4093A" w:rsidRPr="005A760B" w:rsidRDefault="00AF41C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w:t>
            </w:r>
            <w:r w:rsidR="00D4093A" w:rsidRPr="005A760B">
              <w:rPr>
                <w:rFonts w:ascii="Arial Narrow" w:hAnsi="Arial Narrow" w:cs="Arial"/>
                <w:lang w:val="es-ES" w:eastAsia="es-ES"/>
              </w:rPr>
              <w:t> </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8D3658" w:rsidP="00D4093A">
            <w:pPr>
              <w:spacing w:after="0"/>
              <w:ind w:firstLine="0"/>
              <w:jc w:val="left"/>
              <w:rPr>
                <w:rFonts w:ascii="Arial Narrow" w:hAnsi="Arial Narrow" w:cs="Arial"/>
                <w:lang w:val="es-ES" w:eastAsia="es-ES"/>
              </w:rPr>
            </w:pPr>
            <w:r w:rsidRPr="005A760B">
              <w:rPr>
                <w:rFonts w:ascii="Arial Narrow" w:hAnsi="Arial Narrow" w:cs="Arial"/>
                <w:lang w:val="es-ES" w:eastAsia="es-ES"/>
              </w:rPr>
              <w:t>Índice</w:t>
            </w:r>
            <w:r w:rsidR="00D4093A" w:rsidRPr="005A760B">
              <w:rPr>
                <w:rFonts w:ascii="Arial Narrow" w:hAnsi="Arial Narrow" w:cs="Arial"/>
                <w:lang w:val="es-ES" w:eastAsia="es-ES"/>
              </w:rPr>
              <w:t xml:space="preserve"> inversión %</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8</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10</w:t>
            </w:r>
          </w:p>
        </w:tc>
        <w:tc>
          <w:tcPr>
            <w:tcW w:w="807" w:type="pct"/>
            <w:tcBorders>
              <w:top w:val="nil"/>
              <w:left w:val="nil"/>
              <w:bottom w:val="single" w:sz="4" w:space="0" w:color="auto"/>
              <w:right w:val="nil"/>
            </w:tcBorders>
            <w:shd w:val="clear" w:color="auto" w:fill="auto"/>
            <w:noWrap/>
            <w:vAlign w:val="center"/>
            <w:hideMark/>
          </w:tcPr>
          <w:p w:rsidR="00D4093A" w:rsidRPr="005A760B" w:rsidRDefault="00AF41C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w:t>
            </w:r>
            <w:r w:rsidR="00D4093A" w:rsidRPr="005A760B">
              <w:rPr>
                <w:rFonts w:ascii="Arial Narrow" w:hAnsi="Arial Narrow" w:cs="Arial"/>
                <w:lang w:val="es-ES" w:eastAsia="es-ES"/>
              </w:rPr>
              <w:t> </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8D3658" w:rsidP="00D4093A">
            <w:pPr>
              <w:spacing w:after="0"/>
              <w:ind w:firstLine="0"/>
              <w:jc w:val="left"/>
              <w:rPr>
                <w:rFonts w:ascii="Arial Narrow" w:hAnsi="Arial Narrow" w:cs="Arial"/>
                <w:lang w:val="es-ES" w:eastAsia="es-ES"/>
              </w:rPr>
            </w:pPr>
            <w:r w:rsidRPr="005A760B">
              <w:rPr>
                <w:rFonts w:ascii="Arial Narrow" w:hAnsi="Arial Narrow" w:cs="Arial"/>
                <w:lang w:val="es-ES" w:eastAsia="es-ES"/>
              </w:rPr>
              <w:t>Índice</w:t>
            </w:r>
            <w:r w:rsidR="00D4093A" w:rsidRPr="005A760B">
              <w:rPr>
                <w:rFonts w:ascii="Arial Narrow" w:hAnsi="Arial Narrow" w:cs="Arial"/>
                <w:lang w:val="es-ES" w:eastAsia="es-ES"/>
              </w:rPr>
              <w:t xml:space="preserve"> personal %</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46</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33</w:t>
            </w:r>
          </w:p>
        </w:tc>
        <w:tc>
          <w:tcPr>
            <w:tcW w:w="807" w:type="pct"/>
            <w:tcBorders>
              <w:top w:val="nil"/>
              <w:left w:val="nil"/>
              <w:bottom w:val="single" w:sz="4" w:space="0" w:color="auto"/>
              <w:right w:val="nil"/>
            </w:tcBorders>
            <w:shd w:val="clear" w:color="auto" w:fill="auto"/>
            <w:noWrap/>
            <w:vAlign w:val="center"/>
            <w:hideMark/>
          </w:tcPr>
          <w:p w:rsidR="00D4093A" w:rsidRPr="005A760B" w:rsidRDefault="00AF41C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w:t>
            </w:r>
            <w:r w:rsidR="00D4093A" w:rsidRPr="005A760B">
              <w:rPr>
                <w:rFonts w:ascii="Arial Narrow" w:hAnsi="Arial Narrow" w:cs="Arial"/>
                <w:lang w:val="es-ES" w:eastAsia="es-ES"/>
              </w:rPr>
              <w:t> </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lang w:val="es-ES" w:eastAsia="es-ES"/>
              </w:rPr>
            </w:pPr>
            <w:r w:rsidRPr="005A760B">
              <w:rPr>
                <w:rFonts w:ascii="Arial Narrow" w:hAnsi="Arial Narrow" w:cs="Arial"/>
                <w:lang w:val="es-ES" w:eastAsia="es-ES"/>
              </w:rPr>
              <w:t>Ingresos totales</w:t>
            </w:r>
            <w:r w:rsidR="00D75699" w:rsidRPr="005A760B">
              <w:rPr>
                <w:rFonts w:ascii="Arial Narrow" w:hAnsi="Arial Narrow" w:cs="Arial"/>
                <w:lang w:val="es-ES" w:eastAsia="es-ES"/>
              </w:rPr>
              <w:t xml:space="preserve"> </w:t>
            </w:r>
            <w:r w:rsidRPr="005A760B">
              <w:rPr>
                <w:rFonts w:ascii="Arial Narrow" w:hAnsi="Arial Narrow" w:cs="Arial"/>
                <w:lang w:val="es-ES" w:eastAsia="es-ES"/>
              </w:rPr>
              <w:t>(por habitante)</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1.072</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996</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7</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tcPr>
          <w:p w:rsidR="00254EF3" w:rsidRPr="005A760B" w:rsidRDefault="00254EF3" w:rsidP="00D4093A">
            <w:pPr>
              <w:spacing w:after="0"/>
              <w:ind w:firstLine="0"/>
              <w:jc w:val="left"/>
              <w:rPr>
                <w:rFonts w:ascii="Arial Narrow" w:hAnsi="Arial Narrow" w:cs="Arial"/>
                <w:lang w:val="es-ES" w:eastAsia="es-ES"/>
              </w:rPr>
            </w:pPr>
            <w:r w:rsidRPr="005A760B">
              <w:rPr>
                <w:rFonts w:ascii="Arial Narrow" w:hAnsi="Arial Narrow" w:cs="Arial"/>
                <w:lang w:val="es-ES" w:eastAsia="es-ES"/>
              </w:rPr>
              <w:t xml:space="preserve">Ingresos tributarios (por habitante) </w:t>
            </w:r>
          </w:p>
        </w:tc>
        <w:tc>
          <w:tcPr>
            <w:tcW w:w="588" w:type="pct"/>
            <w:tcBorders>
              <w:top w:val="nil"/>
              <w:left w:val="nil"/>
              <w:bottom w:val="single" w:sz="4" w:space="0" w:color="auto"/>
              <w:right w:val="nil"/>
            </w:tcBorders>
            <w:shd w:val="clear" w:color="auto" w:fill="auto"/>
            <w:noWrap/>
            <w:vAlign w:val="center"/>
          </w:tcPr>
          <w:p w:rsidR="00254EF3" w:rsidRPr="005A760B" w:rsidRDefault="00254EF3" w:rsidP="0020398D">
            <w:pPr>
              <w:spacing w:after="0"/>
              <w:ind w:firstLine="0"/>
              <w:jc w:val="right"/>
              <w:rPr>
                <w:rFonts w:ascii="Arial Narrow" w:hAnsi="Arial Narrow" w:cs="Arial"/>
                <w:lang w:val="es-ES" w:eastAsia="es-ES"/>
              </w:rPr>
            </w:pPr>
            <w:r w:rsidRPr="005A760B">
              <w:rPr>
                <w:rFonts w:ascii="Arial Narrow" w:hAnsi="Arial Narrow" w:cs="Arial"/>
                <w:lang w:val="es-ES" w:eastAsia="es-ES"/>
              </w:rPr>
              <w:t>4</w:t>
            </w:r>
            <w:r w:rsidR="0020398D" w:rsidRPr="005A760B">
              <w:rPr>
                <w:rFonts w:ascii="Arial Narrow" w:hAnsi="Arial Narrow" w:cs="Arial"/>
                <w:lang w:val="es-ES" w:eastAsia="es-ES"/>
              </w:rPr>
              <w:t>4</w:t>
            </w:r>
            <w:r w:rsidRPr="005A760B">
              <w:rPr>
                <w:rFonts w:ascii="Arial Narrow" w:hAnsi="Arial Narrow" w:cs="Arial"/>
                <w:lang w:val="es-ES" w:eastAsia="es-ES"/>
              </w:rPr>
              <w:t>2</w:t>
            </w:r>
          </w:p>
        </w:tc>
        <w:tc>
          <w:tcPr>
            <w:tcW w:w="807" w:type="pct"/>
            <w:tcBorders>
              <w:top w:val="nil"/>
              <w:left w:val="nil"/>
              <w:bottom w:val="single" w:sz="4" w:space="0" w:color="auto"/>
              <w:right w:val="nil"/>
            </w:tcBorders>
            <w:shd w:val="clear" w:color="auto" w:fill="auto"/>
            <w:noWrap/>
            <w:vAlign w:val="center"/>
          </w:tcPr>
          <w:p w:rsidR="00254EF3" w:rsidRPr="005A760B" w:rsidRDefault="00254EF3"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526</w:t>
            </w:r>
          </w:p>
        </w:tc>
        <w:tc>
          <w:tcPr>
            <w:tcW w:w="807" w:type="pct"/>
            <w:tcBorders>
              <w:top w:val="nil"/>
              <w:left w:val="nil"/>
              <w:bottom w:val="single" w:sz="4" w:space="0" w:color="auto"/>
              <w:right w:val="nil"/>
            </w:tcBorders>
            <w:shd w:val="clear" w:color="auto" w:fill="auto"/>
            <w:noWrap/>
            <w:vAlign w:val="center"/>
          </w:tcPr>
          <w:p w:rsidR="00254EF3" w:rsidRPr="005A760B" w:rsidRDefault="00254EF3" w:rsidP="0020398D">
            <w:pPr>
              <w:spacing w:after="0"/>
              <w:ind w:firstLine="0"/>
              <w:jc w:val="right"/>
              <w:rPr>
                <w:rFonts w:ascii="Arial Narrow" w:hAnsi="Arial Narrow" w:cs="Arial"/>
                <w:lang w:val="es-ES" w:eastAsia="es-ES"/>
              </w:rPr>
            </w:pPr>
            <w:r w:rsidRPr="005A760B">
              <w:rPr>
                <w:rFonts w:ascii="Arial Narrow" w:hAnsi="Arial Narrow" w:cs="Arial"/>
                <w:lang w:val="es-ES" w:eastAsia="es-ES"/>
              </w:rPr>
              <w:t>-</w:t>
            </w:r>
            <w:r w:rsidR="0020398D" w:rsidRPr="005A760B">
              <w:rPr>
                <w:rFonts w:ascii="Arial Narrow" w:hAnsi="Arial Narrow" w:cs="Arial"/>
                <w:lang w:val="es-ES" w:eastAsia="es-ES"/>
              </w:rPr>
              <w:t>19</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lang w:val="es-ES" w:eastAsia="es-ES"/>
              </w:rPr>
            </w:pPr>
            <w:r w:rsidRPr="005A760B">
              <w:rPr>
                <w:rFonts w:ascii="Arial Narrow" w:hAnsi="Arial Narrow" w:cs="Arial"/>
                <w:lang w:val="es-ES" w:eastAsia="es-ES"/>
              </w:rPr>
              <w:t>Ingresos corrientes</w:t>
            </w:r>
            <w:r w:rsidR="00D75699" w:rsidRPr="005A760B">
              <w:rPr>
                <w:rFonts w:ascii="Arial Narrow" w:hAnsi="Arial Narrow" w:cs="Arial"/>
                <w:lang w:val="es-ES" w:eastAsia="es-ES"/>
              </w:rPr>
              <w:t xml:space="preserve"> </w:t>
            </w:r>
            <w:r w:rsidRPr="005A760B">
              <w:rPr>
                <w:rFonts w:ascii="Arial Narrow" w:hAnsi="Arial Narrow" w:cs="Arial"/>
                <w:lang w:val="es-ES" w:eastAsia="es-ES"/>
              </w:rPr>
              <w:t>(por habitante)</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1.018</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918</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10</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lang w:val="es-ES" w:eastAsia="es-ES"/>
              </w:rPr>
            </w:pPr>
            <w:r w:rsidRPr="005A760B">
              <w:rPr>
                <w:rFonts w:ascii="Arial Narrow" w:hAnsi="Arial Narrow" w:cs="Arial"/>
                <w:lang w:val="es-ES" w:eastAsia="es-ES"/>
              </w:rPr>
              <w:t>Cumplimiento cobros %</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94</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90</w:t>
            </w:r>
          </w:p>
        </w:tc>
        <w:tc>
          <w:tcPr>
            <w:tcW w:w="807" w:type="pct"/>
            <w:tcBorders>
              <w:top w:val="nil"/>
              <w:left w:val="nil"/>
              <w:bottom w:val="single" w:sz="4" w:space="0" w:color="auto"/>
              <w:right w:val="nil"/>
            </w:tcBorders>
            <w:shd w:val="clear" w:color="auto" w:fill="auto"/>
            <w:noWrap/>
            <w:vAlign w:val="center"/>
            <w:hideMark/>
          </w:tcPr>
          <w:p w:rsidR="00D4093A" w:rsidRPr="005A760B" w:rsidRDefault="00F32D4F"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w:t>
            </w:r>
            <w:r w:rsidR="00D4093A" w:rsidRPr="005A760B">
              <w:rPr>
                <w:rFonts w:ascii="Arial Narrow" w:hAnsi="Arial Narrow" w:cs="Arial"/>
                <w:lang w:val="es-ES" w:eastAsia="es-ES"/>
              </w:rPr>
              <w:t> </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lang w:val="es-ES" w:eastAsia="es-ES"/>
              </w:rPr>
            </w:pPr>
            <w:r w:rsidRPr="005A760B">
              <w:rPr>
                <w:rFonts w:ascii="Arial Narrow" w:hAnsi="Arial Narrow" w:cs="Arial"/>
                <w:lang w:val="es-ES" w:eastAsia="es-ES"/>
              </w:rPr>
              <w:t>Dependencia transferencias corrientes %</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50</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17</w:t>
            </w:r>
          </w:p>
        </w:tc>
        <w:tc>
          <w:tcPr>
            <w:tcW w:w="807" w:type="pct"/>
            <w:tcBorders>
              <w:top w:val="nil"/>
              <w:left w:val="nil"/>
              <w:bottom w:val="single" w:sz="4" w:space="0" w:color="auto"/>
              <w:right w:val="nil"/>
            </w:tcBorders>
            <w:shd w:val="clear" w:color="auto" w:fill="auto"/>
            <w:noWrap/>
            <w:vAlign w:val="center"/>
            <w:hideMark/>
          </w:tcPr>
          <w:p w:rsidR="00D4093A" w:rsidRPr="005A760B" w:rsidRDefault="00F32D4F" w:rsidP="00F32D4F">
            <w:pPr>
              <w:spacing w:after="0"/>
              <w:ind w:firstLine="0"/>
              <w:jc w:val="center"/>
              <w:rPr>
                <w:rFonts w:ascii="Arial Narrow" w:hAnsi="Arial Narrow" w:cs="Arial"/>
                <w:lang w:val="es-ES" w:eastAsia="es-ES"/>
              </w:rPr>
            </w:pPr>
            <w:r w:rsidRPr="005A760B">
              <w:rPr>
                <w:rFonts w:ascii="Arial Narrow" w:hAnsi="Arial Narrow" w:cs="Arial"/>
                <w:lang w:val="es-ES" w:eastAsia="es-ES"/>
              </w:rPr>
              <w:t xml:space="preserve">                         -</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lang w:val="es-ES" w:eastAsia="es-ES"/>
              </w:rPr>
            </w:pPr>
            <w:r w:rsidRPr="005A760B">
              <w:rPr>
                <w:rFonts w:ascii="Arial Narrow" w:hAnsi="Arial Narrow" w:cs="Arial"/>
                <w:lang w:val="es-ES" w:eastAsia="es-ES"/>
              </w:rPr>
              <w:t>Ahorro bruto</w:t>
            </w:r>
            <w:r w:rsidR="00D75699" w:rsidRPr="005A760B">
              <w:rPr>
                <w:rFonts w:ascii="Arial Narrow" w:hAnsi="Arial Narrow" w:cs="Arial"/>
                <w:lang w:val="es-ES" w:eastAsia="es-ES"/>
              </w:rPr>
              <w:t xml:space="preserve"> </w:t>
            </w:r>
            <w:r w:rsidRPr="005A760B">
              <w:rPr>
                <w:rFonts w:ascii="Arial Narrow" w:hAnsi="Arial Narrow" w:cs="Arial"/>
                <w:lang w:val="es-ES" w:eastAsia="es-ES"/>
              </w:rPr>
              <w:t>(por habitante)</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123</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171</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-39</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lang w:val="es-ES" w:eastAsia="es-ES"/>
              </w:rPr>
            </w:pPr>
            <w:r w:rsidRPr="005A760B">
              <w:rPr>
                <w:rFonts w:ascii="Arial Narrow" w:hAnsi="Arial Narrow" w:cs="Arial"/>
                <w:lang w:val="es-ES" w:eastAsia="es-ES"/>
              </w:rPr>
              <w:t>Carga financiera</w:t>
            </w:r>
            <w:r w:rsidR="00D75699" w:rsidRPr="005A760B">
              <w:rPr>
                <w:rFonts w:ascii="Arial Narrow" w:hAnsi="Arial Narrow" w:cs="Arial"/>
                <w:lang w:val="es-ES" w:eastAsia="es-ES"/>
              </w:rPr>
              <w:t xml:space="preserve"> </w:t>
            </w:r>
            <w:r w:rsidRPr="005A760B">
              <w:rPr>
                <w:rFonts w:ascii="Arial Narrow" w:hAnsi="Arial Narrow" w:cs="Arial"/>
                <w:lang w:val="es-ES" w:eastAsia="es-ES"/>
              </w:rPr>
              <w:t>(por habitante)</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48</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95</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AF41CA">
            <w:pPr>
              <w:spacing w:after="0"/>
              <w:ind w:firstLine="0"/>
              <w:jc w:val="right"/>
              <w:rPr>
                <w:rFonts w:ascii="Arial Narrow" w:hAnsi="Arial Narrow" w:cs="Arial"/>
                <w:lang w:val="es-ES" w:eastAsia="es-ES"/>
              </w:rPr>
            </w:pPr>
            <w:r w:rsidRPr="005A760B">
              <w:rPr>
                <w:rFonts w:ascii="Arial Narrow" w:hAnsi="Arial Narrow" w:cs="Arial"/>
                <w:lang w:val="es-ES" w:eastAsia="es-ES"/>
              </w:rPr>
              <w:t>-</w:t>
            </w:r>
            <w:r w:rsidR="00AF41CA" w:rsidRPr="005A760B">
              <w:rPr>
                <w:rFonts w:ascii="Arial Narrow" w:hAnsi="Arial Narrow" w:cs="Arial"/>
                <w:lang w:val="es-ES" w:eastAsia="es-ES"/>
              </w:rPr>
              <w:t>98</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lang w:val="es-ES" w:eastAsia="es-ES"/>
              </w:rPr>
            </w:pPr>
            <w:r w:rsidRPr="005A760B">
              <w:rPr>
                <w:rFonts w:ascii="Arial Narrow" w:hAnsi="Arial Narrow" w:cs="Arial"/>
                <w:lang w:val="es-ES" w:eastAsia="es-ES"/>
              </w:rPr>
              <w:t>Ahorro neto</w:t>
            </w:r>
            <w:r w:rsidR="00D75699" w:rsidRPr="005A760B">
              <w:rPr>
                <w:rFonts w:ascii="Arial Narrow" w:hAnsi="Arial Narrow" w:cs="Arial"/>
                <w:lang w:val="es-ES" w:eastAsia="es-ES"/>
              </w:rPr>
              <w:t xml:space="preserve"> </w:t>
            </w:r>
            <w:r w:rsidRPr="005A760B">
              <w:rPr>
                <w:rFonts w:ascii="Arial Narrow" w:hAnsi="Arial Narrow" w:cs="Arial"/>
                <w:lang w:val="es-ES" w:eastAsia="es-ES"/>
              </w:rPr>
              <w:t>(por habitante)</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75</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76</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-1</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8D3658" w:rsidP="00D4093A">
            <w:pPr>
              <w:spacing w:after="0"/>
              <w:ind w:firstLine="0"/>
              <w:jc w:val="left"/>
              <w:rPr>
                <w:rFonts w:ascii="Arial Narrow" w:hAnsi="Arial Narrow" w:cs="Arial"/>
                <w:lang w:val="es-ES" w:eastAsia="es-ES"/>
              </w:rPr>
            </w:pPr>
            <w:r w:rsidRPr="005A760B">
              <w:rPr>
                <w:rFonts w:ascii="Arial Narrow" w:hAnsi="Arial Narrow" w:cs="Arial"/>
                <w:lang w:val="es-ES" w:eastAsia="es-ES"/>
              </w:rPr>
              <w:t>Índice</w:t>
            </w:r>
            <w:r w:rsidR="00D4093A" w:rsidRPr="005A760B">
              <w:rPr>
                <w:rFonts w:ascii="Arial Narrow" w:hAnsi="Arial Narrow" w:cs="Arial"/>
                <w:lang w:val="es-ES" w:eastAsia="es-ES"/>
              </w:rPr>
              <w:t xml:space="preserve"> de carga financiera %</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5</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10</w:t>
            </w:r>
          </w:p>
        </w:tc>
        <w:tc>
          <w:tcPr>
            <w:tcW w:w="807" w:type="pct"/>
            <w:tcBorders>
              <w:top w:val="nil"/>
              <w:left w:val="nil"/>
              <w:bottom w:val="single" w:sz="4" w:space="0" w:color="auto"/>
              <w:right w:val="nil"/>
            </w:tcBorders>
            <w:shd w:val="clear" w:color="auto" w:fill="auto"/>
            <w:noWrap/>
            <w:vAlign w:val="center"/>
            <w:hideMark/>
          </w:tcPr>
          <w:p w:rsidR="00D4093A" w:rsidRPr="005A760B" w:rsidRDefault="00F32D4F"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w:t>
            </w:r>
            <w:r w:rsidR="00D4093A" w:rsidRPr="005A760B">
              <w:rPr>
                <w:rFonts w:ascii="Arial Narrow" w:hAnsi="Arial Narrow" w:cs="Arial"/>
                <w:lang w:val="es-ES" w:eastAsia="es-ES"/>
              </w:rPr>
              <w:t> </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lang w:val="es-ES" w:eastAsia="es-ES"/>
              </w:rPr>
            </w:pPr>
            <w:r w:rsidRPr="005A760B">
              <w:rPr>
                <w:rFonts w:ascii="Arial Narrow" w:hAnsi="Arial Narrow" w:cs="Arial"/>
                <w:lang w:val="es-ES" w:eastAsia="es-ES"/>
              </w:rPr>
              <w:t>Capacidad de endeudamiento %</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7</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8</w:t>
            </w:r>
          </w:p>
        </w:tc>
        <w:tc>
          <w:tcPr>
            <w:tcW w:w="807" w:type="pct"/>
            <w:tcBorders>
              <w:top w:val="nil"/>
              <w:left w:val="nil"/>
              <w:bottom w:val="single" w:sz="4" w:space="0" w:color="auto"/>
              <w:right w:val="nil"/>
            </w:tcBorders>
            <w:shd w:val="clear" w:color="auto" w:fill="auto"/>
            <w:noWrap/>
            <w:vAlign w:val="center"/>
            <w:hideMark/>
          </w:tcPr>
          <w:p w:rsidR="00D4093A" w:rsidRPr="005A760B" w:rsidRDefault="00F32D4F"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w:t>
            </w:r>
            <w:r w:rsidR="00D4093A" w:rsidRPr="005A760B">
              <w:rPr>
                <w:rFonts w:ascii="Arial Narrow" w:hAnsi="Arial Narrow" w:cs="Arial"/>
                <w:lang w:val="es-ES" w:eastAsia="es-ES"/>
              </w:rPr>
              <w:t> </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lang w:val="es-ES" w:eastAsia="es-ES"/>
              </w:rPr>
            </w:pPr>
            <w:r w:rsidRPr="005A760B">
              <w:rPr>
                <w:rFonts w:ascii="Arial Narrow" w:hAnsi="Arial Narrow" w:cs="Arial"/>
                <w:lang w:val="es-ES" w:eastAsia="es-ES"/>
              </w:rPr>
              <w:t xml:space="preserve">Porcentaje ahorro bruto/ingresos </w:t>
            </w:r>
            <w:proofErr w:type="spellStart"/>
            <w:r w:rsidRPr="005A760B">
              <w:rPr>
                <w:rFonts w:ascii="Arial Narrow" w:hAnsi="Arial Narrow" w:cs="Arial"/>
                <w:lang w:val="es-ES" w:eastAsia="es-ES"/>
              </w:rPr>
              <w:t>ctes</w:t>
            </w:r>
            <w:proofErr w:type="spellEnd"/>
            <w:r w:rsidRPr="005A760B">
              <w:rPr>
                <w:rFonts w:ascii="Arial Narrow" w:hAnsi="Arial Narrow" w:cs="Arial"/>
                <w:lang w:val="es-ES" w:eastAsia="es-ES"/>
              </w:rPr>
              <w:t>.</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12</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19</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-58</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lang w:val="es-ES" w:eastAsia="es-ES"/>
              </w:rPr>
            </w:pPr>
            <w:r w:rsidRPr="005A760B">
              <w:rPr>
                <w:rFonts w:ascii="Arial Narrow" w:hAnsi="Arial Narrow" w:cs="Arial"/>
                <w:lang w:val="es-ES" w:eastAsia="es-ES"/>
              </w:rPr>
              <w:t>Deuda viva</w:t>
            </w:r>
            <w:r w:rsidR="00D75699" w:rsidRPr="005A760B">
              <w:rPr>
                <w:rFonts w:ascii="Arial Narrow" w:hAnsi="Arial Narrow" w:cs="Arial"/>
                <w:lang w:val="es-ES" w:eastAsia="es-ES"/>
              </w:rPr>
              <w:t xml:space="preserve"> </w:t>
            </w:r>
            <w:r w:rsidRPr="005A760B">
              <w:rPr>
                <w:rFonts w:ascii="Arial Narrow" w:hAnsi="Arial Narrow" w:cs="Arial"/>
                <w:lang w:val="es-ES" w:eastAsia="es-ES"/>
              </w:rPr>
              <w:t>(por habitante)</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346</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433</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-25</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1063A7">
            <w:pPr>
              <w:spacing w:after="0"/>
              <w:ind w:firstLine="0"/>
              <w:jc w:val="left"/>
              <w:rPr>
                <w:rFonts w:ascii="Arial Narrow" w:hAnsi="Arial Narrow" w:cs="Arial"/>
                <w:lang w:val="es-ES" w:eastAsia="es-ES"/>
              </w:rPr>
            </w:pPr>
            <w:r w:rsidRPr="005A760B">
              <w:rPr>
                <w:rFonts w:ascii="Arial Narrow" w:hAnsi="Arial Narrow" w:cs="Arial"/>
                <w:lang w:val="es-ES" w:eastAsia="es-ES"/>
              </w:rPr>
              <w:t>Saldo no financiero</w:t>
            </w:r>
            <w:r w:rsidR="00D75699" w:rsidRPr="005A760B">
              <w:rPr>
                <w:rFonts w:ascii="Arial Narrow" w:hAnsi="Arial Narrow" w:cs="Arial"/>
                <w:lang w:val="es-ES" w:eastAsia="es-ES"/>
              </w:rPr>
              <w:t xml:space="preserve"> </w:t>
            </w:r>
            <w:r w:rsidRPr="005A760B">
              <w:rPr>
                <w:rFonts w:ascii="Arial Narrow" w:hAnsi="Arial Narrow" w:cs="Arial"/>
                <w:lang w:val="es-ES" w:eastAsia="es-ES"/>
              </w:rPr>
              <w:t>(por habitante)</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91</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102</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-12</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lang w:val="es-ES" w:eastAsia="es-ES"/>
              </w:rPr>
            </w:pPr>
            <w:r w:rsidRPr="005A760B">
              <w:rPr>
                <w:rFonts w:ascii="Arial Narrow" w:hAnsi="Arial Narrow" w:cs="Arial"/>
                <w:lang w:val="es-ES" w:eastAsia="es-ES"/>
              </w:rPr>
              <w:t>Saldo financiero</w:t>
            </w:r>
            <w:r w:rsidR="00D75699" w:rsidRPr="005A760B">
              <w:rPr>
                <w:rFonts w:ascii="Arial Narrow" w:hAnsi="Arial Narrow" w:cs="Arial"/>
                <w:lang w:val="es-ES" w:eastAsia="es-ES"/>
              </w:rPr>
              <w:t xml:space="preserve"> </w:t>
            </w:r>
            <w:r w:rsidRPr="005A760B">
              <w:rPr>
                <w:rFonts w:ascii="Arial Narrow" w:hAnsi="Arial Narrow" w:cs="Arial"/>
                <w:lang w:val="es-ES" w:eastAsia="es-ES"/>
              </w:rPr>
              <w:t>(por habitante)</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-44</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-43</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4</w:t>
            </w:r>
          </w:p>
        </w:tc>
      </w:tr>
      <w:tr w:rsidR="00B81E61" w:rsidRPr="005A760B" w:rsidTr="00200A4A">
        <w:trPr>
          <w:trHeight w:val="252"/>
        </w:trPr>
        <w:tc>
          <w:tcPr>
            <w:tcW w:w="279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left"/>
              <w:rPr>
                <w:rFonts w:ascii="Arial Narrow" w:hAnsi="Arial Narrow" w:cs="Arial"/>
                <w:lang w:val="es-ES" w:eastAsia="es-ES"/>
              </w:rPr>
            </w:pPr>
            <w:r w:rsidRPr="005A760B">
              <w:rPr>
                <w:rFonts w:ascii="Arial Narrow" w:hAnsi="Arial Narrow" w:cs="Arial"/>
                <w:lang w:val="es-ES" w:eastAsia="es-ES"/>
              </w:rPr>
              <w:t>Nivel de endeudamiento %</w:t>
            </w:r>
          </w:p>
        </w:tc>
        <w:tc>
          <w:tcPr>
            <w:tcW w:w="588"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34</w:t>
            </w:r>
          </w:p>
        </w:tc>
        <w:tc>
          <w:tcPr>
            <w:tcW w:w="807" w:type="pct"/>
            <w:tcBorders>
              <w:top w:val="nil"/>
              <w:left w:val="nil"/>
              <w:bottom w:val="single" w:sz="4" w:space="0" w:color="auto"/>
              <w:right w:val="nil"/>
            </w:tcBorders>
            <w:shd w:val="clear" w:color="auto" w:fill="auto"/>
            <w:noWrap/>
            <w:vAlign w:val="center"/>
            <w:hideMark/>
          </w:tcPr>
          <w:p w:rsidR="00D4093A" w:rsidRPr="005A760B" w:rsidRDefault="00D4093A"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47</w:t>
            </w:r>
          </w:p>
        </w:tc>
        <w:tc>
          <w:tcPr>
            <w:tcW w:w="807" w:type="pct"/>
            <w:tcBorders>
              <w:top w:val="nil"/>
              <w:left w:val="nil"/>
              <w:bottom w:val="single" w:sz="4" w:space="0" w:color="auto"/>
              <w:right w:val="nil"/>
            </w:tcBorders>
            <w:shd w:val="clear" w:color="auto" w:fill="auto"/>
            <w:noWrap/>
            <w:vAlign w:val="center"/>
            <w:hideMark/>
          </w:tcPr>
          <w:p w:rsidR="00D4093A" w:rsidRPr="005A760B" w:rsidRDefault="00F32D4F" w:rsidP="00D4093A">
            <w:pPr>
              <w:spacing w:after="0"/>
              <w:ind w:firstLine="0"/>
              <w:jc w:val="right"/>
              <w:rPr>
                <w:rFonts w:ascii="Arial Narrow" w:hAnsi="Arial Narrow" w:cs="Arial"/>
                <w:lang w:val="es-ES" w:eastAsia="es-ES"/>
              </w:rPr>
            </w:pPr>
            <w:r w:rsidRPr="005A760B">
              <w:rPr>
                <w:rFonts w:ascii="Arial Narrow" w:hAnsi="Arial Narrow" w:cs="Arial"/>
                <w:lang w:val="es-ES" w:eastAsia="es-ES"/>
              </w:rPr>
              <w:t>-</w:t>
            </w:r>
          </w:p>
        </w:tc>
      </w:tr>
    </w:tbl>
    <w:p w:rsidR="001049D6" w:rsidRPr="005A760B" w:rsidRDefault="001049D6" w:rsidP="001B645E">
      <w:pPr>
        <w:pStyle w:val="texto"/>
        <w:spacing w:before="240"/>
      </w:pPr>
      <w:bookmarkStart w:id="97" w:name="_Toc52348321"/>
      <w:r w:rsidRPr="005A760B">
        <w:t>Destacamos:</w:t>
      </w:r>
      <w:bookmarkEnd w:id="97"/>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bookmarkStart w:id="98" w:name="_Toc52348322"/>
      <w:r w:rsidRPr="005A760B">
        <w:rPr>
          <w:rFonts w:cs="Arial"/>
        </w:rPr>
        <w:t>En Navarra solo se encuentra en este tramo el Ayuntamiento de Pamplona y debido a las diferencias con el régimen de cesión</w:t>
      </w:r>
      <w:r w:rsidR="004132AB" w:rsidRPr="005A760B">
        <w:rPr>
          <w:rFonts w:cs="Arial"/>
        </w:rPr>
        <w:t xml:space="preserve"> de impuestos</w:t>
      </w:r>
      <w:r w:rsidRPr="005A760B">
        <w:rPr>
          <w:rFonts w:cs="Arial"/>
        </w:rPr>
        <w:t xml:space="preserve"> </w:t>
      </w:r>
      <w:r w:rsidR="004132AB" w:rsidRPr="005A760B">
        <w:rPr>
          <w:rFonts w:cs="Arial"/>
        </w:rPr>
        <w:t>a</w:t>
      </w:r>
      <w:r w:rsidRPr="005A760B">
        <w:rPr>
          <w:rFonts w:cs="Arial"/>
        </w:rPr>
        <w:t xml:space="preserve"> los ayunt</w:t>
      </w:r>
      <w:r w:rsidRPr="005A760B">
        <w:rPr>
          <w:rFonts w:cs="Arial"/>
        </w:rPr>
        <w:t>a</w:t>
      </w:r>
      <w:r w:rsidRPr="005A760B">
        <w:rPr>
          <w:rFonts w:cs="Arial"/>
        </w:rPr>
        <w:t>mientos superiores a 75.000 habitantes y capitales de provincia de los munic</w:t>
      </w:r>
      <w:r w:rsidRPr="005A760B">
        <w:rPr>
          <w:rFonts w:cs="Arial"/>
        </w:rPr>
        <w:t>i</w:t>
      </w:r>
      <w:r w:rsidRPr="005A760B">
        <w:rPr>
          <w:rFonts w:cs="Arial"/>
        </w:rPr>
        <w:t xml:space="preserve">pios del resto del Estado, </w:t>
      </w:r>
      <w:bookmarkEnd w:id="98"/>
      <w:r w:rsidR="00A322BA" w:rsidRPr="005A760B">
        <w:rPr>
          <w:rFonts w:cs="Arial"/>
        </w:rPr>
        <w:t>el indicador de ingresos tributarios</w:t>
      </w:r>
      <w:r w:rsidR="0055412F" w:rsidRPr="005A760B">
        <w:rPr>
          <w:rFonts w:cs="Arial"/>
        </w:rPr>
        <w:t xml:space="preserve"> y el de depende</w:t>
      </w:r>
      <w:r w:rsidR="0055412F" w:rsidRPr="005A760B">
        <w:rPr>
          <w:rFonts w:cs="Arial"/>
        </w:rPr>
        <w:t>n</w:t>
      </w:r>
      <w:r w:rsidR="0055412F" w:rsidRPr="005A760B">
        <w:rPr>
          <w:rFonts w:cs="Arial"/>
        </w:rPr>
        <w:t>cia de transferencias corrientes</w:t>
      </w:r>
      <w:r w:rsidR="00A322BA" w:rsidRPr="005A760B">
        <w:rPr>
          <w:rFonts w:cs="Arial"/>
        </w:rPr>
        <w:t xml:space="preserve"> no </w:t>
      </w:r>
      <w:r w:rsidR="0055412F" w:rsidRPr="005A760B">
        <w:rPr>
          <w:rFonts w:cs="Arial"/>
        </w:rPr>
        <w:t>son</w:t>
      </w:r>
      <w:r w:rsidR="00A322BA" w:rsidRPr="005A760B">
        <w:rPr>
          <w:rFonts w:cs="Arial"/>
        </w:rPr>
        <w:t xml:space="preserve"> </w:t>
      </w:r>
      <w:r w:rsidR="00D2524F" w:rsidRPr="005A760B">
        <w:rPr>
          <w:rFonts w:cs="Arial"/>
        </w:rPr>
        <w:t xml:space="preserve">exactamente </w:t>
      </w:r>
      <w:r w:rsidR="00A322BA" w:rsidRPr="005A760B">
        <w:rPr>
          <w:rFonts w:cs="Arial"/>
        </w:rPr>
        <w:t>comparable</w:t>
      </w:r>
      <w:r w:rsidR="0055412F" w:rsidRPr="005A760B">
        <w:rPr>
          <w:rFonts w:cs="Arial"/>
        </w:rPr>
        <w:t>s</w:t>
      </w:r>
      <w:r w:rsidR="00A322BA" w:rsidRPr="005A760B">
        <w:rPr>
          <w:rFonts w:cs="Arial"/>
        </w:rPr>
        <w:t>.</w:t>
      </w:r>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bookmarkStart w:id="99" w:name="_Toc52348323"/>
      <w:r w:rsidRPr="005A760B">
        <w:rPr>
          <w:rFonts w:cs="Arial"/>
        </w:rPr>
        <w:t>Los gastos e ingresos totales per cápita son superiores en Pamplona con respecto al del resto de municipios estatales. Destacan los gastos de funcion</w:t>
      </w:r>
      <w:r w:rsidRPr="005A760B">
        <w:rPr>
          <w:rFonts w:cs="Arial"/>
        </w:rPr>
        <w:t>a</w:t>
      </w:r>
      <w:r w:rsidRPr="005A760B">
        <w:rPr>
          <w:rFonts w:cs="Arial"/>
        </w:rPr>
        <w:t>miento que son un 29 por ciento superiores al de los municipios del Estado.</w:t>
      </w:r>
      <w:bookmarkEnd w:id="99"/>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bookmarkStart w:id="100" w:name="_Toc52348324"/>
      <w:r w:rsidRPr="005A760B">
        <w:rPr>
          <w:rFonts w:cs="Arial"/>
        </w:rPr>
        <w:t xml:space="preserve">El índice de inversión es algo inferior, mientras que el índice de personal es superior en </w:t>
      </w:r>
      <w:r w:rsidR="004132AB" w:rsidRPr="005A760B">
        <w:rPr>
          <w:rFonts w:cs="Arial"/>
        </w:rPr>
        <w:t>13</w:t>
      </w:r>
      <w:r w:rsidRPr="005A760B">
        <w:rPr>
          <w:rFonts w:cs="Arial"/>
        </w:rPr>
        <w:t xml:space="preserve"> puntos porcentuales.</w:t>
      </w:r>
      <w:bookmarkEnd w:id="100"/>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bookmarkStart w:id="101" w:name="_Toc52348325"/>
      <w:r w:rsidRPr="005A760B">
        <w:rPr>
          <w:rFonts w:cs="Arial"/>
        </w:rPr>
        <w:t>El ahorro bruto es un 3</w:t>
      </w:r>
      <w:r w:rsidR="004132AB" w:rsidRPr="005A760B">
        <w:rPr>
          <w:rFonts w:cs="Arial"/>
        </w:rPr>
        <w:t>9</w:t>
      </w:r>
      <w:r w:rsidRPr="005A760B">
        <w:rPr>
          <w:rFonts w:cs="Arial"/>
        </w:rPr>
        <w:t xml:space="preserve"> por ciento inferior en el caso de Pamplona respe</w:t>
      </w:r>
      <w:r w:rsidRPr="005A760B">
        <w:rPr>
          <w:rFonts w:cs="Arial"/>
        </w:rPr>
        <w:t>c</w:t>
      </w:r>
      <w:r w:rsidRPr="005A760B">
        <w:rPr>
          <w:rFonts w:cs="Arial"/>
        </w:rPr>
        <w:t xml:space="preserve">to al resto de municipios </w:t>
      </w:r>
      <w:r w:rsidR="001B6928">
        <w:rPr>
          <w:rFonts w:cs="Arial"/>
        </w:rPr>
        <w:t>del Estado</w:t>
      </w:r>
      <w:r w:rsidRPr="005A760B">
        <w:rPr>
          <w:rFonts w:cs="Arial"/>
        </w:rPr>
        <w:t xml:space="preserve">. Sin embargo, el ahorro neto es solamente un </w:t>
      </w:r>
      <w:r w:rsidR="004132AB" w:rsidRPr="005A760B">
        <w:rPr>
          <w:rFonts w:cs="Arial"/>
        </w:rPr>
        <w:t>uno</w:t>
      </w:r>
      <w:r w:rsidRPr="005A760B">
        <w:rPr>
          <w:rFonts w:cs="Arial"/>
        </w:rPr>
        <w:t xml:space="preserve"> por ciento inferior debido a que la carga f</w:t>
      </w:r>
      <w:r w:rsidR="00AF41CA" w:rsidRPr="005A760B">
        <w:rPr>
          <w:rFonts w:cs="Arial"/>
        </w:rPr>
        <w:t>inanciera es un 98</w:t>
      </w:r>
      <w:r w:rsidRPr="005A760B">
        <w:rPr>
          <w:rFonts w:cs="Arial"/>
        </w:rPr>
        <w:t xml:space="preserve"> por ciento menor en el caso del Ayuntamiento de Pamplona.</w:t>
      </w:r>
      <w:bookmarkEnd w:id="101"/>
    </w:p>
    <w:p w:rsidR="001049D6" w:rsidRPr="005A760B" w:rsidRDefault="00891C23"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ind w:left="0" w:firstLine="289"/>
        <w:rPr>
          <w:rFonts w:cs="Arial"/>
        </w:rPr>
      </w:pPr>
      <w:bookmarkStart w:id="102" w:name="_Toc52348326"/>
      <w:r w:rsidRPr="005A760B">
        <w:rPr>
          <w:rFonts w:cs="Arial"/>
        </w:rPr>
        <w:t xml:space="preserve">La deuda viva de Pamplona, de </w:t>
      </w:r>
      <w:r w:rsidR="001063A7" w:rsidRPr="005A760B">
        <w:rPr>
          <w:rFonts w:cs="Arial"/>
        </w:rPr>
        <w:t>346</w:t>
      </w:r>
      <w:r w:rsidRPr="005A760B">
        <w:rPr>
          <w:rFonts w:cs="Arial"/>
        </w:rPr>
        <w:t xml:space="preserve"> euros por habitante, </w:t>
      </w:r>
      <w:r w:rsidR="001049D6" w:rsidRPr="005A760B">
        <w:rPr>
          <w:rFonts w:cs="Arial"/>
        </w:rPr>
        <w:t xml:space="preserve">es un </w:t>
      </w:r>
      <w:r w:rsidR="001063A7" w:rsidRPr="005A760B">
        <w:rPr>
          <w:rFonts w:cs="Arial"/>
        </w:rPr>
        <w:t>25</w:t>
      </w:r>
      <w:r w:rsidR="001049D6" w:rsidRPr="005A760B">
        <w:rPr>
          <w:rFonts w:cs="Arial"/>
        </w:rPr>
        <w:t xml:space="preserve"> por cie</w:t>
      </w:r>
      <w:r w:rsidR="001049D6" w:rsidRPr="005A760B">
        <w:rPr>
          <w:rFonts w:cs="Arial"/>
        </w:rPr>
        <w:t>n</w:t>
      </w:r>
      <w:r w:rsidR="001049D6" w:rsidRPr="005A760B">
        <w:rPr>
          <w:rFonts w:cs="Arial"/>
        </w:rPr>
        <w:t xml:space="preserve">to </w:t>
      </w:r>
      <w:r w:rsidR="001063A7" w:rsidRPr="005A760B">
        <w:rPr>
          <w:rFonts w:cs="Arial"/>
        </w:rPr>
        <w:t>inf</w:t>
      </w:r>
      <w:r w:rsidR="001049D6" w:rsidRPr="005A760B">
        <w:rPr>
          <w:rFonts w:cs="Arial"/>
        </w:rPr>
        <w:t xml:space="preserve">erior </w:t>
      </w:r>
      <w:r w:rsidRPr="005A760B">
        <w:rPr>
          <w:rFonts w:cs="Arial"/>
        </w:rPr>
        <w:t>al de los municipios estatales</w:t>
      </w:r>
      <w:r w:rsidR="001049D6" w:rsidRPr="005A760B">
        <w:rPr>
          <w:rFonts w:cs="Arial"/>
        </w:rPr>
        <w:t xml:space="preserve"> </w:t>
      </w:r>
      <w:r w:rsidR="001063A7" w:rsidRPr="005A760B">
        <w:rPr>
          <w:rFonts w:cs="Arial"/>
        </w:rPr>
        <w:t xml:space="preserve">y </w:t>
      </w:r>
      <w:r w:rsidR="001049D6" w:rsidRPr="005A760B">
        <w:rPr>
          <w:rFonts w:cs="Arial"/>
        </w:rPr>
        <w:t xml:space="preserve">el nivel de endeudamiento es </w:t>
      </w:r>
      <w:r w:rsidR="001063A7" w:rsidRPr="005A760B">
        <w:rPr>
          <w:rFonts w:cs="Arial"/>
        </w:rPr>
        <w:t>13</w:t>
      </w:r>
      <w:r w:rsidR="001049D6" w:rsidRPr="005A760B">
        <w:rPr>
          <w:rFonts w:cs="Arial"/>
        </w:rPr>
        <w:t xml:space="preserve"> pu</w:t>
      </w:r>
      <w:r w:rsidR="001049D6" w:rsidRPr="005A760B">
        <w:rPr>
          <w:rFonts w:cs="Arial"/>
        </w:rPr>
        <w:t>n</w:t>
      </w:r>
      <w:r w:rsidR="001049D6" w:rsidRPr="005A760B">
        <w:rPr>
          <w:rFonts w:cs="Arial"/>
        </w:rPr>
        <w:t>tos porcentuales menor.</w:t>
      </w:r>
      <w:bookmarkEnd w:id="102"/>
      <w:r w:rsidR="001049D6" w:rsidRPr="005A760B">
        <w:rPr>
          <w:rFonts w:cs="Arial"/>
        </w:rPr>
        <w:t xml:space="preserve"> </w:t>
      </w:r>
    </w:p>
    <w:p w:rsidR="001B645E" w:rsidRPr="005A760B" w:rsidRDefault="001B645E">
      <w:pPr>
        <w:spacing w:after="0"/>
        <w:ind w:firstLine="0"/>
        <w:jc w:val="left"/>
      </w:pPr>
      <w:r w:rsidRPr="005A760B">
        <w:br w:type="page"/>
      </w:r>
    </w:p>
    <w:p w:rsidR="001049D6" w:rsidRPr="005A760B" w:rsidRDefault="001049D6" w:rsidP="001B645E">
      <w:pPr>
        <w:pStyle w:val="atitulo1"/>
        <w:rPr>
          <w:color w:val="auto"/>
        </w:rPr>
      </w:pPr>
      <w:bookmarkStart w:id="103" w:name="_Toc24100149"/>
      <w:bookmarkStart w:id="104" w:name="_Toc52348327"/>
      <w:bookmarkStart w:id="105" w:name="_Toc54691930"/>
      <w:r w:rsidRPr="005A760B">
        <w:rPr>
          <w:color w:val="auto"/>
        </w:rPr>
        <w:t>VIII. Conclusiones y recomendaciones</w:t>
      </w:r>
      <w:bookmarkEnd w:id="103"/>
      <w:bookmarkEnd w:id="104"/>
      <w:bookmarkEnd w:id="105"/>
    </w:p>
    <w:p w:rsidR="001049D6" w:rsidRPr="005A760B" w:rsidRDefault="001049D6" w:rsidP="001049D6">
      <w:pPr>
        <w:pStyle w:val="texto"/>
        <w:spacing w:before="120" w:after="120"/>
      </w:pPr>
      <w:r w:rsidRPr="005A760B">
        <w:t>Las principales conclusiones sobre la organización, fiscalización y situación financiera del sector público local en el año 2018 son las siguientes:</w:t>
      </w:r>
    </w:p>
    <w:p w:rsidR="001049D6" w:rsidRPr="005A760B" w:rsidRDefault="001049D6" w:rsidP="001049D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before="120" w:after="120"/>
        <w:ind w:left="0" w:firstLine="289"/>
        <w:rPr>
          <w:rFonts w:cs="Arial"/>
        </w:rPr>
      </w:pPr>
      <w:r w:rsidRPr="005A760B">
        <w:rPr>
          <w:rFonts w:cs="Arial"/>
        </w:rPr>
        <w:t>El sector público local está conformado por 702 entes locales: 272 munic</w:t>
      </w:r>
      <w:r w:rsidRPr="005A760B">
        <w:rPr>
          <w:rFonts w:cs="Arial"/>
        </w:rPr>
        <w:t>i</w:t>
      </w:r>
      <w:r w:rsidRPr="005A760B">
        <w:rPr>
          <w:rFonts w:cs="Arial"/>
        </w:rPr>
        <w:t>pios, 346 concejos, 62 mancomunidades y 22 agrupaciones. Estos entes locales han constituido 125 entes dependientes para la prestación de servicios y forman parte de 17 consorcios.</w:t>
      </w:r>
    </w:p>
    <w:p w:rsidR="001049D6" w:rsidRPr="005A760B" w:rsidRDefault="001049D6" w:rsidP="001049D6">
      <w:pPr>
        <w:pStyle w:val="texto"/>
        <w:spacing w:before="120" w:after="120"/>
        <w:rPr>
          <w:szCs w:val="26"/>
          <w:lang w:val="es-ES" w:eastAsia="es-ES"/>
        </w:rPr>
      </w:pPr>
      <w:r w:rsidRPr="005A760B">
        <w:rPr>
          <w:w w:val="103"/>
        </w:rPr>
        <w:t>Persiste el problema indicado reiterativamente por esta Cámara sobre la falta de racionalización de la actual planta municipal de Navarra junto con la reducida dimensión poblacional de sus municipios</w:t>
      </w:r>
      <w:r w:rsidR="001B6928">
        <w:rPr>
          <w:w w:val="103"/>
        </w:rPr>
        <w:t>.</w:t>
      </w:r>
      <w:r w:rsidRPr="005A760B">
        <w:rPr>
          <w:w w:val="103"/>
        </w:rPr>
        <w:t xml:space="preserve"> </w:t>
      </w:r>
      <w:r w:rsidR="001B6928">
        <w:rPr>
          <w:w w:val="103"/>
        </w:rPr>
        <w:t xml:space="preserve">Esta realidad afecta </w:t>
      </w:r>
      <w:r w:rsidRPr="005A760B">
        <w:rPr>
          <w:w w:val="103"/>
        </w:rPr>
        <w:t>a la dotación de recursos y a la existencia de una estructura administrativa ad</w:t>
      </w:r>
      <w:r w:rsidRPr="005A760B">
        <w:rPr>
          <w:w w:val="103"/>
        </w:rPr>
        <w:t>e</w:t>
      </w:r>
      <w:r w:rsidRPr="005A760B">
        <w:rPr>
          <w:w w:val="103"/>
        </w:rPr>
        <w:t>cuada y suficiente para la gestión de sus competencias, dificultando la pre</w:t>
      </w:r>
      <w:r w:rsidRPr="005A760B">
        <w:rPr>
          <w:w w:val="103"/>
        </w:rPr>
        <w:t>s</w:t>
      </w:r>
      <w:r w:rsidRPr="005A760B">
        <w:rPr>
          <w:w w:val="103"/>
        </w:rPr>
        <w:t>tación de unos servicios públicos eficientes y de calidad</w:t>
      </w:r>
      <w:r w:rsidRPr="005A760B">
        <w:rPr>
          <w:szCs w:val="26"/>
          <w:lang w:val="es-ES" w:eastAsia="es-ES"/>
        </w:rPr>
        <w:t>.</w:t>
      </w:r>
    </w:p>
    <w:p w:rsidR="0055412F" w:rsidRPr="005A760B" w:rsidRDefault="001049D6" w:rsidP="0055412F">
      <w:pPr>
        <w:pStyle w:val="texto"/>
        <w:spacing w:before="120" w:after="120"/>
      </w:pPr>
      <w:r w:rsidRPr="005A760B">
        <w:t xml:space="preserve">Al respecto, actualmente, ya está aprobada la Ley </w:t>
      </w:r>
      <w:r w:rsidR="008A5FED" w:rsidRPr="005A760B">
        <w:t xml:space="preserve">Foral </w:t>
      </w:r>
      <w:r w:rsidRPr="005A760B">
        <w:t xml:space="preserve">de Reforma de la Administración Local de </w:t>
      </w:r>
      <w:r w:rsidR="001B645E" w:rsidRPr="005A760B">
        <w:t>Navarra,</w:t>
      </w:r>
      <w:r w:rsidRPr="005A760B">
        <w:t xml:space="preserve"> pero requiere de la elaboración y aprobación de modificaciones normativas para ir concretando de forma definitiva la refo</w:t>
      </w:r>
      <w:r w:rsidRPr="005A760B">
        <w:t>r</w:t>
      </w:r>
      <w:r w:rsidRPr="005A760B">
        <w:t>ma planteada</w:t>
      </w:r>
      <w:r w:rsidR="004554C1" w:rsidRPr="005A760B">
        <w:t>. A fecha de este informe el envío al Parlamento de Navarra de la propuesta de financiación citada en el epígrafe II.2, cuyo plazo venció en d</w:t>
      </w:r>
      <w:r w:rsidR="004554C1" w:rsidRPr="005A760B">
        <w:t>i</w:t>
      </w:r>
      <w:r w:rsidR="004554C1" w:rsidRPr="005A760B">
        <w:t>ciembre de 2019, no se ha realizado</w:t>
      </w:r>
      <w:r w:rsidR="00A211B2" w:rsidRPr="005A760B">
        <w:t xml:space="preserve"> ni se ha activado la creación de Comarcas.</w:t>
      </w:r>
      <w:r w:rsidRPr="005A760B">
        <w:t xml:space="preserve"> </w:t>
      </w:r>
    </w:p>
    <w:p w:rsidR="008826C0" w:rsidRPr="005A760B" w:rsidRDefault="0055412F" w:rsidP="00030037">
      <w:pPr>
        <w:pStyle w:val="texto"/>
        <w:spacing w:after="240"/>
        <w:rPr>
          <w:rFonts w:cs="Arial"/>
        </w:rPr>
      </w:pPr>
      <w:r w:rsidRPr="005A760B">
        <w:rPr>
          <w:rFonts w:cs="Arial"/>
        </w:rPr>
        <w:t xml:space="preserve"> </w:t>
      </w:r>
      <w:r w:rsidR="008826C0" w:rsidRPr="005A760B">
        <w:rPr>
          <w:rFonts w:cs="Arial"/>
        </w:rPr>
        <w:t>A continuaci</w:t>
      </w:r>
      <w:r w:rsidR="002332CE" w:rsidRPr="005A760B">
        <w:rPr>
          <w:rFonts w:cs="Arial"/>
        </w:rPr>
        <w:t>ó</w:t>
      </w:r>
      <w:r w:rsidR="008826C0" w:rsidRPr="005A760B">
        <w:rPr>
          <w:rFonts w:cs="Arial"/>
        </w:rPr>
        <w:t>n mostramos el detalle de los plazos de aprobación y rend</w:t>
      </w:r>
      <w:r w:rsidR="008826C0" w:rsidRPr="005A760B">
        <w:rPr>
          <w:rFonts w:cs="Arial"/>
        </w:rPr>
        <w:t>i</w:t>
      </w:r>
      <w:r w:rsidR="008826C0" w:rsidRPr="005A760B">
        <w:rPr>
          <w:rFonts w:cs="Arial"/>
        </w:rPr>
        <w:t>ción de cuentas del ejercicio 2018:</w:t>
      </w:r>
    </w:p>
    <w:tbl>
      <w:tblPr>
        <w:tblW w:w="5000" w:type="pct"/>
        <w:tblCellMar>
          <w:left w:w="70" w:type="dxa"/>
          <w:right w:w="70" w:type="dxa"/>
        </w:tblCellMar>
        <w:tblLook w:val="04A0" w:firstRow="1" w:lastRow="0" w:firstColumn="1" w:lastColumn="0" w:noHBand="0" w:noVBand="1"/>
      </w:tblPr>
      <w:tblGrid>
        <w:gridCol w:w="3401"/>
        <w:gridCol w:w="2648"/>
        <w:gridCol w:w="1584"/>
        <w:gridCol w:w="1296"/>
      </w:tblGrid>
      <w:tr w:rsidR="00B81E61" w:rsidRPr="00030037" w:rsidTr="00030037">
        <w:trPr>
          <w:trHeight w:val="312"/>
        </w:trPr>
        <w:tc>
          <w:tcPr>
            <w:tcW w:w="1904" w:type="pct"/>
            <w:tcBorders>
              <w:top w:val="single" w:sz="4" w:space="0" w:color="auto"/>
              <w:left w:val="nil"/>
              <w:bottom w:val="single" w:sz="4" w:space="0" w:color="auto"/>
              <w:right w:val="nil"/>
            </w:tcBorders>
            <w:shd w:val="clear" w:color="000000" w:fill="F4B084"/>
            <w:noWrap/>
            <w:vAlign w:val="center"/>
            <w:hideMark/>
          </w:tcPr>
          <w:p w:rsidR="008826C0" w:rsidRPr="00030037" w:rsidRDefault="008826C0" w:rsidP="00200A4A">
            <w:pPr>
              <w:spacing w:after="0"/>
              <w:ind w:firstLine="0"/>
              <w:jc w:val="left"/>
              <w:rPr>
                <w:rFonts w:ascii="Arial" w:hAnsi="Arial" w:cs="Arial"/>
                <w:sz w:val="18"/>
                <w:szCs w:val="18"/>
                <w:lang w:val="es-ES" w:eastAsia="es-ES"/>
              </w:rPr>
            </w:pPr>
            <w:r w:rsidRPr="00030037">
              <w:rPr>
                <w:rFonts w:ascii="Arial" w:hAnsi="Arial" w:cs="Arial"/>
                <w:sz w:val="18"/>
                <w:szCs w:val="18"/>
                <w:lang w:val="es-ES" w:eastAsia="es-ES"/>
              </w:rPr>
              <w:t>T</w:t>
            </w:r>
            <w:r w:rsidR="00200A4A" w:rsidRPr="00030037">
              <w:rPr>
                <w:rFonts w:ascii="Arial" w:hAnsi="Arial" w:cs="Arial"/>
                <w:sz w:val="18"/>
                <w:szCs w:val="18"/>
                <w:lang w:val="es-ES" w:eastAsia="es-ES"/>
              </w:rPr>
              <w:t>ipo Entidad</w:t>
            </w:r>
          </w:p>
        </w:tc>
        <w:tc>
          <w:tcPr>
            <w:tcW w:w="1483" w:type="pct"/>
            <w:tcBorders>
              <w:top w:val="single" w:sz="4" w:space="0" w:color="auto"/>
              <w:left w:val="nil"/>
              <w:bottom w:val="single" w:sz="4" w:space="0" w:color="auto"/>
              <w:right w:val="nil"/>
            </w:tcBorders>
            <w:shd w:val="clear" w:color="000000" w:fill="F4B084"/>
            <w:vAlign w:val="center"/>
            <w:hideMark/>
          </w:tcPr>
          <w:p w:rsidR="008826C0" w:rsidRPr="00030037" w:rsidRDefault="00200A4A" w:rsidP="00200A4A">
            <w:pPr>
              <w:spacing w:after="0"/>
              <w:ind w:firstLine="0"/>
              <w:jc w:val="right"/>
              <w:rPr>
                <w:rFonts w:ascii="Arial" w:hAnsi="Arial" w:cs="Arial"/>
                <w:sz w:val="18"/>
                <w:szCs w:val="18"/>
                <w:lang w:val="es-ES" w:eastAsia="es-ES"/>
              </w:rPr>
            </w:pPr>
            <w:r w:rsidRPr="00030037">
              <w:rPr>
                <w:rFonts w:ascii="Arial" w:hAnsi="Arial" w:cs="Arial"/>
                <w:sz w:val="18"/>
                <w:szCs w:val="18"/>
                <w:lang w:val="es-ES" w:eastAsia="es-ES"/>
              </w:rPr>
              <w:t>A</w:t>
            </w:r>
            <w:r w:rsidR="008826C0" w:rsidRPr="00030037">
              <w:rPr>
                <w:rFonts w:ascii="Arial" w:hAnsi="Arial" w:cs="Arial"/>
                <w:sz w:val="18"/>
                <w:szCs w:val="18"/>
                <w:lang w:val="es-ES" w:eastAsia="es-ES"/>
              </w:rPr>
              <w:t>probado en plazo (01.09.2019)</w:t>
            </w:r>
          </w:p>
        </w:tc>
        <w:tc>
          <w:tcPr>
            <w:tcW w:w="887" w:type="pct"/>
            <w:tcBorders>
              <w:top w:val="single" w:sz="4" w:space="0" w:color="auto"/>
              <w:left w:val="nil"/>
              <w:bottom w:val="single" w:sz="4" w:space="0" w:color="auto"/>
              <w:right w:val="nil"/>
            </w:tcBorders>
            <w:shd w:val="clear" w:color="000000" w:fill="F4B084"/>
            <w:vAlign w:val="center"/>
            <w:hideMark/>
          </w:tcPr>
          <w:p w:rsidR="008826C0" w:rsidRPr="00030037" w:rsidRDefault="00200A4A" w:rsidP="00200A4A">
            <w:pPr>
              <w:spacing w:after="0"/>
              <w:ind w:firstLine="0"/>
              <w:jc w:val="right"/>
              <w:rPr>
                <w:rFonts w:ascii="Arial" w:hAnsi="Arial" w:cs="Arial"/>
                <w:sz w:val="18"/>
                <w:szCs w:val="18"/>
                <w:lang w:val="es-ES" w:eastAsia="es-ES"/>
              </w:rPr>
            </w:pPr>
            <w:r w:rsidRPr="00030037">
              <w:rPr>
                <w:rFonts w:ascii="Arial" w:hAnsi="Arial" w:cs="Arial"/>
                <w:sz w:val="18"/>
                <w:szCs w:val="18"/>
                <w:lang w:val="es-ES" w:eastAsia="es-ES"/>
              </w:rPr>
              <w:t>E</w:t>
            </w:r>
            <w:r w:rsidR="008826C0" w:rsidRPr="00030037">
              <w:rPr>
                <w:rFonts w:ascii="Arial" w:hAnsi="Arial" w:cs="Arial"/>
                <w:sz w:val="18"/>
                <w:szCs w:val="18"/>
                <w:lang w:val="es-ES" w:eastAsia="es-ES"/>
              </w:rPr>
              <w:t>nvío en plazo (16.09.2019)</w:t>
            </w:r>
          </w:p>
        </w:tc>
        <w:tc>
          <w:tcPr>
            <w:tcW w:w="726" w:type="pct"/>
            <w:tcBorders>
              <w:top w:val="single" w:sz="4" w:space="0" w:color="auto"/>
              <w:left w:val="nil"/>
              <w:bottom w:val="single" w:sz="4" w:space="0" w:color="auto"/>
              <w:right w:val="nil"/>
            </w:tcBorders>
            <w:shd w:val="clear" w:color="000000" w:fill="F4B084"/>
            <w:vAlign w:val="center"/>
            <w:hideMark/>
          </w:tcPr>
          <w:p w:rsidR="008826C0" w:rsidRPr="00030037" w:rsidRDefault="00200A4A" w:rsidP="00200A4A">
            <w:pPr>
              <w:spacing w:after="0"/>
              <w:ind w:firstLine="0"/>
              <w:jc w:val="right"/>
              <w:rPr>
                <w:rFonts w:ascii="Arial" w:hAnsi="Arial" w:cs="Arial"/>
                <w:sz w:val="18"/>
                <w:szCs w:val="18"/>
                <w:lang w:val="es-ES" w:eastAsia="es-ES"/>
              </w:rPr>
            </w:pPr>
            <w:r w:rsidRPr="00030037">
              <w:rPr>
                <w:rFonts w:ascii="Arial" w:hAnsi="Arial" w:cs="Arial"/>
                <w:sz w:val="18"/>
                <w:szCs w:val="18"/>
                <w:lang w:val="es-ES" w:eastAsia="es-ES"/>
              </w:rPr>
              <w:t>E</w:t>
            </w:r>
            <w:r w:rsidR="008826C0" w:rsidRPr="00030037">
              <w:rPr>
                <w:rFonts w:ascii="Arial" w:hAnsi="Arial" w:cs="Arial"/>
                <w:sz w:val="18"/>
                <w:szCs w:val="18"/>
                <w:lang w:val="es-ES" w:eastAsia="es-ES"/>
              </w:rPr>
              <w:t>nvío hasta 31.12.2019</w:t>
            </w:r>
          </w:p>
        </w:tc>
      </w:tr>
      <w:tr w:rsidR="00B81E61" w:rsidRPr="00030037" w:rsidTr="00030037">
        <w:trPr>
          <w:trHeight w:val="238"/>
        </w:trPr>
        <w:tc>
          <w:tcPr>
            <w:tcW w:w="1904"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left"/>
              <w:rPr>
                <w:rFonts w:ascii="Arial Narrow" w:hAnsi="Arial Narrow" w:cs="Calibri"/>
                <w:lang w:val="es-ES" w:eastAsia="es-ES"/>
              </w:rPr>
            </w:pPr>
            <w:r w:rsidRPr="00030037">
              <w:rPr>
                <w:rFonts w:ascii="Arial Narrow" w:hAnsi="Arial Narrow" w:cs="Calibri"/>
                <w:lang w:val="es-ES" w:eastAsia="es-ES"/>
              </w:rPr>
              <w:t>Municipios</w:t>
            </w:r>
          </w:p>
        </w:tc>
        <w:tc>
          <w:tcPr>
            <w:tcW w:w="1483"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lang w:val="es-ES" w:eastAsia="es-ES"/>
              </w:rPr>
            </w:pPr>
            <w:r w:rsidRPr="00030037">
              <w:rPr>
                <w:rFonts w:ascii="Arial Narrow" w:hAnsi="Arial Narrow" w:cs="Calibri"/>
                <w:lang w:val="es-ES" w:eastAsia="es-ES"/>
              </w:rPr>
              <w:t>82%</w:t>
            </w:r>
          </w:p>
        </w:tc>
        <w:tc>
          <w:tcPr>
            <w:tcW w:w="887"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lang w:val="es-ES" w:eastAsia="es-ES"/>
              </w:rPr>
            </w:pPr>
            <w:r w:rsidRPr="00030037">
              <w:rPr>
                <w:rFonts w:ascii="Arial Narrow" w:hAnsi="Arial Narrow" w:cs="Calibri"/>
                <w:lang w:val="es-ES" w:eastAsia="es-ES"/>
              </w:rPr>
              <w:t>66%</w:t>
            </w:r>
          </w:p>
        </w:tc>
        <w:tc>
          <w:tcPr>
            <w:tcW w:w="726"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lang w:val="es-ES" w:eastAsia="es-ES"/>
              </w:rPr>
            </w:pPr>
            <w:r w:rsidRPr="00030037">
              <w:rPr>
                <w:rFonts w:ascii="Arial Narrow" w:hAnsi="Arial Narrow" w:cs="Calibri"/>
                <w:lang w:val="es-ES" w:eastAsia="es-ES"/>
              </w:rPr>
              <w:t>89%</w:t>
            </w:r>
          </w:p>
        </w:tc>
      </w:tr>
      <w:tr w:rsidR="00B81E61" w:rsidRPr="00030037" w:rsidTr="00030037">
        <w:trPr>
          <w:trHeight w:val="238"/>
        </w:trPr>
        <w:tc>
          <w:tcPr>
            <w:tcW w:w="1904"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left"/>
              <w:rPr>
                <w:rFonts w:ascii="Arial Narrow" w:hAnsi="Arial Narrow" w:cs="Calibri"/>
                <w:lang w:val="es-ES" w:eastAsia="es-ES"/>
              </w:rPr>
            </w:pPr>
            <w:r w:rsidRPr="00030037">
              <w:rPr>
                <w:rFonts w:ascii="Arial Narrow" w:hAnsi="Arial Narrow" w:cs="Calibri"/>
                <w:lang w:val="es-ES" w:eastAsia="es-ES"/>
              </w:rPr>
              <w:t>Concejos</w:t>
            </w:r>
          </w:p>
        </w:tc>
        <w:tc>
          <w:tcPr>
            <w:tcW w:w="1483"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lang w:val="es-ES" w:eastAsia="es-ES"/>
              </w:rPr>
            </w:pPr>
            <w:r w:rsidRPr="00030037">
              <w:rPr>
                <w:rFonts w:ascii="Arial Narrow" w:hAnsi="Arial Narrow" w:cs="Calibri"/>
                <w:lang w:val="es-ES" w:eastAsia="es-ES"/>
              </w:rPr>
              <w:t>73%</w:t>
            </w:r>
          </w:p>
        </w:tc>
        <w:tc>
          <w:tcPr>
            <w:tcW w:w="887"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lang w:val="es-ES" w:eastAsia="es-ES"/>
              </w:rPr>
            </w:pPr>
            <w:r w:rsidRPr="00030037">
              <w:rPr>
                <w:rFonts w:ascii="Arial Narrow" w:hAnsi="Arial Narrow" w:cs="Calibri"/>
                <w:lang w:val="es-ES" w:eastAsia="es-ES"/>
              </w:rPr>
              <w:t>60%</w:t>
            </w:r>
          </w:p>
        </w:tc>
        <w:tc>
          <w:tcPr>
            <w:tcW w:w="726"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lang w:val="es-ES" w:eastAsia="es-ES"/>
              </w:rPr>
            </w:pPr>
            <w:r w:rsidRPr="00030037">
              <w:rPr>
                <w:rFonts w:ascii="Arial Narrow" w:hAnsi="Arial Narrow" w:cs="Calibri"/>
                <w:lang w:val="es-ES" w:eastAsia="es-ES"/>
              </w:rPr>
              <w:t>78%</w:t>
            </w:r>
          </w:p>
        </w:tc>
      </w:tr>
      <w:tr w:rsidR="00B81E61" w:rsidRPr="00030037" w:rsidTr="00030037">
        <w:trPr>
          <w:trHeight w:val="238"/>
        </w:trPr>
        <w:tc>
          <w:tcPr>
            <w:tcW w:w="1904"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left"/>
              <w:rPr>
                <w:rFonts w:ascii="Arial Narrow" w:hAnsi="Arial Narrow" w:cs="Calibri"/>
                <w:lang w:val="es-ES" w:eastAsia="es-ES"/>
              </w:rPr>
            </w:pPr>
            <w:r w:rsidRPr="00030037">
              <w:rPr>
                <w:rFonts w:ascii="Arial Narrow" w:hAnsi="Arial Narrow" w:cs="Calibri"/>
                <w:lang w:val="es-ES" w:eastAsia="es-ES"/>
              </w:rPr>
              <w:t>Mancomunidades</w:t>
            </w:r>
          </w:p>
        </w:tc>
        <w:tc>
          <w:tcPr>
            <w:tcW w:w="1483"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lang w:val="es-ES" w:eastAsia="es-ES"/>
              </w:rPr>
            </w:pPr>
            <w:r w:rsidRPr="00030037">
              <w:rPr>
                <w:rFonts w:ascii="Arial Narrow" w:hAnsi="Arial Narrow" w:cs="Calibri"/>
                <w:lang w:val="es-ES" w:eastAsia="es-ES"/>
              </w:rPr>
              <w:t>74%</w:t>
            </w:r>
          </w:p>
        </w:tc>
        <w:tc>
          <w:tcPr>
            <w:tcW w:w="887"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lang w:val="es-ES" w:eastAsia="es-ES"/>
              </w:rPr>
            </w:pPr>
            <w:r w:rsidRPr="00030037">
              <w:rPr>
                <w:rFonts w:ascii="Arial Narrow" w:hAnsi="Arial Narrow" w:cs="Calibri"/>
                <w:lang w:val="es-ES" w:eastAsia="es-ES"/>
              </w:rPr>
              <w:t>63%</w:t>
            </w:r>
          </w:p>
        </w:tc>
        <w:tc>
          <w:tcPr>
            <w:tcW w:w="726"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lang w:val="es-ES" w:eastAsia="es-ES"/>
              </w:rPr>
            </w:pPr>
            <w:r w:rsidRPr="00030037">
              <w:rPr>
                <w:rFonts w:ascii="Arial Narrow" w:hAnsi="Arial Narrow" w:cs="Calibri"/>
                <w:lang w:val="es-ES" w:eastAsia="es-ES"/>
              </w:rPr>
              <w:t>76%</w:t>
            </w:r>
          </w:p>
        </w:tc>
      </w:tr>
      <w:tr w:rsidR="00B81E61" w:rsidRPr="00030037" w:rsidTr="00030037">
        <w:trPr>
          <w:trHeight w:val="238"/>
        </w:trPr>
        <w:tc>
          <w:tcPr>
            <w:tcW w:w="1904"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left"/>
              <w:rPr>
                <w:rFonts w:ascii="Arial Narrow" w:hAnsi="Arial Narrow" w:cs="Calibri"/>
                <w:lang w:val="es-ES" w:eastAsia="es-ES"/>
              </w:rPr>
            </w:pPr>
            <w:r w:rsidRPr="00030037">
              <w:rPr>
                <w:rFonts w:ascii="Arial Narrow" w:hAnsi="Arial Narrow" w:cs="Calibri"/>
                <w:lang w:val="es-ES" w:eastAsia="es-ES"/>
              </w:rPr>
              <w:t>Agrupaciones de municipios</w:t>
            </w:r>
          </w:p>
        </w:tc>
        <w:tc>
          <w:tcPr>
            <w:tcW w:w="1483"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lang w:val="es-ES" w:eastAsia="es-ES"/>
              </w:rPr>
            </w:pPr>
            <w:r w:rsidRPr="00030037">
              <w:rPr>
                <w:rFonts w:ascii="Arial Narrow" w:hAnsi="Arial Narrow" w:cs="Calibri"/>
                <w:lang w:val="es-ES" w:eastAsia="es-ES"/>
              </w:rPr>
              <w:t>73%</w:t>
            </w:r>
          </w:p>
        </w:tc>
        <w:tc>
          <w:tcPr>
            <w:tcW w:w="887"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lang w:val="es-ES" w:eastAsia="es-ES"/>
              </w:rPr>
            </w:pPr>
            <w:r w:rsidRPr="00030037">
              <w:rPr>
                <w:rFonts w:ascii="Arial Narrow" w:hAnsi="Arial Narrow" w:cs="Calibri"/>
                <w:lang w:val="es-ES" w:eastAsia="es-ES"/>
              </w:rPr>
              <w:t>55%</w:t>
            </w:r>
          </w:p>
        </w:tc>
        <w:tc>
          <w:tcPr>
            <w:tcW w:w="726"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lang w:val="es-ES" w:eastAsia="es-ES"/>
              </w:rPr>
            </w:pPr>
            <w:r w:rsidRPr="00030037">
              <w:rPr>
                <w:rFonts w:ascii="Arial Narrow" w:hAnsi="Arial Narrow" w:cs="Calibri"/>
                <w:lang w:val="es-ES" w:eastAsia="es-ES"/>
              </w:rPr>
              <w:t>86%</w:t>
            </w:r>
          </w:p>
        </w:tc>
      </w:tr>
    </w:tbl>
    <w:p w:rsidR="008826C0" w:rsidRPr="00030037" w:rsidRDefault="008826C0" w:rsidP="00030037">
      <w:pPr>
        <w:pStyle w:val="texto"/>
        <w:tabs>
          <w:tab w:val="clear" w:pos="2835"/>
          <w:tab w:val="center" w:pos="567"/>
        </w:tabs>
        <w:spacing w:before="240"/>
        <w:rPr>
          <w:rFonts w:cs="Arial"/>
          <w:spacing w:val="0"/>
        </w:rPr>
      </w:pPr>
      <w:r w:rsidRPr="00030037">
        <w:rPr>
          <w:rFonts w:cs="Arial"/>
          <w:spacing w:val="0"/>
        </w:rPr>
        <w:t>Destacar que</w:t>
      </w:r>
      <w:r w:rsidR="002C7A3D" w:rsidRPr="00030037">
        <w:rPr>
          <w:rFonts w:cs="Arial"/>
          <w:spacing w:val="0"/>
        </w:rPr>
        <w:t>,</w:t>
      </w:r>
      <w:r w:rsidRPr="00030037">
        <w:rPr>
          <w:rFonts w:cs="Arial"/>
          <w:spacing w:val="0"/>
        </w:rPr>
        <w:t xml:space="preserve"> aunque la aprobación de cuentas se realiza en unos porcentajes elevados dentro del plazo establecido</w:t>
      </w:r>
      <w:r w:rsidR="00B65280" w:rsidRPr="00030037">
        <w:rPr>
          <w:rFonts w:cs="Arial"/>
          <w:spacing w:val="0"/>
        </w:rPr>
        <w:t xml:space="preserve"> por la normativa</w:t>
      </w:r>
      <w:r w:rsidRPr="00030037">
        <w:rPr>
          <w:rFonts w:cs="Arial"/>
          <w:spacing w:val="0"/>
        </w:rPr>
        <w:t>, la rendición de cuentas se demora en el tiempo y los porcentajes de rendición en plazo son bastante inferiores.</w:t>
      </w:r>
    </w:p>
    <w:p w:rsidR="008826C0" w:rsidRPr="005A760B" w:rsidRDefault="008826C0" w:rsidP="00030037">
      <w:pPr>
        <w:pStyle w:val="texto"/>
        <w:tabs>
          <w:tab w:val="clear" w:pos="2835"/>
          <w:tab w:val="center" w:pos="567"/>
        </w:tabs>
        <w:spacing w:after="240"/>
        <w:rPr>
          <w:rFonts w:cs="Arial"/>
        </w:rPr>
      </w:pPr>
      <w:r w:rsidRPr="005A760B">
        <w:rPr>
          <w:rFonts w:cs="Arial"/>
        </w:rPr>
        <w:t>Del mismo modo</w:t>
      </w:r>
      <w:r w:rsidR="00B65280" w:rsidRPr="005A760B">
        <w:rPr>
          <w:rFonts w:cs="Arial"/>
        </w:rPr>
        <w:t>,</w:t>
      </w:r>
      <w:r w:rsidRPr="005A760B">
        <w:rPr>
          <w:rFonts w:cs="Arial"/>
        </w:rPr>
        <w:t xml:space="preserve"> mostramos el detalle de los plazos de aprobación y envío del expediente de presupuestos del ejercicio 2018 a la Dirección General de Administración Local y Despoblación:</w:t>
      </w:r>
    </w:p>
    <w:tbl>
      <w:tblPr>
        <w:tblW w:w="4983" w:type="pct"/>
        <w:jc w:val="center"/>
        <w:tblCellMar>
          <w:left w:w="70" w:type="dxa"/>
          <w:right w:w="70" w:type="dxa"/>
        </w:tblCellMar>
        <w:tblLook w:val="04A0" w:firstRow="1" w:lastRow="0" w:firstColumn="1" w:lastColumn="0" w:noHBand="0" w:noVBand="1"/>
      </w:tblPr>
      <w:tblGrid>
        <w:gridCol w:w="3634"/>
        <w:gridCol w:w="2467"/>
        <w:gridCol w:w="1547"/>
        <w:gridCol w:w="1251"/>
      </w:tblGrid>
      <w:tr w:rsidR="00B81E61" w:rsidRPr="00030037" w:rsidTr="0050636A">
        <w:trPr>
          <w:trHeight w:val="340"/>
          <w:jc w:val="center"/>
        </w:trPr>
        <w:tc>
          <w:tcPr>
            <w:tcW w:w="2042" w:type="pct"/>
            <w:tcBorders>
              <w:top w:val="single" w:sz="4" w:space="0" w:color="auto"/>
              <w:left w:val="nil"/>
              <w:bottom w:val="single" w:sz="4" w:space="0" w:color="auto"/>
              <w:right w:val="nil"/>
            </w:tcBorders>
            <w:shd w:val="clear" w:color="000000" w:fill="F4B084"/>
            <w:noWrap/>
            <w:vAlign w:val="center"/>
            <w:hideMark/>
          </w:tcPr>
          <w:p w:rsidR="008826C0" w:rsidRPr="00030037" w:rsidRDefault="008826C0" w:rsidP="00200A4A">
            <w:pPr>
              <w:spacing w:after="0"/>
              <w:ind w:firstLine="0"/>
              <w:jc w:val="left"/>
              <w:rPr>
                <w:rFonts w:ascii="Arial" w:hAnsi="Arial" w:cs="Arial"/>
                <w:sz w:val="18"/>
                <w:szCs w:val="18"/>
                <w:lang w:val="es-ES" w:eastAsia="es-ES"/>
              </w:rPr>
            </w:pPr>
            <w:r w:rsidRPr="00030037">
              <w:rPr>
                <w:rFonts w:ascii="Arial" w:hAnsi="Arial" w:cs="Arial"/>
                <w:sz w:val="18"/>
                <w:szCs w:val="18"/>
                <w:lang w:val="es-ES" w:eastAsia="es-ES"/>
              </w:rPr>
              <w:t>T</w:t>
            </w:r>
            <w:r w:rsidR="00200A4A" w:rsidRPr="00030037">
              <w:rPr>
                <w:rFonts w:ascii="Arial" w:hAnsi="Arial" w:cs="Arial"/>
                <w:sz w:val="18"/>
                <w:szCs w:val="18"/>
                <w:lang w:val="es-ES" w:eastAsia="es-ES"/>
              </w:rPr>
              <w:t>ipo Entidad</w:t>
            </w:r>
          </w:p>
        </w:tc>
        <w:tc>
          <w:tcPr>
            <w:tcW w:w="1386" w:type="pct"/>
            <w:tcBorders>
              <w:top w:val="single" w:sz="4" w:space="0" w:color="auto"/>
              <w:left w:val="nil"/>
              <w:bottom w:val="single" w:sz="4" w:space="0" w:color="auto"/>
              <w:right w:val="nil"/>
            </w:tcBorders>
            <w:shd w:val="clear" w:color="000000" w:fill="F4B084"/>
            <w:vAlign w:val="center"/>
            <w:hideMark/>
          </w:tcPr>
          <w:p w:rsidR="008826C0" w:rsidRPr="00030037" w:rsidRDefault="00200A4A" w:rsidP="00200A4A">
            <w:pPr>
              <w:spacing w:after="0"/>
              <w:ind w:firstLine="0"/>
              <w:jc w:val="right"/>
              <w:rPr>
                <w:rFonts w:ascii="Arial" w:hAnsi="Arial" w:cs="Arial"/>
                <w:sz w:val="18"/>
                <w:szCs w:val="18"/>
                <w:lang w:val="es-ES" w:eastAsia="es-ES"/>
              </w:rPr>
            </w:pPr>
            <w:r w:rsidRPr="00030037">
              <w:rPr>
                <w:rFonts w:ascii="Arial" w:hAnsi="Arial" w:cs="Arial"/>
                <w:sz w:val="18"/>
                <w:szCs w:val="18"/>
                <w:lang w:val="es-ES" w:eastAsia="es-ES"/>
              </w:rPr>
              <w:t>A</w:t>
            </w:r>
            <w:r w:rsidR="008826C0" w:rsidRPr="00030037">
              <w:rPr>
                <w:rFonts w:ascii="Arial" w:hAnsi="Arial" w:cs="Arial"/>
                <w:sz w:val="18"/>
                <w:szCs w:val="18"/>
                <w:lang w:val="es-ES" w:eastAsia="es-ES"/>
              </w:rPr>
              <w:t>probado en plazo (31.12.2017)</w:t>
            </w:r>
          </w:p>
        </w:tc>
        <w:tc>
          <w:tcPr>
            <w:tcW w:w="869" w:type="pct"/>
            <w:tcBorders>
              <w:top w:val="single" w:sz="4" w:space="0" w:color="auto"/>
              <w:left w:val="nil"/>
              <w:bottom w:val="single" w:sz="4" w:space="0" w:color="auto"/>
              <w:right w:val="nil"/>
            </w:tcBorders>
            <w:shd w:val="clear" w:color="000000" w:fill="F4B084"/>
            <w:vAlign w:val="center"/>
            <w:hideMark/>
          </w:tcPr>
          <w:p w:rsidR="008826C0" w:rsidRPr="00030037" w:rsidRDefault="00200A4A" w:rsidP="00200A4A">
            <w:pPr>
              <w:spacing w:after="0"/>
              <w:ind w:firstLine="0"/>
              <w:jc w:val="right"/>
              <w:rPr>
                <w:rFonts w:ascii="Arial" w:hAnsi="Arial" w:cs="Arial"/>
                <w:sz w:val="18"/>
                <w:szCs w:val="18"/>
                <w:lang w:val="es-ES" w:eastAsia="es-ES"/>
              </w:rPr>
            </w:pPr>
            <w:r w:rsidRPr="00030037">
              <w:rPr>
                <w:rFonts w:ascii="Arial" w:hAnsi="Arial" w:cs="Arial"/>
                <w:sz w:val="18"/>
                <w:szCs w:val="18"/>
                <w:lang w:val="es-ES" w:eastAsia="es-ES"/>
              </w:rPr>
              <w:t>E</w:t>
            </w:r>
            <w:r w:rsidR="008826C0" w:rsidRPr="00030037">
              <w:rPr>
                <w:rFonts w:ascii="Arial" w:hAnsi="Arial" w:cs="Arial"/>
                <w:sz w:val="18"/>
                <w:szCs w:val="18"/>
                <w:lang w:val="es-ES" w:eastAsia="es-ES"/>
              </w:rPr>
              <w:t>nvío en plazo (16.01.2018)</w:t>
            </w:r>
          </w:p>
        </w:tc>
        <w:tc>
          <w:tcPr>
            <w:tcW w:w="703" w:type="pct"/>
            <w:tcBorders>
              <w:top w:val="single" w:sz="4" w:space="0" w:color="auto"/>
              <w:left w:val="nil"/>
              <w:bottom w:val="single" w:sz="4" w:space="0" w:color="auto"/>
              <w:right w:val="nil"/>
            </w:tcBorders>
            <w:shd w:val="clear" w:color="000000" w:fill="F4B084"/>
            <w:vAlign w:val="center"/>
            <w:hideMark/>
          </w:tcPr>
          <w:p w:rsidR="008826C0" w:rsidRPr="00030037" w:rsidRDefault="00200A4A" w:rsidP="00200A4A">
            <w:pPr>
              <w:spacing w:after="0"/>
              <w:ind w:firstLine="0"/>
              <w:jc w:val="right"/>
              <w:rPr>
                <w:rFonts w:ascii="Arial" w:hAnsi="Arial" w:cs="Arial"/>
                <w:sz w:val="18"/>
                <w:szCs w:val="18"/>
                <w:lang w:val="es-ES" w:eastAsia="es-ES"/>
              </w:rPr>
            </w:pPr>
            <w:r w:rsidRPr="00030037">
              <w:rPr>
                <w:rFonts w:ascii="Arial" w:hAnsi="Arial" w:cs="Arial"/>
                <w:sz w:val="18"/>
                <w:szCs w:val="18"/>
                <w:lang w:val="es-ES" w:eastAsia="es-ES"/>
              </w:rPr>
              <w:t>E</w:t>
            </w:r>
            <w:r w:rsidR="008826C0" w:rsidRPr="00030037">
              <w:rPr>
                <w:rFonts w:ascii="Arial" w:hAnsi="Arial" w:cs="Arial"/>
                <w:sz w:val="18"/>
                <w:szCs w:val="18"/>
                <w:lang w:val="es-ES" w:eastAsia="es-ES"/>
              </w:rPr>
              <w:t>nvío hasta 01.04.2018</w:t>
            </w:r>
          </w:p>
        </w:tc>
      </w:tr>
      <w:tr w:rsidR="00B81E61" w:rsidRPr="00030037" w:rsidTr="0050636A">
        <w:trPr>
          <w:trHeight w:val="244"/>
          <w:jc w:val="center"/>
        </w:trPr>
        <w:tc>
          <w:tcPr>
            <w:tcW w:w="2042"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left"/>
              <w:rPr>
                <w:rFonts w:ascii="Arial Narrow" w:hAnsi="Arial Narrow" w:cs="Calibri"/>
                <w:lang w:val="es-ES" w:eastAsia="es-ES"/>
              </w:rPr>
            </w:pPr>
            <w:r w:rsidRPr="00030037">
              <w:rPr>
                <w:rFonts w:ascii="Arial Narrow" w:hAnsi="Arial Narrow" w:cs="Calibri"/>
                <w:lang w:val="es-ES" w:eastAsia="es-ES"/>
              </w:rPr>
              <w:t>Municipios</w:t>
            </w:r>
          </w:p>
        </w:tc>
        <w:tc>
          <w:tcPr>
            <w:tcW w:w="1386"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lang w:val="es-ES" w:eastAsia="es-ES"/>
              </w:rPr>
            </w:pPr>
            <w:r w:rsidRPr="00030037">
              <w:rPr>
                <w:rFonts w:ascii="Arial Narrow" w:hAnsi="Arial Narrow" w:cs="Calibri"/>
                <w:lang w:val="es-ES" w:eastAsia="es-ES"/>
              </w:rPr>
              <w:t>37%</w:t>
            </w:r>
          </w:p>
        </w:tc>
        <w:tc>
          <w:tcPr>
            <w:tcW w:w="869"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lang w:val="es-ES" w:eastAsia="es-ES"/>
              </w:rPr>
            </w:pPr>
            <w:r w:rsidRPr="00030037">
              <w:rPr>
                <w:rFonts w:ascii="Arial Narrow" w:hAnsi="Arial Narrow" w:cs="Calibri"/>
                <w:lang w:val="es-ES" w:eastAsia="es-ES"/>
              </w:rPr>
              <w:t>6%</w:t>
            </w:r>
          </w:p>
        </w:tc>
        <w:tc>
          <w:tcPr>
            <w:tcW w:w="703"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lang w:val="es-ES" w:eastAsia="es-ES"/>
              </w:rPr>
            </w:pPr>
            <w:r w:rsidRPr="00030037">
              <w:rPr>
                <w:rFonts w:ascii="Arial Narrow" w:hAnsi="Arial Narrow" w:cs="Calibri"/>
                <w:lang w:val="es-ES" w:eastAsia="es-ES"/>
              </w:rPr>
              <w:t>43%</w:t>
            </w:r>
          </w:p>
        </w:tc>
      </w:tr>
      <w:tr w:rsidR="00B81E61" w:rsidRPr="00030037" w:rsidTr="0050636A">
        <w:trPr>
          <w:trHeight w:val="244"/>
          <w:jc w:val="center"/>
        </w:trPr>
        <w:tc>
          <w:tcPr>
            <w:tcW w:w="2042"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left"/>
              <w:rPr>
                <w:rFonts w:ascii="Arial Narrow" w:hAnsi="Arial Narrow" w:cs="Calibri"/>
                <w:lang w:val="es-ES" w:eastAsia="es-ES"/>
              </w:rPr>
            </w:pPr>
            <w:r w:rsidRPr="00030037">
              <w:rPr>
                <w:rFonts w:ascii="Arial Narrow" w:hAnsi="Arial Narrow" w:cs="Calibri"/>
                <w:lang w:val="es-ES" w:eastAsia="es-ES"/>
              </w:rPr>
              <w:t>Concejos</w:t>
            </w:r>
          </w:p>
        </w:tc>
        <w:tc>
          <w:tcPr>
            <w:tcW w:w="1386"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lang w:val="es-ES" w:eastAsia="es-ES"/>
              </w:rPr>
            </w:pPr>
            <w:r w:rsidRPr="00030037">
              <w:rPr>
                <w:rFonts w:ascii="Arial Narrow" w:hAnsi="Arial Narrow" w:cs="Calibri"/>
                <w:lang w:val="es-ES" w:eastAsia="es-ES"/>
              </w:rPr>
              <w:t>10%</w:t>
            </w:r>
          </w:p>
        </w:tc>
        <w:tc>
          <w:tcPr>
            <w:tcW w:w="869"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lang w:val="es-ES" w:eastAsia="es-ES"/>
              </w:rPr>
            </w:pPr>
            <w:r w:rsidRPr="00030037">
              <w:rPr>
                <w:rFonts w:ascii="Arial Narrow" w:hAnsi="Arial Narrow" w:cs="Calibri"/>
                <w:lang w:val="es-ES" w:eastAsia="es-ES"/>
              </w:rPr>
              <w:t>2%</w:t>
            </w:r>
          </w:p>
        </w:tc>
        <w:tc>
          <w:tcPr>
            <w:tcW w:w="703"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lang w:val="es-ES" w:eastAsia="es-ES"/>
              </w:rPr>
            </w:pPr>
            <w:r w:rsidRPr="00030037">
              <w:rPr>
                <w:rFonts w:ascii="Arial Narrow" w:hAnsi="Arial Narrow" w:cs="Calibri"/>
                <w:lang w:val="es-ES" w:eastAsia="es-ES"/>
              </w:rPr>
              <w:t>18%</w:t>
            </w:r>
          </w:p>
        </w:tc>
      </w:tr>
      <w:tr w:rsidR="00B81E61" w:rsidRPr="00030037" w:rsidTr="0050636A">
        <w:trPr>
          <w:trHeight w:val="244"/>
          <w:jc w:val="center"/>
        </w:trPr>
        <w:tc>
          <w:tcPr>
            <w:tcW w:w="2042"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left"/>
              <w:rPr>
                <w:rFonts w:ascii="Arial Narrow" w:hAnsi="Arial Narrow" w:cs="Calibri"/>
                <w:lang w:val="es-ES" w:eastAsia="es-ES"/>
              </w:rPr>
            </w:pPr>
            <w:r w:rsidRPr="00030037">
              <w:rPr>
                <w:rFonts w:ascii="Arial Narrow" w:hAnsi="Arial Narrow" w:cs="Calibri"/>
                <w:lang w:val="es-ES" w:eastAsia="es-ES"/>
              </w:rPr>
              <w:t>Mancomunidades</w:t>
            </w:r>
          </w:p>
        </w:tc>
        <w:tc>
          <w:tcPr>
            <w:tcW w:w="1386"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lang w:val="es-ES" w:eastAsia="es-ES"/>
              </w:rPr>
            </w:pPr>
            <w:r w:rsidRPr="00030037">
              <w:rPr>
                <w:rFonts w:ascii="Arial Narrow" w:hAnsi="Arial Narrow" w:cs="Calibri"/>
                <w:lang w:val="es-ES" w:eastAsia="es-ES"/>
              </w:rPr>
              <w:t>45%</w:t>
            </w:r>
          </w:p>
        </w:tc>
        <w:tc>
          <w:tcPr>
            <w:tcW w:w="869"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lang w:val="es-ES" w:eastAsia="es-ES"/>
              </w:rPr>
            </w:pPr>
            <w:r w:rsidRPr="00030037">
              <w:rPr>
                <w:rFonts w:ascii="Arial Narrow" w:hAnsi="Arial Narrow" w:cs="Calibri"/>
                <w:lang w:val="es-ES" w:eastAsia="es-ES"/>
              </w:rPr>
              <w:t>8%</w:t>
            </w:r>
          </w:p>
        </w:tc>
        <w:tc>
          <w:tcPr>
            <w:tcW w:w="703"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lang w:val="es-ES" w:eastAsia="es-ES"/>
              </w:rPr>
            </w:pPr>
            <w:r w:rsidRPr="00030037">
              <w:rPr>
                <w:rFonts w:ascii="Arial Narrow" w:hAnsi="Arial Narrow" w:cs="Calibri"/>
                <w:lang w:val="es-ES" w:eastAsia="es-ES"/>
              </w:rPr>
              <w:t>31%</w:t>
            </w:r>
          </w:p>
        </w:tc>
      </w:tr>
      <w:tr w:rsidR="00B81E61" w:rsidRPr="00030037" w:rsidTr="0050636A">
        <w:trPr>
          <w:trHeight w:val="244"/>
          <w:jc w:val="center"/>
        </w:trPr>
        <w:tc>
          <w:tcPr>
            <w:tcW w:w="2042"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left"/>
              <w:rPr>
                <w:rFonts w:ascii="Arial Narrow" w:hAnsi="Arial Narrow" w:cs="Calibri"/>
                <w:lang w:val="es-ES" w:eastAsia="es-ES"/>
              </w:rPr>
            </w:pPr>
            <w:r w:rsidRPr="00030037">
              <w:rPr>
                <w:rFonts w:ascii="Arial Narrow" w:hAnsi="Arial Narrow" w:cs="Calibri"/>
                <w:lang w:val="es-ES" w:eastAsia="es-ES"/>
              </w:rPr>
              <w:t>Agrupaciones de municipios</w:t>
            </w:r>
          </w:p>
        </w:tc>
        <w:tc>
          <w:tcPr>
            <w:tcW w:w="1386"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lang w:val="es-ES" w:eastAsia="es-ES"/>
              </w:rPr>
            </w:pPr>
            <w:r w:rsidRPr="00030037">
              <w:rPr>
                <w:rFonts w:ascii="Arial Narrow" w:hAnsi="Arial Narrow" w:cs="Calibri"/>
                <w:lang w:val="es-ES" w:eastAsia="es-ES"/>
              </w:rPr>
              <w:t>32%</w:t>
            </w:r>
          </w:p>
        </w:tc>
        <w:tc>
          <w:tcPr>
            <w:tcW w:w="869"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lang w:val="es-ES" w:eastAsia="es-ES"/>
              </w:rPr>
            </w:pPr>
            <w:r w:rsidRPr="00030037">
              <w:rPr>
                <w:rFonts w:ascii="Arial Narrow" w:hAnsi="Arial Narrow" w:cs="Calibri"/>
                <w:lang w:val="es-ES" w:eastAsia="es-ES"/>
              </w:rPr>
              <w:t>0%</w:t>
            </w:r>
          </w:p>
        </w:tc>
        <w:tc>
          <w:tcPr>
            <w:tcW w:w="703" w:type="pct"/>
            <w:tcBorders>
              <w:top w:val="nil"/>
              <w:left w:val="nil"/>
              <w:bottom w:val="single" w:sz="4" w:space="0" w:color="auto"/>
              <w:right w:val="nil"/>
            </w:tcBorders>
            <w:shd w:val="clear" w:color="auto" w:fill="auto"/>
            <w:noWrap/>
            <w:vAlign w:val="bottom"/>
            <w:hideMark/>
          </w:tcPr>
          <w:p w:rsidR="008826C0" w:rsidRPr="00030037" w:rsidRDefault="008826C0" w:rsidP="008826C0">
            <w:pPr>
              <w:spacing w:after="0"/>
              <w:ind w:firstLine="0"/>
              <w:jc w:val="right"/>
              <w:rPr>
                <w:rFonts w:ascii="Arial Narrow" w:hAnsi="Arial Narrow" w:cs="Calibri"/>
                <w:lang w:val="es-ES" w:eastAsia="es-ES"/>
              </w:rPr>
            </w:pPr>
            <w:r w:rsidRPr="00030037">
              <w:rPr>
                <w:rFonts w:ascii="Arial Narrow" w:hAnsi="Arial Narrow" w:cs="Calibri"/>
                <w:lang w:val="es-ES" w:eastAsia="es-ES"/>
              </w:rPr>
              <w:t>23%</w:t>
            </w:r>
          </w:p>
        </w:tc>
      </w:tr>
    </w:tbl>
    <w:p w:rsidR="008826C0" w:rsidRPr="005A760B" w:rsidRDefault="00D75699" w:rsidP="008826C0">
      <w:pPr>
        <w:pStyle w:val="texto"/>
        <w:tabs>
          <w:tab w:val="clear" w:pos="2835"/>
          <w:tab w:val="center" w:pos="567"/>
        </w:tabs>
        <w:spacing w:before="120" w:after="120"/>
        <w:rPr>
          <w:rFonts w:cs="Arial"/>
        </w:rPr>
      </w:pPr>
      <w:r w:rsidRPr="005A760B">
        <w:rPr>
          <w:rFonts w:cs="Arial"/>
          <w:lang w:val="es-ES"/>
        </w:rPr>
        <w:t>Destaca</w:t>
      </w:r>
      <w:r w:rsidR="00E050C5" w:rsidRPr="005A760B">
        <w:rPr>
          <w:rFonts w:cs="Arial"/>
          <w:lang w:val="es-ES"/>
        </w:rPr>
        <w:t>n</w:t>
      </w:r>
      <w:r w:rsidRPr="005A760B">
        <w:rPr>
          <w:rFonts w:cs="Arial"/>
          <w:lang w:val="es-ES"/>
        </w:rPr>
        <w:t xml:space="preserve"> los bajos índices de aprobación de presupuestos en el plazo est</w:t>
      </w:r>
      <w:r w:rsidRPr="005A760B">
        <w:rPr>
          <w:rFonts w:cs="Arial"/>
          <w:lang w:val="es-ES"/>
        </w:rPr>
        <w:t>a</w:t>
      </w:r>
      <w:r w:rsidRPr="005A760B">
        <w:rPr>
          <w:rFonts w:cs="Arial"/>
          <w:lang w:val="es-ES"/>
        </w:rPr>
        <w:t xml:space="preserve">blecido. Además, en </w:t>
      </w:r>
      <w:r w:rsidR="004464A8">
        <w:rPr>
          <w:rFonts w:cs="Arial"/>
        </w:rPr>
        <w:t xml:space="preserve">este </w:t>
      </w:r>
      <w:r w:rsidR="00B65280" w:rsidRPr="005A760B">
        <w:rPr>
          <w:rFonts w:cs="Arial"/>
        </w:rPr>
        <w:t>caso la diferencia entre la aprobación</w:t>
      </w:r>
      <w:r w:rsidR="008650B2" w:rsidRPr="005A760B">
        <w:rPr>
          <w:rFonts w:cs="Arial"/>
        </w:rPr>
        <w:t xml:space="preserve"> del expediente </w:t>
      </w:r>
      <w:r w:rsidR="002C7A3D" w:rsidRPr="005A760B">
        <w:rPr>
          <w:rFonts w:cs="Arial"/>
        </w:rPr>
        <w:t xml:space="preserve">y el envío </w:t>
      </w:r>
      <w:r w:rsidRPr="005A760B">
        <w:rPr>
          <w:rFonts w:cs="Arial"/>
        </w:rPr>
        <w:t>del mismo en plazo</w:t>
      </w:r>
      <w:r w:rsidR="008650B2" w:rsidRPr="005A760B">
        <w:rPr>
          <w:rFonts w:cs="Arial"/>
        </w:rPr>
        <w:t>,</w:t>
      </w:r>
      <w:r w:rsidR="002C7A3D" w:rsidRPr="005A760B">
        <w:rPr>
          <w:rFonts w:cs="Arial"/>
        </w:rPr>
        <w:t xml:space="preserve"> es mayor que en el caso de la Cuenta </w:t>
      </w:r>
      <w:r w:rsidRPr="005A760B">
        <w:rPr>
          <w:rFonts w:cs="Arial"/>
        </w:rPr>
        <w:t>General.</w:t>
      </w:r>
    </w:p>
    <w:p w:rsidR="001049D6" w:rsidRPr="005A760B" w:rsidRDefault="001049D6" w:rsidP="001049D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before="120" w:after="120"/>
        <w:ind w:left="0" w:firstLine="289"/>
        <w:rPr>
          <w:rFonts w:cs="Arial"/>
        </w:rPr>
      </w:pPr>
      <w:r w:rsidRPr="005A760B">
        <w:rPr>
          <w:rFonts w:cs="Arial"/>
        </w:rPr>
        <w:t xml:space="preserve">En el año 2018 se fiscalizaron los ayuntamientos de Pamplona, Burlada, Castejón, Marcilla, </w:t>
      </w:r>
      <w:proofErr w:type="spellStart"/>
      <w:r w:rsidRPr="005A760B">
        <w:rPr>
          <w:rFonts w:cs="Arial"/>
        </w:rPr>
        <w:t>Murchante</w:t>
      </w:r>
      <w:proofErr w:type="spellEnd"/>
      <w:r w:rsidRPr="005A760B">
        <w:rPr>
          <w:rFonts w:cs="Arial"/>
        </w:rPr>
        <w:t xml:space="preserve">, </w:t>
      </w:r>
      <w:proofErr w:type="spellStart"/>
      <w:r w:rsidRPr="005A760B">
        <w:rPr>
          <w:rFonts w:cs="Arial"/>
        </w:rPr>
        <w:t>Olite</w:t>
      </w:r>
      <w:proofErr w:type="spellEnd"/>
      <w:r w:rsidRPr="005A760B">
        <w:rPr>
          <w:rFonts w:cs="Arial"/>
        </w:rPr>
        <w:t xml:space="preserve">, Viana, </w:t>
      </w:r>
      <w:r w:rsidR="00E050C5" w:rsidRPr="005A760B">
        <w:rPr>
          <w:rFonts w:cs="Arial"/>
        </w:rPr>
        <w:t xml:space="preserve">el </w:t>
      </w:r>
      <w:r w:rsidRPr="005A760B">
        <w:rPr>
          <w:rFonts w:cs="Arial"/>
        </w:rPr>
        <w:t xml:space="preserve">Concejo de </w:t>
      </w:r>
      <w:proofErr w:type="spellStart"/>
      <w:r w:rsidRPr="005A760B">
        <w:rPr>
          <w:rFonts w:cs="Arial"/>
        </w:rPr>
        <w:t>Figarol</w:t>
      </w:r>
      <w:proofErr w:type="spellEnd"/>
      <w:r w:rsidRPr="005A760B">
        <w:rPr>
          <w:rFonts w:cs="Arial"/>
        </w:rPr>
        <w:t xml:space="preserve"> y </w:t>
      </w:r>
      <w:r w:rsidR="00E050C5" w:rsidRPr="005A760B">
        <w:rPr>
          <w:rFonts w:cs="Arial"/>
        </w:rPr>
        <w:t xml:space="preserve">el </w:t>
      </w:r>
      <w:r w:rsidRPr="005A760B">
        <w:rPr>
          <w:rFonts w:cs="Arial"/>
        </w:rPr>
        <w:t>Co</w:t>
      </w:r>
      <w:r w:rsidRPr="005A760B">
        <w:rPr>
          <w:rFonts w:cs="Arial"/>
        </w:rPr>
        <w:t>n</w:t>
      </w:r>
      <w:r w:rsidRPr="005A760B">
        <w:rPr>
          <w:rFonts w:cs="Arial"/>
        </w:rPr>
        <w:t xml:space="preserve">sorcio de la Zona Media de Navarra. </w:t>
      </w:r>
    </w:p>
    <w:p w:rsidR="001049D6" w:rsidRPr="005A760B" w:rsidRDefault="001049D6" w:rsidP="001049D6">
      <w:pPr>
        <w:pStyle w:val="texto"/>
        <w:spacing w:before="120" w:after="120"/>
        <w:rPr>
          <w:w w:val="103"/>
        </w:rPr>
      </w:pPr>
      <w:r w:rsidRPr="005A760B">
        <w:t xml:space="preserve">Las principales deficiencias detectadas en las fiscalizaciones se refieren </w:t>
      </w:r>
      <w:r w:rsidRPr="005A760B">
        <w:rPr>
          <w:w w:val="103"/>
        </w:rPr>
        <w:t xml:space="preserve">al abono de gastos </w:t>
      </w:r>
      <w:r w:rsidRPr="005A760B">
        <w:t>sin la tramitación del correspondiente expediente de contrat</w:t>
      </w:r>
      <w:r w:rsidRPr="005A760B">
        <w:t>a</w:t>
      </w:r>
      <w:r w:rsidRPr="005A760B">
        <w:t>ción o cuya vigencia del contrato finalizó previamente, a la falta de aprobación y actualización del inventario municipal y a la falta de aprobación de ofertas públicas de empleo y convocatoria de las vacantes permitidas.</w:t>
      </w:r>
    </w:p>
    <w:p w:rsidR="001049D6" w:rsidRPr="005A760B" w:rsidRDefault="001049D6" w:rsidP="00E36FFF">
      <w:pPr>
        <w:pStyle w:val="texto"/>
        <w:numPr>
          <w:ilvl w:val="0"/>
          <w:numId w:val="12"/>
        </w:numPr>
        <w:tabs>
          <w:tab w:val="clear" w:pos="2835"/>
          <w:tab w:val="center" w:pos="567"/>
        </w:tabs>
        <w:spacing w:before="120" w:after="120"/>
        <w:ind w:left="0" w:firstLine="284"/>
        <w:rPr>
          <w:rFonts w:cs="Arial"/>
        </w:rPr>
      </w:pPr>
      <w:r w:rsidRPr="005A760B">
        <w:rPr>
          <w:rFonts w:cs="Arial"/>
        </w:rPr>
        <w:t>En cuanto a la situación financiera consolidada</w:t>
      </w:r>
      <w:r w:rsidR="00E36FFF" w:rsidRPr="005A760B">
        <w:rPr>
          <w:rFonts w:cs="Arial"/>
        </w:rPr>
        <w:t xml:space="preserve"> del sector público local</w:t>
      </w:r>
      <w:r w:rsidRPr="005A760B">
        <w:rPr>
          <w:rFonts w:cs="Arial"/>
        </w:rPr>
        <w:t xml:space="preserve">, en 2018 los ingresos ascendieron a 839,48 </w:t>
      </w:r>
      <w:r w:rsidR="008A5FED" w:rsidRPr="005A760B">
        <w:rPr>
          <w:rFonts w:cs="Arial"/>
        </w:rPr>
        <w:t>millones,</w:t>
      </w:r>
      <w:r w:rsidRPr="005A760B">
        <w:rPr>
          <w:rFonts w:cs="Arial"/>
        </w:rPr>
        <w:t xml:space="preserve"> aumentando un siete por cie</w:t>
      </w:r>
      <w:r w:rsidRPr="005A760B">
        <w:rPr>
          <w:rFonts w:cs="Arial"/>
        </w:rPr>
        <w:t>n</w:t>
      </w:r>
      <w:r w:rsidRPr="005A760B">
        <w:rPr>
          <w:rFonts w:cs="Arial"/>
        </w:rPr>
        <w:t>to respecto a 2017; los gastos ascendieron a 787,98 millones aumentando un cuatro por ciento. La evolución respecto a 2014 presenta el mismo signo</w:t>
      </w:r>
      <w:r w:rsidR="008A5FED" w:rsidRPr="005A760B">
        <w:rPr>
          <w:rFonts w:cs="Arial"/>
        </w:rPr>
        <w:t>,</w:t>
      </w:r>
      <w:r w:rsidRPr="005A760B">
        <w:rPr>
          <w:rFonts w:cs="Arial"/>
        </w:rPr>
        <w:t xml:space="preserve"> si bien los ingresos aumentaron un 12 y los gastos un nueve por ciento.</w:t>
      </w:r>
    </w:p>
    <w:p w:rsidR="001049D6" w:rsidRPr="005A760B" w:rsidRDefault="00E36FFF" w:rsidP="00E36FFF">
      <w:pPr>
        <w:pStyle w:val="texto"/>
        <w:tabs>
          <w:tab w:val="clear" w:pos="2835"/>
          <w:tab w:val="center" w:pos="567"/>
        </w:tabs>
        <w:spacing w:before="120" w:after="120"/>
      </w:pPr>
      <w:r w:rsidRPr="005A760B">
        <w:rPr>
          <w:rFonts w:cs="Arial"/>
        </w:rPr>
        <w:t xml:space="preserve">En cuanto </w:t>
      </w:r>
      <w:r w:rsidR="001049D6" w:rsidRPr="005A760B">
        <w:t>a la composición de los gastos e ingresos más relevantes del pr</w:t>
      </w:r>
      <w:r w:rsidR="001049D6" w:rsidRPr="005A760B">
        <w:t>e</w:t>
      </w:r>
      <w:r w:rsidR="001049D6" w:rsidRPr="005A760B">
        <w:t xml:space="preserve">supuesto, los gastos de funcionamiento alcanzaron los 626,02 </w:t>
      </w:r>
      <w:r w:rsidR="004C2414" w:rsidRPr="005A760B">
        <w:t>millones</w:t>
      </w:r>
      <w:r w:rsidR="001049D6" w:rsidRPr="005A760B">
        <w:t>, aume</w:t>
      </w:r>
      <w:r w:rsidR="001049D6" w:rsidRPr="005A760B">
        <w:t>n</w:t>
      </w:r>
      <w:r w:rsidR="001049D6" w:rsidRPr="005A760B">
        <w:t xml:space="preserve">tando un siete por ciento respecto a 2014 y un tres por ciento sobre los de 2017. Por otro lado, los ingresos tributarios alcanzaron los 385,04 </w:t>
      </w:r>
      <w:r w:rsidR="004C2414" w:rsidRPr="005A760B">
        <w:t>millones</w:t>
      </w:r>
      <w:r w:rsidR="001049D6" w:rsidRPr="005A760B">
        <w:t>, habiendo aumentado este año un cuatro por ciento respecto al año anterior y un diez por ciento respecto a 2014. El resultado presupuestario no financiero también a</w:t>
      </w:r>
      <w:r w:rsidR="001049D6" w:rsidRPr="005A760B">
        <w:t>u</w:t>
      </w:r>
      <w:r w:rsidR="001049D6" w:rsidRPr="005A760B">
        <w:t>menta tanto respecto al año anterior como respecto a 2014, con un incremento del 30 y 45 por ciento respectivamente.</w:t>
      </w:r>
    </w:p>
    <w:p w:rsidR="001049D6" w:rsidRPr="005A760B" w:rsidRDefault="001049D6" w:rsidP="001049D6">
      <w:pPr>
        <w:pStyle w:val="texto"/>
        <w:spacing w:before="120" w:after="120"/>
      </w:pPr>
      <w:r w:rsidRPr="005A760B">
        <w:t xml:space="preserve">El sector público local obtuvo un resultado no financiero de 81,22 </w:t>
      </w:r>
      <w:r w:rsidR="004C2414" w:rsidRPr="005A760B">
        <w:t>millones</w:t>
      </w:r>
      <w:r w:rsidRPr="005A760B">
        <w:t>, un ahorro neto de 91,60 millones y un remanente de tesorería para gastos gen</w:t>
      </w:r>
      <w:r w:rsidRPr="005A760B">
        <w:t>e</w:t>
      </w:r>
      <w:r w:rsidRPr="005A760B">
        <w:t>rales de 250,65 millones. Este último indicador continúa la senda ascendente de los últimos años con un incremento respecto a 2014 del 46 por ciento.</w:t>
      </w:r>
    </w:p>
    <w:p w:rsidR="001049D6" w:rsidRPr="005A760B" w:rsidRDefault="001049D6" w:rsidP="001049D6">
      <w:pPr>
        <w:pStyle w:val="texto"/>
        <w:spacing w:before="120" w:after="120"/>
      </w:pPr>
      <w:r w:rsidRPr="005A760B">
        <w:t xml:space="preserve">La deuda viva en 2018 ascendía a 207,63 </w:t>
      </w:r>
      <w:r w:rsidR="004C2414" w:rsidRPr="005A760B">
        <w:t>millones</w:t>
      </w:r>
      <w:r w:rsidRPr="005A760B">
        <w:t>, habiéndose reducido un 39 por ciento respecto a 2014 y un 11 por ciento respecto al 2017; los entes l</w:t>
      </w:r>
      <w:r w:rsidRPr="005A760B">
        <w:t>o</w:t>
      </w:r>
      <w:r w:rsidRPr="005A760B">
        <w:t>cales presentaban un porcentaje de capacidad de endeudamiento del 12 por ciento.</w:t>
      </w:r>
    </w:p>
    <w:p w:rsidR="001049D6" w:rsidRPr="005A760B" w:rsidRDefault="001049D6" w:rsidP="001049D6">
      <w:pPr>
        <w:pStyle w:val="texto"/>
        <w:spacing w:before="120" w:after="120"/>
      </w:pPr>
      <w:r w:rsidRPr="005A760B">
        <w:t xml:space="preserve">Además, obtuvo una capacidad de financiación de 73,56 </w:t>
      </w:r>
      <w:r w:rsidR="004C2414" w:rsidRPr="005A760B">
        <w:t>millones</w:t>
      </w:r>
      <w:r w:rsidRPr="005A760B">
        <w:t xml:space="preserve"> y la deuda viva se situaba en el 28 por ciento de los ingresos corrientes, muy por debajo del límite del 110 por ciento establecido legalmente.</w:t>
      </w:r>
    </w:p>
    <w:p w:rsidR="001049D6" w:rsidRPr="005A760B" w:rsidRDefault="001049D6" w:rsidP="001049D6">
      <w:pPr>
        <w:pStyle w:val="texto"/>
        <w:spacing w:before="120" w:after="120"/>
      </w:pPr>
      <w:r w:rsidRPr="005A760B">
        <w:t>En definitiva, la situación económica del sector público local es saneada, t</w:t>
      </w:r>
      <w:r w:rsidRPr="005A760B">
        <w:t>o</w:t>
      </w:r>
      <w:r w:rsidRPr="005A760B">
        <w:t>dos los indicadores económico-financieros muestran una evolución favorable, si bien la realización de gastos no financieros y la capacidad de endeudamiento están limitados por el cumplimiento de los objetivos de estabilidad y sostenib</w:t>
      </w:r>
      <w:r w:rsidRPr="005A760B">
        <w:t>i</w:t>
      </w:r>
      <w:r w:rsidRPr="005A760B">
        <w:t>lidad financiera, objetivos que el sector público local en su conjunto cumplió en el ejercicio 2018.</w:t>
      </w:r>
    </w:p>
    <w:p w:rsidR="001049D6" w:rsidRPr="005A760B" w:rsidRDefault="001049D6" w:rsidP="00D62ED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20"/>
        <w:ind w:left="0" w:firstLine="289"/>
        <w:rPr>
          <w:rFonts w:cs="Arial"/>
        </w:rPr>
      </w:pPr>
      <w:r w:rsidRPr="005A760B">
        <w:rPr>
          <w:rFonts w:cs="Arial"/>
        </w:rPr>
        <w:t>Las entidades locales y sus entes dependientes adjudicaron en 2018 un t</w:t>
      </w:r>
      <w:r w:rsidRPr="005A760B">
        <w:rPr>
          <w:rFonts w:cs="Arial"/>
        </w:rPr>
        <w:t>o</w:t>
      </w:r>
      <w:r w:rsidRPr="005A760B">
        <w:rPr>
          <w:rFonts w:cs="Arial"/>
        </w:rPr>
        <w:t>tal de 565 contratos por un importe de 103,14 millones; el 55 por ciento de ellos se corresponde con contratos de obras (76 por ciento del total del importe citado)</w:t>
      </w:r>
      <w:r w:rsidR="001B6928">
        <w:rPr>
          <w:rFonts w:cs="Arial"/>
        </w:rPr>
        <w:t>;</w:t>
      </w:r>
      <w:r w:rsidRPr="005A760B">
        <w:rPr>
          <w:rFonts w:cs="Arial"/>
        </w:rPr>
        <w:t xml:space="preserve"> el 30 por ciento son de servicios (15 por ciento del importe total)</w:t>
      </w:r>
      <w:r w:rsidR="001B6928">
        <w:rPr>
          <w:rFonts w:cs="Arial"/>
        </w:rPr>
        <w:t>;</w:t>
      </w:r>
      <w:r w:rsidRPr="005A760B">
        <w:rPr>
          <w:rFonts w:cs="Arial"/>
        </w:rPr>
        <w:t xml:space="preserve"> el 12 por ciento fueron destinados a suministros (siete por ciento del montante total)</w:t>
      </w:r>
      <w:r w:rsidR="001B6928">
        <w:rPr>
          <w:rFonts w:cs="Arial"/>
        </w:rPr>
        <w:t>;</w:t>
      </w:r>
      <w:r w:rsidRPr="005A760B">
        <w:rPr>
          <w:rFonts w:cs="Arial"/>
        </w:rPr>
        <w:t xml:space="preserve"> y el restante tres por ciento son concesiones de servicios (dos por ciento del importe total). </w:t>
      </w:r>
    </w:p>
    <w:p w:rsidR="00356EAE" w:rsidRPr="005A760B" w:rsidRDefault="001049D6" w:rsidP="00D62ED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00"/>
        <w:ind w:left="0" w:firstLine="289"/>
        <w:rPr>
          <w:rFonts w:cs="Arial"/>
        </w:rPr>
      </w:pPr>
      <w:r w:rsidRPr="005A760B">
        <w:rPr>
          <w:rFonts w:cs="Arial"/>
        </w:rPr>
        <w:t>Del análisis de la comparativa de indicadores entre los ayuntamientos n</w:t>
      </w:r>
      <w:r w:rsidRPr="005A760B">
        <w:rPr>
          <w:rFonts w:cs="Arial"/>
        </w:rPr>
        <w:t>a</w:t>
      </w:r>
      <w:r w:rsidRPr="005A760B">
        <w:rPr>
          <w:rFonts w:cs="Arial"/>
        </w:rPr>
        <w:t xml:space="preserve">varros y los del resto del Estado </w:t>
      </w:r>
      <w:r w:rsidR="00E36FFF" w:rsidRPr="005A760B">
        <w:rPr>
          <w:rFonts w:cs="Arial"/>
        </w:rPr>
        <w:t xml:space="preserve">existen </w:t>
      </w:r>
      <w:r w:rsidRPr="005A760B">
        <w:rPr>
          <w:rFonts w:cs="Arial"/>
        </w:rPr>
        <w:t>diferencias según los tramos de pobl</w:t>
      </w:r>
      <w:r w:rsidRPr="005A760B">
        <w:rPr>
          <w:rFonts w:cs="Arial"/>
        </w:rPr>
        <w:t>a</w:t>
      </w:r>
      <w:r w:rsidRPr="005A760B">
        <w:rPr>
          <w:rFonts w:cs="Arial"/>
        </w:rPr>
        <w:t xml:space="preserve">ción; </w:t>
      </w:r>
      <w:r w:rsidR="006D781C" w:rsidRPr="005A760B">
        <w:rPr>
          <w:rFonts w:cs="Arial"/>
        </w:rPr>
        <w:t>los gastos e ingresos por habitantes son superiores en los municipios n</w:t>
      </w:r>
      <w:r w:rsidR="006D781C" w:rsidRPr="005A760B">
        <w:rPr>
          <w:rFonts w:cs="Arial"/>
        </w:rPr>
        <w:t>a</w:t>
      </w:r>
      <w:r w:rsidR="006D781C" w:rsidRPr="005A760B">
        <w:rPr>
          <w:rFonts w:cs="Arial"/>
        </w:rPr>
        <w:t>varros excepto en el tramo de ayuntamientos de 5</w:t>
      </w:r>
      <w:r w:rsidRPr="005A760B">
        <w:rPr>
          <w:rFonts w:cs="Arial"/>
        </w:rPr>
        <w:t xml:space="preserve">.000 </w:t>
      </w:r>
      <w:r w:rsidR="006D781C" w:rsidRPr="005A760B">
        <w:rPr>
          <w:rFonts w:cs="Arial"/>
        </w:rPr>
        <w:t>a</w:t>
      </w:r>
      <w:r w:rsidRPr="005A760B">
        <w:rPr>
          <w:rFonts w:cs="Arial"/>
        </w:rPr>
        <w:t xml:space="preserve"> 50.000 habitantes</w:t>
      </w:r>
      <w:r w:rsidR="006D781C" w:rsidRPr="005A760B">
        <w:rPr>
          <w:rFonts w:cs="Arial"/>
        </w:rPr>
        <w:t>. L</w:t>
      </w:r>
      <w:r w:rsidRPr="005A760B">
        <w:rPr>
          <w:rFonts w:cs="Arial"/>
        </w:rPr>
        <w:t>os indicadores de ahorro bruto y neto son superiores para los ayuntamientos nav</w:t>
      </w:r>
      <w:r w:rsidRPr="005A760B">
        <w:rPr>
          <w:rFonts w:cs="Arial"/>
        </w:rPr>
        <w:t>a</w:t>
      </w:r>
      <w:r w:rsidRPr="005A760B">
        <w:rPr>
          <w:rFonts w:cs="Arial"/>
        </w:rPr>
        <w:t>rros</w:t>
      </w:r>
      <w:r w:rsidR="001B6928">
        <w:rPr>
          <w:rFonts w:cs="Arial"/>
        </w:rPr>
        <w:t>,</w:t>
      </w:r>
      <w:r w:rsidR="00167492" w:rsidRPr="005A760B">
        <w:rPr>
          <w:rFonts w:cs="Arial"/>
        </w:rPr>
        <w:t xml:space="preserve"> de menos de 5.000 habitantes. Asimismo, l</w:t>
      </w:r>
      <w:r w:rsidR="006D781C" w:rsidRPr="005A760B">
        <w:rPr>
          <w:rFonts w:cs="Arial"/>
        </w:rPr>
        <w:t xml:space="preserve">a deuda viva por habitante y el nivel de endeudamiento son superiores en los ayuntamientos de menos de 5.000 habitantes </w:t>
      </w:r>
      <w:r w:rsidR="001063A7" w:rsidRPr="005A760B">
        <w:rPr>
          <w:rFonts w:cs="Arial"/>
        </w:rPr>
        <w:t>e inferiores</w:t>
      </w:r>
      <w:r w:rsidR="006D781C" w:rsidRPr="005A760B">
        <w:rPr>
          <w:rFonts w:cs="Arial"/>
        </w:rPr>
        <w:t xml:space="preserve"> en el resto</w:t>
      </w:r>
      <w:r w:rsidR="00356EAE" w:rsidRPr="005A760B">
        <w:rPr>
          <w:rFonts w:cs="Arial"/>
        </w:rPr>
        <w:t xml:space="preserve">. Los ingresos tributarios son inferiores en Navarra </w:t>
      </w:r>
      <w:r w:rsidR="00AF41CA" w:rsidRPr="005A760B">
        <w:rPr>
          <w:rFonts w:cs="Arial"/>
        </w:rPr>
        <w:t xml:space="preserve">en todos los tramos excepto en el de 1.000 a 5.000 habitantes en el que es similar, </w:t>
      </w:r>
      <w:r w:rsidR="00356EAE" w:rsidRPr="005A760B">
        <w:rPr>
          <w:rFonts w:cs="Arial"/>
        </w:rPr>
        <w:t>y el porcentaje de dependencia de transferencias corrientes es sup</w:t>
      </w:r>
      <w:r w:rsidR="00356EAE" w:rsidRPr="005A760B">
        <w:rPr>
          <w:rFonts w:cs="Arial"/>
        </w:rPr>
        <w:t>e</w:t>
      </w:r>
      <w:r w:rsidR="00356EAE" w:rsidRPr="005A760B">
        <w:rPr>
          <w:rFonts w:cs="Arial"/>
        </w:rPr>
        <w:t>rior para los municipios navarros en todos los tramos poblacionales.</w:t>
      </w:r>
    </w:p>
    <w:p w:rsidR="001049D6" w:rsidRPr="005A760B" w:rsidRDefault="001049D6" w:rsidP="00D62ED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00"/>
        <w:ind w:left="0" w:firstLine="289"/>
        <w:rPr>
          <w:rFonts w:cs="Arial"/>
        </w:rPr>
      </w:pPr>
      <w:r w:rsidRPr="005A760B">
        <w:rPr>
          <w:rFonts w:cs="Arial"/>
        </w:rPr>
        <w:t xml:space="preserve"> La regulación de las haciendas locales precisa una profunda revisión de su régimen presupuestario-contable, sistema de control interno y modelo de fina</w:t>
      </w:r>
      <w:r w:rsidRPr="005A760B">
        <w:rPr>
          <w:rFonts w:cs="Arial"/>
        </w:rPr>
        <w:t>n</w:t>
      </w:r>
      <w:r w:rsidRPr="005A760B">
        <w:rPr>
          <w:rFonts w:cs="Arial"/>
        </w:rPr>
        <w:t xml:space="preserve">ciación. </w:t>
      </w:r>
    </w:p>
    <w:p w:rsidR="001049D6" w:rsidRPr="005A760B" w:rsidRDefault="001049D6" w:rsidP="00D62EDE">
      <w:pPr>
        <w:pStyle w:val="texto"/>
        <w:spacing w:after="100"/>
      </w:pPr>
      <w:r w:rsidRPr="005A760B">
        <w:tab/>
        <w:t>Asimismo, la contabilidad local en Navarra está regulada sobre la base del Plan General de Contabilidad Pública adaptado a la administración local apr</w:t>
      </w:r>
      <w:r w:rsidRPr="005A760B">
        <w:t>o</w:t>
      </w:r>
      <w:r w:rsidRPr="005A760B">
        <w:t>bado por Orden Ministerial de 17 de julio de 1990.</w:t>
      </w:r>
    </w:p>
    <w:p w:rsidR="001049D6" w:rsidRPr="00D62EDE" w:rsidRDefault="001049D6" w:rsidP="00D62EDE">
      <w:pPr>
        <w:pStyle w:val="texto"/>
        <w:spacing w:after="80"/>
        <w:rPr>
          <w:spacing w:val="2"/>
          <w:szCs w:val="26"/>
          <w:lang w:val="es-ES" w:eastAsia="es-ES"/>
        </w:rPr>
      </w:pPr>
      <w:r w:rsidRPr="00D62EDE">
        <w:rPr>
          <w:spacing w:val="2"/>
        </w:rPr>
        <w:t>La última actualización relacionada con esta materia se produjo en 2015 con la aprobación de la nueva estructura</w:t>
      </w:r>
      <w:r w:rsidRPr="00D62EDE">
        <w:rPr>
          <w:spacing w:val="2"/>
          <w:szCs w:val="26"/>
          <w:lang w:val="es-ES" w:eastAsia="es-ES"/>
        </w:rPr>
        <w:t xml:space="preserve"> presupuestaria de las entidades locales. Esta nueva estructura se adapta a la aplicada por las entidades locales de régimen c</w:t>
      </w:r>
      <w:r w:rsidRPr="00D62EDE">
        <w:rPr>
          <w:spacing w:val="2"/>
          <w:szCs w:val="26"/>
          <w:lang w:val="es-ES" w:eastAsia="es-ES"/>
        </w:rPr>
        <w:t>o</w:t>
      </w:r>
      <w:r w:rsidRPr="00D62EDE">
        <w:rPr>
          <w:spacing w:val="2"/>
          <w:szCs w:val="26"/>
          <w:lang w:val="es-ES" w:eastAsia="es-ES"/>
        </w:rPr>
        <w:t>mún.</w:t>
      </w:r>
    </w:p>
    <w:p w:rsidR="001049D6" w:rsidRPr="005A760B" w:rsidRDefault="001049D6" w:rsidP="00D62EDE">
      <w:pPr>
        <w:pStyle w:val="texto"/>
        <w:spacing w:after="200"/>
      </w:pPr>
      <w:r w:rsidRPr="005A760B">
        <w:t xml:space="preserve">No se han dictado normas sobre consolidación de los estados contables de la entidad local y sus entes dependientes. </w:t>
      </w:r>
    </w:p>
    <w:p w:rsidR="00324580" w:rsidRPr="005A760B" w:rsidRDefault="008F7CB0" w:rsidP="001049D6">
      <w:pPr>
        <w:pStyle w:val="texto"/>
        <w:spacing w:before="80" w:after="80"/>
        <w:rPr>
          <w:w w:val="103"/>
        </w:rPr>
      </w:pPr>
      <w:r w:rsidRPr="005A760B">
        <w:rPr>
          <w:w w:val="103"/>
        </w:rPr>
        <w:t>Teniendo en cuenta las conclusiones señaladas l</w:t>
      </w:r>
      <w:r w:rsidR="001049D6" w:rsidRPr="005A760B">
        <w:rPr>
          <w:w w:val="103"/>
        </w:rPr>
        <w:t>as recomendaciones de e</w:t>
      </w:r>
      <w:r w:rsidR="001049D6" w:rsidRPr="005A760B">
        <w:rPr>
          <w:w w:val="103"/>
        </w:rPr>
        <w:t>s</w:t>
      </w:r>
      <w:r w:rsidR="001049D6" w:rsidRPr="005A760B">
        <w:rPr>
          <w:w w:val="103"/>
        </w:rPr>
        <w:t xml:space="preserve">ta Cámara </w:t>
      </w:r>
      <w:r w:rsidR="00324580" w:rsidRPr="005A760B">
        <w:rPr>
          <w:w w:val="103"/>
        </w:rPr>
        <w:t>son las siguientes:</w:t>
      </w:r>
      <w:r w:rsidR="004A4956" w:rsidRPr="005A760B">
        <w:rPr>
          <w:w w:val="103"/>
        </w:rPr>
        <w:t xml:space="preserve"> </w:t>
      </w:r>
    </w:p>
    <w:p w:rsidR="001049D6" w:rsidRPr="00E703F0" w:rsidRDefault="004554C1" w:rsidP="00E703F0">
      <w:pPr>
        <w:pStyle w:val="texto"/>
        <w:spacing w:before="240" w:after="300"/>
        <w:rPr>
          <w:rFonts w:ascii="Arial" w:hAnsi="Arial" w:cs="Arial"/>
          <w:i/>
          <w:w w:val="103"/>
          <w:sz w:val="25"/>
          <w:szCs w:val="25"/>
        </w:rPr>
      </w:pPr>
      <w:r w:rsidRPr="00E703F0">
        <w:rPr>
          <w:rFonts w:ascii="Arial" w:hAnsi="Arial" w:cs="Arial"/>
          <w:i/>
          <w:w w:val="103"/>
          <w:sz w:val="25"/>
          <w:szCs w:val="25"/>
        </w:rPr>
        <w:t>A</w:t>
      </w:r>
      <w:r w:rsidR="001049D6" w:rsidRPr="00E703F0">
        <w:rPr>
          <w:rFonts w:ascii="Arial" w:hAnsi="Arial" w:cs="Arial"/>
          <w:i/>
          <w:w w:val="103"/>
          <w:sz w:val="25"/>
          <w:szCs w:val="25"/>
        </w:rPr>
        <w:t xml:space="preserve"> la Administración de la Comunidad Foral y al Parlamento </w:t>
      </w:r>
      <w:r w:rsidR="00324580" w:rsidRPr="00E703F0">
        <w:rPr>
          <w:rFonts w:ascii="Arial" w:hAnsi="Arial" w:cs="Arial"/>
          <w:i/>
          <w:w w:val="103"/>
          <w:sz w:val="25"/>
          <w:szCs w:val="25"/>
        </w:rPr>
        <w:t>de Nav</w:t>
      </w:r>
      <w:r w:rsidR="00324580" w:rsidRPr="00E703F0">
        <w:rPr>
          <w:rFonts w:ascii="Arial" w:hAnsi="Arial" w:cs="Arial"/>
          <w:i/>
          <w:w w:val="103"/>
          <w:sz w:val="25"/>
          <w:szCs w:val="25"/>
        </w:rPr>
        <w:t>a</w:t>
      </w:r>
      <w:r w:rsidR="00324580" w:rsidRPr="00E703F0">
        <w:rPr>
          <w:rFonts w:ascii="Arial" w:hAnsi="Arial" w:cs="Arial"/>
          <w:i/>
          <w:w w:val="103"/>
          <w:sz w:val="25"/>
          <w:szCs w:val="25"/>
        </w:rPr>
        <w:t>rra</w:t>
      </w:r>
      <w:r w:rsidR="001049D6" w:rsidRPr="00E703F0">
        <w:rPr>
          <w:rFonts w:ascii="Arial" w:hAnsi="Arial" w:cs="Arial"/>
          <w:i/>
          <w:w w:val="103"/>
          <w:sz w:val="25"/>
          <w:szCs w:val="25"/>
        </w:rPr>
        <w:t>:</w:t>
      </w:r>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80"/>
        <w:ind w:left="0" w:firstLine="289"/>
        <w:rPr>
          <w:rFonts w:cs="Arial"/>
          <w:i/>
        </w:rPr>
      </w:pPr>
      <w:r w:rsidRPr="005A760B">
        <w:rPr>
          <w:rFonts w:cs="Arial"/>
          <w:i/>
        </w:rPr>
        <w:t>Continuar con el proceso iniciado mediante la aprobación de la Ley Foral 4/2019, de 4 de febrero, de Reforma de la Administración Local de Navarra y adoptar las medidas legislativas y administrativas precisas para completar la reestructuración de la administración local de Navarra que esta Ley Foral contempla, con la finalidad de lograr una gestión pública eficiente y eficaz.</w:t>
      </w:r>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80"/>
        <w:ind w:left="0" w:firstLine="289"/>
        <w:rPr>
          <w:rFonts w:cs="Arial"/>
          <w:i/>
        </w:rPr>
      </w:pPr>
      <w:r w:rsidRPr="005A760B">
        <w:rPr>
          <w:rFonts w:cs="Arial"/>
          <w:i/>
        </w:rPr>
        <w:t xml:space="preserve"> Acometer urgentemente la reforma de la contabilidad local adaptándola al vigente Plan General de Contabilidad Pública de 2010.</w:t>
      </w:r>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80"/>
        <w:ind w:left="0" w:firstLine="289"/>
        <w:rPr>
          <w:rFonts w:cs="Arial"/>
          <w:i/>
          <w:spacing w:val="4"/>
        </w:rPr>
      </w:pPr>
      <w:r w:rsidRPr="005A760B">
        <w:rPr>
          <w:rFonts w:cs="Arial"/>
          <w:i/>
          <w:spacing w:val="4"/>
        </w:rPr>
        <w:t>Elaborar normas reguladoras sobre la metodología para la consolidación de los estados contables de los entes locales y sus entes dependientes, con el fin de proporcionar una visión integral de la actividad realizada por todo el sector público local.</w:t>
      </w:r>
    </w:p>
    <w:p w:rsidR="001049D6" w:rsidRPr="005A760B" w:rsidRDefault="00F32D4F"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80"/>
        <w:ind w:left="0" w:firstLine="289"/>
        <w:rPr>
          <w:rFonts w:cs="Arial"/>
          <w:i/>
        </w:rPr>
      </w:pPr>
      <w:r w:rsidRPr="005A760B">
        <w:rPr>
          <w:rFonts w:cs="Arial"/>
          <w:i/>
        </w:rPr>
        <w:t xml:space="preserve">Diseñar </w:t>
      </w:r>
      <w:r w:rsidR="00FE4141" w:rsidRPr="005A760B">
        <w:rPr>
          <w:rFonts w:cs="Arial"/>
          <w:i/>
        </w:rPr>
        <w:t xml:space="preserve">e impulsar la implantación de </w:t>
      </w:r>
      <w:r w:rsidRPr="005A760B">
        <w:rPr>
          <w:rFonts w:cs="Arial"/>
          <w:i/>
        </w:rPr>
        <w:t xml:space="preserve">un sistema de cálculo de costes </w:t>
      </w:r>
      <w:r w:rsidR="001049D6" w:rsidRPr="005A760B">
        <w:rPr>
          <w:rFonts w:cs="Arial"/>
          <w:i/>
        </w:rPr>
        <w:t>de los servicios locales</w:t>
      </w:r>
      <w:r w:rsidR="00FE4141" w:rsidRPr="005A760B">
        <w:rPr>
          <w:rFonts w:cs="Arial"/>
          <w:i/>
        </w:rPr>
        <w:t>,</w:t>
      </w:r>
      <w:r w:rsidR="001049D6" w:rsidRPr="005A760B">
        <w:rPr>
          <w:rFonts w:cs="Arial"/>
          <w:i/>
        </w:rPr>
        <w:t xml:space="preserve"> así como los correspo</w:t>
      </w:r>
      <w:r w:rsidRPr="005A760B">
        <w:rPr>
          <w:rFonts w:cs="Arial"/>
          <w:i/>
        </w:rPr>
        <w:t xml:space="preserve">ndientes indicadores de gestión, dando cumplimiento a lo previsto tanto en </w:t>
      </w:r>
      <w:r w:rsidR="007A134B">
        <w:rPr>
          <w:rFonts w:cs="Arial"/>
          <w:i/>
        </w:rPr>
        <w:t>la Ley de Racionalización y Sosten</w:t>
      </w:r>
      <w:r w:rsidR="007A134B">
        <w:rPr>
          <w:rFonts w:cs="Arial"/>
          <w:i/>
        </w:rPr>
        <w:t>i</w:t>
      </w:r>
      <w:r w:rsidR="007A134B">
        <w:rPr>
          <w:rFonts w:cs="Arial"/>
          <w:i/>
        </w:rPr>
        <w:t>bilidad de la Administración Local</w:t>
      </w:r>
      <w:r w:rsidRPr="005A760B">
        <w:rPr>
          <w:rFonts w:cs="Arial"/>
          <w:i/>
        </w:rPr>
        <w:t xml:space="preserve">, como a </w:t>
      </w:r>
      <w:r w:rsidR="00FE4141" w:rsidRPr="005A760B">
        <w:rPr>
          <w:rFonts w:cs="Arial"/>
          <w:i/>
        </w:rPr>
        <w:t>lo dispuesto</w:t>
      </w:r>
      <w:r w:rsidRPr="005A760B">
        <w:rPr>
          <w:rFonts w:cs="Arial"/>
          <w:i/>
        </w:rPr>
        <w:t xml:space="preserve"> en la Ley Foral de R</w:t>
      </w:r>
      <w:r w:rsidRPr="005A760B">
        <w:rPr>
          <w:rFonts w:cs="Arial"/>
          <w:i/>
        </w:rPr>
        <w:t>e</w:t>
      </w:r>
      <w:r w:rsidRPr="005A760B">
        <w:rPr>
          <w:rFonts w:cs="Arial"/>
          <w:i/>
        </w:rPr>
        <w:t xml:space="preserve">forma de la Administración Local de Navarra. </w:t>
      </w:r>
    </w:p>
    <w:p w:rsidR="00FE4141" w:rsidRPr="005A760B" w:rsidRDefault="00FE4141"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80"/>
        <w:ind w:left="0" w:firstLine="289"/>
        <w:rPr>
          <w:rFonts w:cs="Arial"/>
          <w:i/>
        </w:rPr>
      </w:pPr>
      <w:r w:rsidRPr="005A760B">
        <w:rPr>
          <w:rFonts w:cs="Arial"/>
          <w:i/>
        </w:rPr>
        <w:t>Acometer los cambios propuestos en la normativa recientemente aprobada</w:t>
      </w:r>
      <w:r w:rsidR="00454335" w:rsidRPr="005A760B">
        <w:rPr>
          <w:rFonts w:cs="Arial"/>
          <w:i/>
        </w:rPr>
        <w:t xml:space="preserve"> en relación con el Fondo de Haciendas Locales</w:t>
      </w:r>
      <w:r w:rsidRPr="005A760B">
        <w:rPr>
          <w:rFonts w:cs="Arial"/>
          <w:i/>
        </w:rPr>
        <w:t>, realizar una revisión de las variables incluidas en la fórmula de reparto y establecer la atribución comp</w:t>
      </w:r>
      <w:r w:rsidRPr="005A760B">
        <w:rPr>
          <w:rFonts w:cs="Arial"/>
          <w:i/>
        </w:rPr>
        <w:t>e</w:t>
      </w:r>
      <w:r w:rsidRPr="005A760B">
        <w:rPr>
          <w:rFonts w:cs="Arial"/>
          <w:i/>
        </w:rPr>
        <w:t>tencial de aquellos servicios que no está contemplada en la Ley Foral de r</w:t>
      </w:r>
      <w:r w:rsidRPr="005A760B">
        <w:rPr>
          <w:rFonts w:cs="Arial"/>
          <w:i/>
        </w:rPr>
        <w:t>e</w:t>
      </w:r>
      <w:r w:rsidRPr="005A760B">
        <w:rPr>
          <w:rFonts w:cs="Arial"/>
          <w:i/>
        </w:rPr>
        <w:t>forma de la Administración Local.</w:t>
      </w:r>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80"/>
        <w:ind w:left="0" w:firstLine="289"/>
        <w:rPr>
          <w:rFonts w:cs="Arial"/>
          <w:i/>
        </w:rPr>
      </w:pPr>
      <w:r w:rsidRPr="005A760B">
        <w:rPr>
          <w:rFonts w:cs="Arial"/>
          <w:i/>
        </w:rPr>
        <w:t>Actualizar el marco de las haciendas locales con el fin de que contemple la aplicación de las actuales exigencias y demandas de la normativa.</w:t>
      </w:r>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80"/>
        <w:ind w:left="0" w:firstLine="289"/>
        <w:rPr>
          <w:rFonts w:cs="Arial"/>
          <w:i/>
        </w:rPr>
      </w:pPr>
      <w:r w:rsidRPr="005A760B">
        <w:rPr>
          <w:rFonts w:cs="Arial"/>
          <w:i/>
        </w:rPr>
        <w:t xml:space="preserve">Elaborar la normativa sobre el régimen jurídico del control interno en las entidades locales, </w:t>
      </w:r>
      <w:r w:rsidR="007C02D3">
        <w:rPr>
          <w:rFonts w:cs="Arial"/>
          <w:i/>
        </w:rPr>
        <w:t xml:space="preserve">para lograr, entre otros objetivos, </w:t>
      </w:r>
      <w:r w:rsidRPr="005A760B">
        <w:rPr>
          <w:rFonts w:cs="Arial"/>
          <w:i/>
        </w:rPr>
        <w:t xml:space="preserve">un control económico-presupuestario más riguroso y reforzar el papel de </w:t>
      </w:r>
      <w:r w:rsidR="008F7CB0" w:rsidRPr="005A760B">
        <w:rPr>
          <w:rFonts w:cs="Arial"/>
          <w:i/>
        </w:rPr>
        <w:t>la función interventora en las e</w:t>
      </w:r>
      <w:r w:rsidRPr="005A760B">
        <w:rPr>
          <w:rFonts w:cs="Arial"/>
          <w:i/>
        </w:rPr>
        <w:t xml:space="preserve">ntidades </w:t>
      </w:r>
      <w:r w:rsidR="008F7CB0" w:rsidRPr="005A760B">
        <w:rPr>
          <w:rFonts w:cs="Arial"/>
          <w:i/>
        </w:rPr>
        <w:t>l</w:t>
      </w:r>
      <w:r w:rsidRPr="005A760B">
        <w:rPr>
          <w:rFonts w:cs="Arial"/>
          <w:i/>
        </w:rPr>
        <w:t>ocales</w:t>
      </w:r>
      <w:r w:rsidRPr="005A760B">
        <w:rPr>
          <w:rFonts w:ascii="Lucida Sans Unicode" w:hAnsi="Lucida Sans Unicode" w:cs="Lucida Sans Unicode"/>
          <w:sz w:val="20"/>
          <w:szCs w:val="20"/>
          <w:shd w:val="clear" w:color="auto" w:fill="FFFFFF"/>
        </w:rPr>
        <w:t>.</w:t>
      </w:r>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80"/>
        <w:ind w:left="0" w:firstLine="289"/>
        <w:rPr>
          <w:rFonts w:cs="Arial"/>
          <w:i/>
        </w:rPr>
      </w:pPr>
      <w:r w:rsidRPr="005A760B">
        <w:rPr>
          <w:rFonts w:cs="Arial"/>
          <w:i/>
        </w:rPr>
        <w:t>Establecer la normativa y procedimientos para el ejercicio de la tutela f</w:t>
      </w:r>
      <w:r w:rsidRPr="005A760B">
        <w:rPr>
          <w:rFonts w:cs="Arial"/>
          <w:i/>
        </w:rPr>
        <w:t>i</w:t>
      </w:r>
      <w:r w:rsidRPr="005A760B">
        <w:rPr>
          <w:rFonts w:cs="Arial"/>
          <w:i/>
        </w:rPr>
        <w:t>nanciera que la Administración</w:t>
      </w:r>
      <w:r w:rsidR="008A5FED" w:rsidRPr="005A760B">
        <w:rPr>
          <w:rFonts w:cs="Arial"/>
          <w:i/>
        </w:rPr>
        <w:t xml:space="preserve"> de la Comunidad</w:t>
      </w:r>
      <w:r w:rsidRPr="005A760B">
        <w:rPr>
          <w:rFonts w:cs="Arial"/>
          <w:i/>
        </w:rPr>
        <w:t xml:space="preserve"> Foral debe ejercer en rel</w:t>
      </w:r>
      <w:r w:rsidRPr="005A760B">
        <w:rPr>
          <w:rFonts w:cs="Arial"/>
          <w:i/>
        </w:rPr>
        <w:t>a</w:t>
      </w:r>
      <w:r w:rsidRPr="005A760B">
        <w:rPr>
          <w:rFonts w:cs="Arial"/>
          <w:i/>
        </w:rPr>
        <w:t>ción con la aplicación a las entidades locales de la Comunidad Foral de la Ley Orgánica 2/2012, de 27 de abril, de Estabilidad Presupuestaria y Sostenibil</w:t>
      </w:r>
      <w:r w:rsidRPr="005A760B">
        <w:rPr>
          <w:rFonts w:cs="Arial"/>
          <w:i/>
        </w:rPr>
        <w:t>i</w:t>
      </w:r>
      <w:r w:rsidRPr="005A760B">
        <w:rPr>
          <w:rFonts w:cs="Arial"/>
          <w:i/>
        </w:rPr>
        <w:t>dad Financiera.</w:t>
      </w:r>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80"/>
        <w:ind w:left="0" w:firstLine="289"/>
        <w:rPr>
          <w:rFonts w:cs="Arial"/>
          <w:i/>
        </w:rPr>
      </w:pPr>
      <w:r w:rsidRPr="005A760B">
        <w:rPr>
          <w:rFonts w:cs="Arial"/>
          <w:i/>
        </w:rPr>
        <w:t>Completar la información referida a la rendición y contenido de cuentas de las entidades locales en la página web del departamento competente en m</w:t>
      </w:r>
      <w:r w:rsidRPr="005A760B">
        <w:rPr>
          <w:rFonts w:cs="Arial"/>
          <w:i/>
        </w:rPr>
        <w:t>a</w:t>
      </w:r>
      <w:r w:rsidRPr="005A760B">
        <w:rPr>
          <w:rFonts w:cs="Arial"/>
          <w:i/>
        </w:rPr>
        <w:t xml:space="preserve">teria de </w:t>
      </w:r>
      <w:r w:rsidR="00324580" w:rsidRPr="005A760B">
        <w:rPr>
          <w:rFonts w:cs="Arial"/>
          <w:i/>
        </w:rPr>
        <w:t>a</w:t>
      </w:r>
      <w:r w:rsidRPr="005A760B">
        <w:rPr>
          <w:rFonts w:cs="Arial"/>
          <w:i/>
        </w:rPr>
        <w:t>dministración</w:t>
      </w:r>
      <w:r w:rsidR="00324580" w:rsidRPr="005A760B">
        <w:rPr>
          <w:rFonts w:cs="Arial"/>
          <w:i/>
        </w:rPr>
        <w:t xml:space="preserve"> lo</w:t>
      </w:r>
      <w:r w:rsidRPr="005A760B">
        <w:rPr>
          <w:rFonts w:cs="Arial"/>
          <w:i/>
        </w:rPr>
        <w:t xml:space="preserve">cal en aras al cumplimiento de la Ley </w:t>
      </w:r>
      <w:r w:rsidR="008A5FED" w:rsidRPr="005A760B">
        <w:rPr>
          <w:rFonts w:cs="Arial"/>
          <w:i/>
        </w:rPr>
        <w:t xml:space="preserve">Foral 5/2018, de 17 de mayo, </w:t>
      </w:r>
      <w:r w:rsidRPr="005A760B">
        <w:rPr>
          <w:rFonts w:cs="Arial"/>
          <w:i/>
        </w:rPr>
        <w:t>de Transparencia</w:t>
      </w:r>
      <w:r w:rsidR="008A5FED" w:rsidRPr="005A760B">
        <w:rPr>
          <w:rFonts w:cs="Arial"/>
          <w:i/>
        </w:rPr>
        <w:t>, Acceso a la Información Pública y Buen G</w:t>
      </w:r>
      <w:r w:rsidR="008A5FED" w:rsidRPr="005A760B">
        <w:rPr>
          <w:rFonts w:cs="Arial"/>
          <w:i/>
        </w:rPr>
        <w:t>o</w:t>
      </w:r>
      <w:r w:rsidR="008A5FED" w:rsidRPr="005A760B">
        <w:rPr>
          <w:rFonts w:cs="Arial"/>
          <w:i/>
        </w:rPr>
        <w:t>bierno</w:t>
      </w:r>
      <w:r w:rsidRPr="005A760B">
        <w:rPr>
          <w:rFonts w:cs="Arial"/>
          <w:i/>
        </w:rPr>
        <w:t>.</w:t>
      </w:r>
    </w:p>
    <w:p w:rsidR="00FE4141" w:rsidRPr="005A760B" w:rsidRDefault="00DC554B"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80"/>
        <w:ind w:left="0" w:firstLine="289"/>
        <w:rPr>
          <w:rFonts w:cs="Arial"/>
          <w:i/>
        </w:rPr>
      </w:pPr>
      <w:r>
        <w:rPr>
          <w:rFonts w:cs="Arial"/>
          <w:i/>
        </w:rPr>
        <w:t>Continuar con</w:t>
      </w:r>
      <w:r w:rsidR="00FE4141" w:rsidRPr="005A760B">
        <w:rPr>
          <w:rFonts w:cs="Arial"/>
          <w:i/>
        </w:rPr>
        <w:t xml:space="preserve"> la necesaria informatización de los procesos para facilitar a los órganos inter</w:t>
      </w:r>
      <w:r w:rsidR="003B3545" w:rsidRPr="005A760B">
        <w:rPr>
          <w:rFonts w:cs="Arial"/>
          <w:i/>
        </w:rPr>
        <w:t>v</w:t>
      </w:r>
      <w:r w:rsidR="00FE4141" w:rsidRPr="005A760B">
        <w:rPr>
          <w:rFonts w:cs="Arial"/>
          <w:i/>
        </w:rPr>
        <w:t xml:space="preserve">entores de las entidades locales el cumplimiento de envío de los informes establecidos en la </w:t>
      </w:r>
      <w:proofErr w:type="spellStart"/>
      <w:r w:rsidR="00FE4141" w:rsidRPr="005A760B">
        <w:rPr>
          <w:rFonts w:cs="Arial"/>
          <w:i/>
        </w:rPr>
        <w:t>LOEPySF</w:t>
      </w:r>
      <w:proofErr w:type="spellEnd"/>
      <w:r w:rsidR="00FE4141" w:rsidRPr="005A760B">
        <w:rPr>
          <w:rFonts w:cs="Arial"/>
          <w:i/>
        </w:rPr>
        <w:t>.</w:t>
      </w:r>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80"/>
        <w:ind w:left="0" w:firstLine="289"/>
        <w:rPr>
          <w:rFonts w:cs="Arial"/>
          <w:i/>
        </w:rPr>
      </w:pPr>
      <w:r w:rsidRPr="005A760B">
        <w:rPr>
          <w:rFonts w:cs="Arial"/>
          <w:i/>
        </w:rPr>
        <w:t>Finalizar la actualización del registro de entidades locales con la info</w:t>
      </w:r>
      <w:r w:rsidRPr="005A760B">
        <w:rPr>
          <w:rFonts w:cs="Arial"/>
          <w:i/>
        </w:rPr>
        <w:t>r</w:t>
      </w:r>
      <w:r w:rsidRPr="005A760B">
        <w:rPr>
          <w:rFonts w:cs="Arial"/>
          <w:i/>
        </w:rPr>
        <w:t>mación referida a las sociedades públicas y fundaciones locales y constatar la corrección de la información ya existente.</w:t>
      </w:r>
    </w:p>
    <w:p w:rsidR="001049D6" w:rsidRPr="005A760B" w:rsidRDefault="001049D6" w:rsidP="00552BC9">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20"/>
        <w:ind w:left="0" w:firstLine="289"/>
        <w:rPr>
          <w:rFonts w:cs="Arial"/>
          <w:i/>
        </w:rPr>
      </w:pPr>
      <w:r w:rsidRPr="005A760B">
        <w:rPr>
          <w:rFonts w:cs="Arial"/>
          <w:i/>
        </w:rPr>
        <w:t>Completar el informe sobre la situación financiera del sector público local elaborado por el Gobierno de Navarra con información relativa a sociedades públicas, fundaciones y consorcios públicos.</w:t>
      </w:r>
    </w:p>
    <w:p w:rsidR="001049D6" w:rsidRPr="005A760B" w:rsidRDefault="001049D6" w:rsidP="001B645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80"/>
        <w:ind w:left="0" w:firstLine="289"/>
        <w:rPr>
          <w:rFonts w:cs="Arial"/>
          <w:i/>
        </w:rPr>
      </w:pPr>
      <w:r w:rsidRPr="005A760B">
        <w:rPr>
          <w:rFonts w:cs="Arial"/>
          <w:i/>
        </w:rPr>
        <w:t>Elaborar un modelo de plantilla orgánica de personal que contemple, de forma clara y concreta, los requisitos e información que debe contener tal d</w:t>
      </w:r>
      <w:r w:rsidRPr="005A760B">
        <w:rPr>
          <w:rFonts w:cs="Arial"/>
          <w:i/>
        </w:rPr>
        <w:t>o</w:t>
      </w:r>
      <w:r w:rsidRPr="005A760B">
        <w:rPr>
          <w:rFonts w:cs="Arial"/>
          <w:i/>
        </w:rPr>
        <w:t>cumento y que permita, a su vez, cumplir a las entidades locales con las disti</w:t>
      </w:r>
      <w:r w:rsidRPr="005A760B">
        <w:rPr>
          <w:rFonts w:cs="Arial"/>
          <w:i/>
        </w:rPr>
        <w:t>n</w:t>
      </w:r>
      <w:r w:rsidRPr="005A760B">
        <w:rPr>
          <w:rFonts w:cs="Arial"/>
          <w:i/>
        </w:rPr>
        <w:t>tas exigencias de información.</w:t>
      </w:r>
    </w:p>
    <w:p w:rsidR="001049D6" w:rsidRPr="00E703F0" w:rsidRDefault="00324580" w:rsidP="00E703F0">
      <w:pPr>
        <w:pStyle w:val="texto"/>
        <w:spacing w:before="240" w:after="300"/>
        <w:rPr>
          <w:rFonts w:ascii="Arial" w:hAnsi="Arial" w:cs="Arial"/>
          <w:i/>
          <w:w w:val="103"/>
          <w:sz w:val="25"/>
          <w:szCs w:val="25"/>
        </w:rPr>
      </w:pPr>
      <w:r w:rsidRPr="00E703F0">
        <w:rPr>
          <w:rFonts w:ascii="Arial" w:hAnsi="Arial" w:cs="Arial"/>
          <w:i/>
          <w:w w:val="103"/>
          <w:sz w:val="25"/>
          <w:szCs w:val="25"/>
        </w:rPr>
        <w:t xml:space="preserve">A </w:t>
      </w:r>
      <w:r w:rsidR="001049D6" w:rsidRPr="00E703F0">
        <w:rPr>
          <w:rFonts w:ascii="Arial" w:hAnsi="Arial" w:cs="Arial"/>
          <w:i/>
          <w:w w:val="103"/>
          <w:sz w:val="25"/>
          <w:szCs w:val="25"/>
        </w:rPr>
        <w:t>las entidades locales:</w:t>
      </w:r>
    </w:p>
    <w:p w:rsidR="001049D6" w:rsidRPr="005A760B" w:rsidRDefault="001049D6" w:rsidP="00D9422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20"/>
        <w:ind w:left="0" w:firstLine="289"/>
        <w:rPr>
          <w:rFonts w:cs="Arial"/>
          <w:i/>
        </w:rPr>
      </w:pPr>
      <w:r w:rsidRPr="005A760B">
        <w:rPr>
          <w:rFonts w:cs="Arial"/>
          <w:i/>
        </w:rPr>
        <w:t>En el actual contexto normativo, reducir, mediante las oportunas convoc</w:t>
      </w:r>
      <w:r w:rsidRPr="005A760B">
        <w:rPr>
          <w:rFonts w:cs="Arial"/>
          <w:i/>
        </w:rPr>
        <w:t>a</w:t>
      </w:r>
      <w:r w:rsidRPr="005A760B">
        <w:rPr>
          <w:rFonts w:cs="Arial"/>
          <w:i/>
        </w:rPr>
        <w:t>torias, el alto grado de temporalidad que se observa en el personal de las ent</w:t>
      </w:r>
      <w:r w:rsidRPr="005A760B">
        <w:rPr>
          <w:rFonts w:cs="Arial"/>
          <w:i/>
        </w:rPr>
        <w:t>i</w:t>
      </w:r>
      <w:r w:rsidRPr="005A760B">
        <w:rPr>
          <w:rFonts w:cs="Arial"/>
          <w:i/>
        </w:rPr>
        <w:t>dades locales.</w:t>
      </w:r>
    </w:p>
    <w:p w:rsidR="001049D6" w:rsidRPr="005A760B" w:rsidRDefault="001049D6" w:rsidP="00D9422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20"/>
        <w:ind w:left="0" w:firstLine="289"/>
        <w:rPr>
          <w:rFonts w:cs="Arial"/>
          <w:i/>
        </w:rPr>
      </w:pPr>
      <w:r w:rsidRPr="005A760B">
        <w:rPr>
          <w:rFonts w:cs="Arial"/>
          <w:i/>
        </w:rPr>
        <w:t>Completar el proceso de implantación del inventario valorado y actualiz</w:t>
      </w:r>
      <w:r w:rsidRPr="005A760B">
        <w:rPr>
          <w:rFonts w:cs="Arial"/>
          <w:i/>
        </w:rPr>
        <w:t>a</w:t>
      </w:r>
      <w:r w:rsidRPr="005A760B">
        <w:rPr>
          <w:rFonts w:cs="Arial"/>
          <w:i/>
        </w:rPr>
        <w:t>do, de los bienes y derechos municipales, y su conexión con las cuentas de i</w:t>
      </w:r>
      <w:r w:rsidRPr="005A760B">
        <w:rPr>
          <w:rFonts w:cs="Arial"/>
          <w:i/>
        </w:rPr>
        <w:t>n</w:t>
      </w:r>
      <w:r w:rsidRPr="005A760B">
        <w:rPr>
          <w:rFonts w:cs="Arial"/>
          <w:i/>
        </w:rPr>
        <w:t xml:space="preserve">movilizado. </w:t>
      </w:r>
    </w:p>
    <w:p w:rsidR="001049D6" w:rsidRPr="005A760B" w:rsidRDefault="001049D6" w:rsidP="00D9422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20"/>
        <w:ind w:left="0" w:firstLine="289"/>
        <w:rPr>
          <w:rFonts w:cs="Arial"/>
          <w:i/>
        </w:rPr>
      </w:pPr>
      <w:r w:rsidRPr="005A760B">
        <w:rPr>
          <w:rFonts w:cs="Arial"/>
          <w:i/>
        </w:rPr>
        <w:t>Crear el registro e inventario del patrimonio municipal del suelo y el r</w:t>
      </w:r>
      <w:r w:rsidRPr="005A760B">
        <w:rPr>
          <w:rFonts w:cs="Arial"/>
          <w:i/>
        </w:rPr>
        <w:t>e</w:t>
      </w:r>
      <w:r w:rsidRPr="005A760B">
        <w:rPr>
          <w:rFonts w:cs="Arial"/>
          <w:i/>
        </w:rPr>
        <w:t>gistro de convenios urbanísticos.</w:t>
      </w:r>
    </w:p>
    <w:p w:rsidR="001049D6" w:rsidRPr="005A760B" w:rsidRDefault="001049D6" w:rsidP="00D9422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20"/>
        <w:ind w:left="0" w:firstLine="289"/>
        <w:rPr>
          <w:rFonts w:cs="Arial"/>
          <w:i/>
        </w:rPr>
      </w:pPr>
      <w:r w:rsidRPr="005A760B">
        <w:rPr>
          <w:rFonts w:cs="Arial"/>
          <w:i/>
        </w:rPr>
        <w:t>Ejercer el control interno municipal, con la extensión establecida en la l</w:t>
      </w:r>
      <w:r w:rsidRPr="005A760B">
        <w:rPr>
          <w:rFonts w:cs="Arial"/>
          <w:i/>
        </w:rPr>
        <w:t>e</w:t>
      </w:r>
      <w:r w:rsidRPr="005A760B">
        <w:rPr>
          <w:rFonts w:cs="Arial"/>
          <w:i/>
        </w:rPr>
        <w:t>gislación aplicable, respecto al control de la gestión económica de los entes dependientes, en su triple acepción de función interventora, función de control financiero y control de eficacia.</w:t>
      </w:r>
    </w:p>
    <w:p w:rsidR="001049D6" w:rsidRPr="005A760B" w:rsidRDefault="001049D6" w:rsidP="00D9422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120"/>
        <w:ind w:left="0" w:firstLine="289"/>
        <w:rPr>
          <w:rFonts w:cs="Arial"/>
          <w:i/>
        </w:rPr>
      </w:pPr>
      <w:r w:rsidRPr="005A760B">
        <w:rPr>
          <w:rFonts w:cs="Arial"/>
          <w:i/>
        </w:rPr>
        <w:t xml:space="preserve">Diseñar, dentro de la potestad de </w:t>
      </w:r>
      <w:proofErr w:type="spellStart"/>
      <w:r w:rsidRPr="005A760B">
        <w:rPr>
          <w:rFonts w:cs="Arial"/>
          <w:i/>
        </w:rPr>
        <w:t>autoorganización</w:t>
      </w:r>
      <w:proofErr w:type="spellEnd"/>
      <w:r w:rsidRPr="005A760B">
        <w:rPr>
          <w:rFonts w:cs="Arial"/>
          <w:i/>
        </w:rPr>
        <w:t xml:space="preserve"> de los entes locales, la estructura organizativa más racional para la gestión de los servicios públicos locales con eficacia, economía y eficiencia.</w:t>
      </w:r>
    </w:p>
    <w:p w:rsidR="001049D6" w:rsidRPr="005A760B" w:rsidRDefault="00470FC3" w:rsidP="00D9422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80"/>
        <w:ind w:left="0" w:firstLine="289"/>
        <w:rPr>
          <w:rFonts w:cs="Arial"/>
          <w:i/>
        </w:rPr>
      </w:pPr>
      <w:r>
        <w:rPr>
          <w:rFonts w:cs="Arial"/>
          <w:i/>
        </w:rPr>
        <w:t>Realizar</w:t>
      </w:r>
      <w:r w:rsidR="001049D6" w:rsidRPr="005A760B">
        <w:rPr>
          <w:rFonts w:cs="Arial"/>
          <w:i/>
        </w:rPr>
        <w:t xml:space="preserve"> la implantación de la metodología de costes de los servicios p</w:t>
      </w:r>
      <w:r w:rsidR="001049D6" w:rsidRPr="005A760B">
        <w:rPr>
          <w:rFonts w:cs="Arial"/>
          <w:i/>
        </w:rPr>
        <w:t>ú</w:t>
      </w:r>
      <w:r w:rsidR="001049D6" w:rsidRPr="005A760B">
        <w:rPr>
          <w:rFonts w:cs="Arial"/>
          <w:i/>
        </w:rPr>
        <w:t>blicos y definir indicadores de gestión útiles para la toma de decisiones.</w:t>
      </w:r>
    </w:p>
    <w:p w:rsidR="001049D6" w:rsidRPr="005A760B" w:rsidRDefault="001049D6" w:rsidP="00D9422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after="80"/>
        <w:ind w:left="0" w:firstLine="289"/>
        <w:rPr>
          <w:rFonts w:cs="Arial"/>
          <w:i/>
        </w:rPr>
      </w:pPr>
      <w:r w:rsidRPr="005A760B">
        <w:rPr>
          <w:rFonts w:cs="Arial"/>
          <w:i/>
        </w:rPr>
        <w:t>Aprobar el presupuesto y la cuenta general en los plazos establecidos</w:t>
      </w:r>
      <w:r w:rsidR="00E36FFF" w:rsidRPr="005A760B">
        <w:rPr>
          <w:rFonts w:cs="Arial"/>
          <w:i/>
        </w:rPr>
        <w:t xml:space="preserve"> y realizar la rendición de ambos en el plazo de 15 días desde la aprobación de los mismos</w:t>
      </w:r>
      <w:r w:rsidRPr="005A760B">
        <w:rPr>
          <w:rFonts w:cs="Arial"/>
          <w:i/>
        </w:rPr>
        <w:t>.</w:t>
      </w:r>
    </w:p>
    <w:p w:rsidR="001451A7" w:rsidRPr="005A760B" w:rsidRDefault="004A73D8" w:rsidP="001049D6">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before="80" w:after="80"/>
        <w:ind w:left="0" w:firstLine="289"/>
        <w:rPr>
          <w:rFonts w:cs="Arial"/>
          <w:i/>
        </w:rPr>
      </w:pPr>
      <w:r>
        <w:rPr>
          <w:rFonts w:cs="Arial"/>
          <w:i/>
        </w:rPr>
        <w:t xml:space="preserve">Proceder al envío de la información prevista en la </w:t>
      </w:r>
      <w:proofErr w:type="spellStart"/>
      <w:r>
        <w:rPr>
          <w:rFonts w:cs="Arial"/>
          <w:i/>
        </w:rPr>
        <w:t>LOEPySF</w:t>
      </w:r>
      <w:proofErr w:type="spellEnd"/>
      <w:r>
        <w:rPr>
          <w:rFonts w:cs="Arial"/>
          <w:i/>
        </w:rPr>
        <w:t>, entre otras, la relativa al periodo medio de pago de la deuda comercial</w:t>
      </w:r>
      <w:r w:rsidR="00E57C5B">
        <w:rPr>
          <w:rFonts w:cs="Arial"/>
          <w:i/>
        </w:rPr>
        <w:t>.</w:t>
      </w:r>
    </w:p>
    <w:p w:rsidR="001049D6" w:rsidRPr="005A760B" w:rsidRDefault="001049D6" w:rsidP="00552BC9">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1320"/>
        </w:tabs>
        <w:spacing w:before="80" w:after="160"/>
        <w:ind w:left="0" w:firstLine="289"/>
        <w:rPr>
          <w:rFonts w:cs="Arial"/>
          <w:i/>
        </w:rPr>
      </w:pPr>
      <w:r w:rsidRPr="005A760B">
        <w:rPr>
          <w:rFonts w:cs="Arial"/>
          <w:i/>
        </w:rPr>
        <w:t>Actualizar en plazo las ponencias de valoración.</w:t>
      </w:r>
    </w:p>
    <w:p w:rsidR="00CC0D1C" w:rsidRPr="005A760B" w:rsidRDefault="00CC0D1C" w:rsidP="00552BC9">
      <w:pPr>
        <w:pStyle w:val="texto"/>
        <w:tabs>
          <w:tab w:val="clear" w:pos="2835"/>
          <w:tab w:val="clear" w:pos="3969"/>
          <w:tab w:val="clear" w:pos="5103"/>
          <w:tab w:val="clear" w:pos="6237"/>
          <w:tab w:val="clear" w:pos="7371"/>
        </w:tabs>
        <w:spacing w:after="240"/>
      </w:pPr>
      <w:r w:rsidRPr="005A760B">
        <w:t>Informe que se emite a propuesta de la auditora Edurne Martinikorena Matxain, responsable de la realización de este trabajo, una vez cumplimentados los trámites previstos por la normativa vigente.</w:t>
      </w:r>
    </w:p>
    <w:p w:rsidR="001049D6" w:rsidRPr="008D60C5" w:rsidRDefault="001049D6" w:rsidP="001B645E">
      <w:pPr>
        <w:pStyle w:val="texto"/>
        <w:spacing w:before="120"/>
        <w:jc w:val="center"/>
      </w:pPr>
      <w:r w:rsidRPr="008D60C5">
        <w:t xml:space="preserve">Pamplona, </w:t>
      </w:r>
      <w:r w:rsidR="00804576" w:rsidRPr="008D60C5">
        <w:t>2</w:t>
      </w:r>
      <w:r w:rsidR="008D60C5" w:rsidRPr="008D60C5">
        <w:t>7</w:t>
      </w:r>
      <w:r w:rsidR="00790046" w:rsidRPr="008D60C5">
        <w:t xml:space="preserve"> de octubre</w:t>
      </w:r>
      <w:r w:rsidRPr="008D60C5">
        <w:t xml:space="preserve"> de 2020</w:t>
      </w:r>
    </w:p>
    <w:p w:rsidR="00CC0D1C" w:rsidRPr="005A760B" w:rsidRDefault="00CC0D1C" w:rsidP="00CC0D1C">
      <w:pPr>
        <w:pStyle w:val="texto"/>
        <w:tabs>
          <w:tab w:val="clear" w:pos="2835"/>
          <w:tab w:val="clear" w:pos="3969"/>
          <w:tab w:val="clear" w:pos="5103"/>
          <w:tab w:val="clear" w:pos="6237"/>
          <w:tab w:val="clear" w:pos="7371"/>
        </w:tabs>
        <w:spacing w:after="80"/>
        <w:ind w:firstLine="0"/>
        <w:jc w:val="center"/>
        <w:rPr>
          <w:rFonts w:cs="Arial"/>
        </w:rPr>
      </w:pPr>
      <w:r w:rsidRPr="005A760B">
        <w:rPr>
          <w:rFonts w:cs="Arial"/>
        </w:rPr>
        <w:t xml:space="preserve">La presidenta, </w:t>
      </w:r>
    </w:p>
    <w:p w:rsidR="00CC0D1C" w:rsidRPr="005A760B" w:rsidRDefault="00CC0D1C" w:rsidP="00CC0D1C">
      <w:pPr>
        <w:pStyle w:val="texto"/>
        <w:tabs>
          <w:tab w:val="clear" w:pos="2835"/>
          <w:tab w:val="clear" w:pos="3969"/>
          <w:tab w:val="clear" w:pos="5103"/>
          <w:tab w:val="clear" w:pos="6237"/>
          <w:tab w:val="clear" w:pos="7371"/>
        </w:tabs>
        <w:spacing w:after="80"/>
        <w:ind w:firstLine="0"/>
        <w:jc w:val="center"/>
        <w:rPr>
          <w:szCs w:val="26"/>
        </w:rPr>
      </w:pPr>
      <w:r w:rsidRPr="005A760B">
        <w:rPr>
          <w:szCs w:val="26"/>
        </w:rPr>
        <w:t>Asunción Olaechea Estanga</w:t>
      </w:r>
    </w:p>
    <w:p w:rsidR="00FE4141" w:rsidRPr="005A760B" w:rsidRDefault="00FE4141">
      <w:pPr>
        <w:spacing w:after="0"/>
        <w:ind w:firstLine="0"/>
        <w:jc w:val="left"/>
        <w:rPr>
          <w:rFonts w:cs="Arial"/>
          <w:i/>
          <w:spacing w:val="6"/>
          <w:sz w:val="26"/>
          <w:szCs w:val="24"/>
        </w:rPr>
      </w:pPr>
      <w:r w:rsidRPr="005A760B">
        <w:rPr>
          <w:rFonts w:cs="Arial"/>
          <w:i/>
        </w:rPr>
        <w:br w:type="page"/>
      </w:r>
    </w:p>
    <w:p w:rsidR="001049D6" w:rsidRPr="005A760B" w:rsidRDefault="001049D6" w:rsidP="001B645E">
      <w:pPr>
        <w:pStyle w:val="atitulo1"/>
        <w:rPr>
          <w:color w:val="auto"/>
          <w:sz w:val="28"/>
          <w:szCs w:val="28"/>
        </w:rPr>
      </w:pPr>
      <w:bookmarkStart w:id="106" w:name="_Toc529773890"/>
      <w:bookmarkStart w:id="107" w:name="_Toc24100150"/>
      <w:bookmarkStart w:id="108" w:name="_Toc52348328"/>
      <w:bookmarkStart w:id="109" w:name="_Toc54691931"/>
      <w:r w:rsidRPr="005A760B">
        <w:rPr>
          <w:color w:val="auto"/>
          <w:sz w:val="28"/>
          <w:szCs w:val="28"/>
        </w:rPr>
        <w:t xml:space="preserve">Anexo 1. Normativa aplicable a las entidades locales durante el ejercicio </w:t>
      </w:r>
      <w:bookmarkEnd w:id="106"/>
      <w:r w:rsidRPr="005A760B">
        <w:rPr>
          <w:color w:val="auto"/>
          <w:sz w:val="28"/>
          <w:szCs w:val="28"/>
        </w:rPr>
        <w:t>2018</w:t>
      </w:r>
      <w:bookmarkEnd w:id="107"/>
      <w:bookmarkEnd w:id="108"/>
      <w:bookmarkEnd w:id="109"/>
    </w:p>
    <w:p w:rsidR="001049D6" w:rsidRPr="005A760B" w:rsidRDefault="001049D6" w:rsidP="001049D6">
      <w:pPr>
        <w:pStyle w:val="texto"/>
        <w:rPr>
          <w:b/>
          <w:szCs w:val="26"/>
        </w:rPr>
      </w:pPr>
      <w:r w:rsidRPr="005A760B">
        <w:rPr>
          <w:b/>
          <w:szCs w:val="26"/>
        </w:rPr>
        <w:t xml:space="preserve">a) Administración y régimen local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 xml:space="preserve">Ley 7/1985, de 2 de abril, Reguladora de las Bases del Régimen Local.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 xml:space="preserve">Ley Foral 6/1990, de 2 de julio, de la Administración Local de Navarra.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 xml:space="preserve">Ley 19/2013, de 9 de diciembre, de Transparencia, acceso a la Información pública y buen gobierno.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 xml:space="preserve">Ley 39/2015, de 1 de octubre, del Procedimiento Administrativo Común de las Administraciones Públicas.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 xml:space="preserve">Ley 40/2015, de 1 de octubre, de Régimen Jurídico del Sector Público.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Ley Foral 20/2017, de 28 de diciembre, de Presupuestos Generales de N</w:t>
      </w:r>
      <w:r w:rsidRPr="005A760B">
        <w:rPr>
          <w:szCs w:val="26"/>
        </w:rPr>
        <w:t>a</w:t>
      </w:r>
      <w:r w:rsidRPr="005A760B">
        <w:rPr>
          <w:szCs w:val="26"/>
        </w:rPr>
        <w:t xml:space="preserve">varra para el año 2018.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 xml:space="preserve">Ley 6/2018, de 3 de julio, de Presupuestos Generales del Estado para el año 2018.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 xml:space="preserve">Ley Foral 18/2016, de 13 de diciembre, reguladora del Plan de Inversiones Locales 2017-2019.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Ley Foral 18/2017, de 27 de diciembre, por la que se establece la cuantía y reparto del Fondo de Participación de las Haciendas Locales en los tributos de Navarra por transferencias corrientes para los años 2018 y 2019.</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Orden Foral 84/2017, de la Consejera de Desarrollo Rural, Medio Ambie</w:t>
      </w:r>
      <w:r w:rsidRPr="005A760B">
        <w:rPr>
          <w:szCs w:val="26"/>
        </w:rPr>
        <w:t>n</w:t>
      </w:r>
      <w:r w:rsidRPr="005A760B">
        <w:rPr>
          <w:szCs w:val="26"/>
        </w:rPr>
        <w:t>te y Administración Local, por la que se regula la forma de aplicación de la cláusula social prevista en el artículo 20 de la Ley Foral 18/2016, de 13 de d</w:t>
      </w:r>
      <w:r w:rsidRPr="005A760B">
        <w:rPr>
          <w:szCs w:val="26"/>
        </w:rPr>
        <w:t>i</w:t>
      </w:r>
      <w:r w:rsidRPr="005A760B">
        <w:rPr>
          <w:szCs w:val="26"/>
        </w:rPr>
        <w:t>ciembre, reguladora del Plan de Inversiones Locales 2017-2019</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Ley Foral 13/2017, de 16 de noviembre, de conciertos sociales en los á</w:t>
      </w:r>
      <w:r w:rsidRPr="005A760B">
        <w:rPr>
          <w:szCs w:val="26"/>
        </w:rPr>
        <w:t>m</w:t>
      </w:r>
      <w:r w:rsidRPr="005A760B">
        <w:rPr>
          <w:szCs w:val="26"/>
        </w:rPr>
        <w:t>bitos de Salud y Servicios Sociales.</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Ley Foral 5/2018, de 17 de mayo, de Transparencia, acceso a la inform</w:t>
      </w:r>
      <w:r w:rsidRPr="005A760B">
        <w:rPr>
          <w:szCs w:val="26"/>
        </w:rPr>
        <w:t>a</w:t>
      </w:r>
      <w:r w:rsidRPr="005A760B">
        <w:rPr>
          <w:szCs w:val="26"/>
        </w:rPr>
        <w:t>ción pública y buen gobierno.</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Ley Foral 7/2018, de 17 de mayo, de creación de la Oficina de Buenas Prácticas y Anticorrupción de la Comunidad Foral de Navarra.</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Ley Foral 12/2018, de 14 de junio, de Accesibilidad Universal.</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Ley Foral 14/2018, de 18 de junio, de Residuos y su Fiscalidad.</w:t>
      </w:r>
    </w:p>
    <w:p w:rsidR="001B645E" w:rsidRPr="005A760B" w:rsidRDefault="001B645E">
      <w:pPr>
        <w:spacing w:after="0"/>
        <w:ind w:firstLine="0"/>
        <w:jc w:val="left"/>
        <w:rPr>
          <w:b/>
          <w:spacing w:val="6"/>
          <w:sz w:val="26"/>
          <w:szCs w:val="26"/>
        </w:rPr>
      </w:pPr>
      <w:r w:rsidRPr="005A760B">
        <w:rPr>
          <w:b/>
          <w:szCs w:val="26"/>
        </w:rPr>
        <w:br w:type="page"/>
      </w:r>
    </w:p>
    <w:p w:rsidR="001049D6" w:rsidRPr="005A760B" w:rsidRDefault="001049D6" w:rsidP="001049D6">
      <w:pPr>
        <w:pStyle w:val="texto"/>
        <w:spacing w:before="240"/>
        <w:rPr>
          <w:b/>
          <w:szCs w:val="26"/>
        </w:rPr>
      </w:pPr>
      <w:r w:rsidRPr="005A760B">
        <w:rPr>
          <w:b/>
          <w:szCs w:val="26"/>
        </w:rPr>
        <w:t xml:space="preserve">b) Régimen económico, presupuestario y contable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 xml:space="preserve">Ley Foral 2/1995, de 10 de marzo, de Haciendas Locales de Navarra.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Ley Foral 7/1996, de 28 de mayo, de tarifas e instrucción del Impuesto s</w:t>
      </w:r>
      <w:r w:rsidRPr="005A760B">
        <w:rPr>
          <w:szCs w:val="26"/>
        </w:rPr>
        <w:t>o</w:t>
      </w:r>
      <w:r w:rsidRPr="005A760B">
        <w:rPr>
          <w:szCs w:val="26"/>
        </w:rPr>
        <w:t xml:space="preserve">bre Actividades Económicas (IAE) </w:t>
      </w:r>
    </w:p>
    <w:p w:rsidR="001049D6" w:rsidRPr="005A760B" w:rsidRDefault="001049D6" w:rsidP="001049D6">
      <w:pPr>
        <w:pStyle w:val="texto"/>
        <w:numPr>
          <w:ilvl w:val="0"/>
          <w:numId w:val="2"/>
        </w:numPr>
        <w:tabs>
          <w:tab w:val="clear" w:pos="2835"/>
          <w:tab w:val="center" w:pos="426"/>
          <w:tab w:val="num" w:pos="709"/>
        </w:tabs>
        <w:ind w:left="0" w:firstLine="284"/>
        <w:rPr>
          <w:szCs w:val="26"/>
        </w:rPr>
      </w:pPr>
      <w:r w:rsidRPr="005A760B">
        <w:rPr>
          <w:szCs w:val="26"/>
        </w:rPr>
        <w:t xml:space="preserve"> Decreto Foral 270/1998, de 21 de septiembre, Decreto Foral 234/2015 de 23 de septiembre, Decreto Foral 272/1998 y Decreto Foral 273/1998, de 21 de septiembre, de presupuesto y gasto público, de estructura presupuestaria, de aprobación de la Instrucción General de Contabilidad General y de Contabil</w:t>
      </w:r>
      <w:r w:rsidRPr="005A760B">
        <w:rPr>
          <w:szCs w:val="26"/>
        </w:rPr>
        <w:t>i</w:t>
      </w:r>
      <w:r w:rsidRPr="005A760B">
        <w:rPr>
          <w:szCs w:val="26"/>
        </w:rPr>
        <w:t>dad Simplificada para la Administración Local de Navarra, respectivamente.</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Plan General de Contabilidad Pública adaptado a la Administración Local, aprobado por Orden Ministerial, de 17 de julio de 1990, del Ministerio de Ec</w:t>
      </w:r>
      <w:r w:rsidRPr="005A760B">
        <w:rPr>
          <w:szCs w:val="26"/>
        </w:rPr>
        <w:t>o</w:t>
      </w:r>
      <w:r w:rsidRPr="005A760B">
        <w:rPr>
          <w:szCs w:val="26"/>
        </w:rPr>
        <w:t xml:space="preserve">nomía y Hacienda. (Regla 425 DF 272/1998 Instrucción general contabilidad).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Ley Foral 12/2006, de 21 de noviembre, del Registro de la Riqueza Terr</w:t>
      </w:r>
      <w:r w:rsidRPr="005A760B">
        <w:rPr>
          <w:szCs w:val="26"/>
        </w:rPr>
        <w:t>i</w:t>
      </w:r>
      <w:r w:rsidRPr="005A760B">
        <w:rPr>
          <w:szCs w:val="26"/>
        </w:rPr>
        <w:t xml:space="preserve">torial y de los Catastros de Navarra. </w:t>
      </w:r>
    </w:p>
    <w:p w:rsidR="001049D6" w:rsidRPr="005A760B" w:rsidRDefault="001049D6" w:rsidP="001049D6">
      <w:pPr>
        <w:pStyle w:val="texto"/>
        <w:spacing w:before="240"/>
        <w:rPr>
          <w:b/>
          <w:szCs w:val="26"/>
        </w:rPr>
      </w:pPr>
      <w:r w:rsidRPr="005A760B">
        <w:rPr>
          <w:b/>
          <w:szCs w:val="26"/>
        </w:rPr>
        <w:t xml:space="preserve">c) Estabilidad presupuestaria y sostenibilidad financiera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 xml:space="preserve"> Ley Orgánica 2/2012, de 27 de abril, de Estabilidad Presupuestaria y So</w:t>
      </w:r>
      <w:r w:rsidRPr="005A760B">
        <w:rPr>
          <w:szCs w:val="26"/>
        </w:rPr>
        <w:t>s</w:t>
      </w:r>
      <w:r w:rsidRPr="005A760B">
        <w:rPr>
          <w:szCs w:val="26"/>
        </w:rPr>
        <w:t>tenibilidad Financiera, modificada por Ley Orgánica 4/2012, de 28 de septie</w:t>
      </w:r>
      <w:r w:rsidRPr="005A760B">
        <w:rPr>
          <w:szCs w:val="26"/>
        </w:rPr>
        <w:t>m</w:t>
      </w:r>
      <w:r w:rsidRPr="005A760B">
        <w:rPr>
          <w:szCs w:val="26"/>
        </w:rPr>
        <w:t xml:space="preserve">bre.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Ley Orgánica 6/2015, de 12 de junio, de modificación de la Ley Orgánica 8/1980, de 22 de septiembre, de financiación de las Comunidades Autónomas y de la Ley Orgánica 2/2012, de 27 de abril, de Estabilidad Presupuestaria y So</w:t>
      </w:r>
      <w:r w:rsidRPr="005A760B">
        <w:rPr>
          <w:szCs w:val="26"/>
        </w:rPr>
        <w:t>s</w:t>
      </w:r>
      <w:r w:rsidRPr="005A760B">
        <w:rPr>
          <w:szCs w:val="26"/>
        </w:rPr>
        <w:t xml:space="preserve">tenibilidad Financiera.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 xml:space="preserve">Ley Orgánica 9/2013, de 20 de diciembre, de control de la deuda comercial en el sector público.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Real Decreto-Ley 1/2018, de 23 de marzo, por el que se prorroga el destino del superávit de las corporaciones locales para inversiones financieramente so</w:t>
      </w:r>
      <w:r w:rsidRPr="005A760B">
        <w:rPr>
          <w:szCs w:val="26"/>
        </w:rPr>
        <w:t>s</w:t>
      </w:r>
      <w:r w:rsidRPr="005A760B">
        <w:rPr>
          <w:szCs w:val="26"/>
        </w:rPr>
        <w:t>tenibles y se modifica el ámbito objetivo de estas.</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Ley Foral 27/2012, de 28 de diciembre, por la que se adoptan en la Com</w:t>
      </w:r>
      <w:r w:rsidRPr="005A760B">
        <w:rPr>
          <w:szCs w:val="26"/>
        </w:rPr>
        <w:t>u</w:t>
      </w:r>
      <w:r w:rsidRPr="005A760B">
        <w:rPr>
          <w:szCs w:val="26"/>
        </w:rPr>
        <w:t xml:space="preserve">nidad Foral de Navarra medidas para garantizar la estabilidad presupuestaria y de fomento de la competitividad.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 xml:space="preserve">Ley 25/2013, de 27 de diciembre, de impulso de la factura electrónica y creación del registro contable de facturas en el Sector Público.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 xml:space="preserve">Ley 27/2013, de 27 de diciembre, de racionalización y sostenibilidad de la Administración Local.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Real Decreto-ley 8/2013, de 28 de junio, de medidas urgentes contra la morosidad de las administraciones públicas y de apoyo a entidades locales con problemas financieros.</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 xml:space="preserve"> Real Decreto-ley 17/2014, de 26 de diciembre, de medidas de sostenibil</w:t>
      </w:r>
      <w:r w:rsidRPr="005A760B">
        <w:rPr>
          <w:szCs w:val="26"/>
        </w:rPr>
        <w:t>i</w:t>
      </w:r>
      <w:r w:rsidRPr="005A760B">
        <w:rPr>
          <w:szCs w:val="26"/>
        </w:rPr>
        <w:t>dad financiera de las comunidades autónomas y entidades locales y otras de c</w:t>
      </w:r>
      <w:r w:rsidRPr="005A760B">
        <w:rPr>
          <w:szCs w:val="26"/>
        </w:rPr>
        <w:t>a</w:t>
      </w:r>
      <w:r w:rsidRPr="005A760B">
        <w:rPr>
          <w:szCs w:val="26"/>
        </w:rPr>
        <w:t xml:space="preserve">rácter económico.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Orden HAP/2105/2012, de 1 de octubre, por la que se desarrollan las obl</w:t>
      </w:r>
      <w:r w:rsidRPr="005A760B">
        <w:rPr>
          <w:szCs w:val="26"/>
        </w:rPr>
        <w:t>i</w:t>
      </w:r>
      <w:r w:rsidRPr="005A760B">
        <w:rPr>
          <w:szCs w:val="26"/>
        </w:rPr>
        <w:t xml:space="preserve">gaciones de suministro de información previstas en la Ley Orgánica 2/2012, de 27 de abril, de Estabilidad Presupuestaria y Sostenibilidad Financiera.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Resolución de 4 de julio de 2017, de la Secretaría General del Tesoro y P</w:t>
      </w:r>
      <w:r w:rsidRPr="005A760B">
        <w:rPr>
          <w:szCs w:val="26"/>
        </w:rPr>
        <w:t>o</w:t>
      </w:r>
      <w:r w:rsidRPr="005A760B">
        <w:rPr>
          <w:szCs w:val="26"/>
        </w:rPr>
        <w:t>lítica Financiera, por la que se define el principio de prudencia financiera apl</w:t>
      </w:r>
      <w:r w:rsidRPr="005A760B">
        <w:rPr>
          <w:szCs w:val="26"/>
        </w:rPr>
        <w:t>i</w:t>
      </w:r>
      <w:r w:rsidRPr="005A760B">
        <w:rPr>
          <w:szCs w:val="26"/>
        </w:rPr>
        <w:t>cable a las operaciones de endeudamiento y derivados de las comunidades a</w:t>
      </w:r>
      <w:r w:rsidRPr="005A760B">
        <w:rPr>
          <w:szCs w:val="26"/>
        </w:rPr>
        <w:t>u</w:t>
      </w:r>
      <w:r w:rsidRPr="005A760B">
        <w:rPr>
          <w:szCs w:val="26"/>
        </w:rPr>
        <w:t>tónomas y entidades locales.</w:t>
      </w:r>
    </w:p>
    <w:p w:rsidR="001049D6" w:rsidRPr="005A760B" w:rsidRDefault="001049D6" w:rsidP="001049D6">
      <w:pPr>
        <w:pStyle w:val="texto"/>
        <w:tabs>
          <w:tab w:val="clear" w:pos="2835"/>
          <w:tab w:val="clear" w:pos="3969"/>
          <w:tab w:val="clear" w:pos="5103"/>
          <w:tab w:val="clear" w:pos="6237"/>
          <w:tab w:val="clear" w:pos="7371"/>
          <w:tab w:val="left" w:pos="480"/>
          <w:tab w:val="num" w:pos="720"/>
        </w:tabs>
        <w:ind w:left="290" w:firstLine="0"/>
        <w:rPr>
          <w:b/>
          <w:szCs w:val="26"/>
        </w:rPr>
      </w:pPr>
      <w:r w:rsidRPr="005A760B">
        <w:rPr>
          <w:b/>
          <w:szCs w:val="26"/>
        </w:rPr>
        <w:t xml:space="preserve">d) Contratación administrativa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Ley Foral 6/2006, de 9 de junio, de contratos públicos.</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Ley Foral 2/2018, de 13 de abril, de contratos públicos.</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Decreto Foral 32/2018, de 9 de mayo, por el que se actualizan los umbrales europeos de la Ley Foral 2/2018, de 13 de abril, de Contratos Públicos.</w:t>
      </w:r>
    </w:p>
    <w:p w:rsidR="001049D6" w:rsidRPr="005A760B" w:rsidRDefault="001049D6" w:rsidP="001049D6">
      <w:pPr>
        <w:pStyle w:val="texto"/>
        <w:spacing w:before="240"/>
        <w:rPr>
          <w:b/>
          <w:szCs w:val="26"/>
        </w:rPr>
      </w:pPr>
      <w:r w:rsidRPr="005A760B">
        <w:rPr>
          <w:b/>
          <w:szCs w:val="26"/>
        </w:rPr>
        <w:t xml:space="preserve">e) Personal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 xml:space="preserve">Decreto Foral Legislativo 251/1993 de 30 de agosto por el que se aprueba el Texto refundido del Estatuto de Personal al servicio de las Administraciones Públicas de Navarra, así como sus disposiciones de desarrollo.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Decreto Foral 158/1984, de 4 de julio, por el que se aprueba el Reglamento Provisional de Retribuciones del Personal al servicio de las Administraciones Públicas de Navarra (modificado por D.F.21/2017, de 29 de marzo)</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Decreto Foral 215/1985, de 6 de noviembre, por el que se aprueba el R</w:t>
      </w:r>
      <w:r w:rsidRPr="005A760B">
        <w:rPr>
          <w:szCs w:val="26"/>
        </w:rPr>
        <w:t>e</w:t>
      </w:r>
      <w:r w:rsidRPr="005A760B">
        <w:rPr>
          <w:szCs w:val="26"/>
        </w:rPr>
        <w:t>glamento de Provisión de puestos de trabajo en las Administraciones Públicas de Navarra. (modificado por D.F. 29/2017, de 17 de mayo)</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Ley Foral 13/2012, de 21 de junio, de medidas urgentes en materia de pe</w:t>
      </w:r>
      <w:r w:rsidRPr="005A760B">
        <w:rPr>
          <w:szCs w:val="26"/>
        </w:rPr>
        <w:t>r</w:t>
      </w:r>
      <w:r w:rsidRPr="005A760B">
        <w:rPr>
          <w:szCs w:val="26"/>
        </w:rPr>
        <w:t xml:space="preserve">sonal al servicio de las Administraciones Públicas de Navarra.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Ley Foral 13/2015, de 10 de abril, de modificación del Texto Refundido del Estatuto del Personal al servicio de las Administraciones Públicas de Nav</w:t>
      </w:r>
      <w:r w:rsidRPr="005A760B">
        <w:rPr>
          <w:szCs w:val="26"/>
        </w:rPr>
        <w:t>a</w:t>
      </w:r>
      <w:r w:rsidRPr="005A760B">
        <w:rPr>
          <w:szCs w:val="26"/>
        </w:rPr>
        <w:t xml:space="preserve">rra, en lo relativo al acceso al empleo público de las personas con discapacidad.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 xml:space="preserve">Ley Foral 8/2007, de 23 de marzo, de las Policías de Navarra.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Real Decreto-ley 4/2015, de 22 de marzo, para la reforma urgente del Si</w:t>
      </w:r>
      <w:r w:rsidRPr="005A760B">
        <w:rPr>
          <w:szCs w:val="26"/>
        </w:rPr>
        <w:t>s</w:t>
      </w:r>
      <w:r w:rsidRPr="005A760B">
        <w:rPr>
          <w:szCs w:val="26"/>
        </w:rPr>
        <w:t xml:space="preserve">tema de Formación Profesional para el Empleo en el ámbito laboral. </w:t>
      </w:r>
    </w:p>
    <w:p w:rsidR="001049D6" w:rsidRPr="005A760B" w:rsidRDefault="001049D6" w:rsidP="001049D6">
      <w:pPr>
        <w:pStyle w:val="texto"/>
        <w:spacing w:before="240"/>
        <w:rPr>
          <w:b/>
          <w:szCs w:val="26"/>
        </w:rPr>
      </w:pPr>
      <w:r w:rsidRPr="005A760B">
        <w:rPr>
          <w:b/>
          <w:szCs w:val="26"/>
        </w:rPr>
        <w:t xml:space="preserve">f) Urbanismo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 xml:space="preserve"> Decreto Foral Legislativo 1/2017 de 26 de julio, por el que se aprueba el Texto Refundido de la Ley Foral de Ordenación del Territorio y Urbanismo.</w:t>
      </w:r>
    </w:p>
    <w:p w:rsidR="001049D6" w:rsidRPr="005A760B" w:rsidRDefault="001049D6" w:rsidP="001049D6">
      <w:pPr>
        <w:pStyle w:val="texto"/>
        <w:spacing w:before="240"/>
        <w:rPr>
          <w:b/>
          <w:szCs w:val="26"/>
        </w:rPr>
      </w:pPr>
      <w:r w:rsidRPr="005A760B">
        <w:rPr>
          <w:b/>
          <w:szCs w:val="26"/>
        </w:rPr>
        <w:t xml:space="preserve">g) Subvenciones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Ley 38/2003, de 17 de noviembre, General de subvenciones y su reglame</w:t>
      </w:r>
      <w:r w:rsidRPr="005A760B">
        <w:rPr>
          <w:szCs w:val="26"/>
        </w:rPr>
        <w:t>n</w:t>
      </w:r>
      <w:r w:rsidRPr="005A760B">
        <w:rPr>
          <w:szCs w:val="26"/>
        </w:rPr>
        <w:t>to de desarrollo aprobado por Real Decreto 887/2006 de 21 de julio.</w:t>
      </w:r>
    </w:p>
    <w:p w:rsidR="001049D6" w:rsidRPr="005A760B" w:rsidRDefault="001049D6" w:rsidP="001049D6">
      <w:pPr>
        <w:pStyle w:val="texto"/>
        <w:rPr>
          <w:b/>
          <w:szCs w:val="26"/>
        </w:rPr>
      </w:pPr>
      <w:r w:rsidRPr="005A760B">
        <w:rPr>
          <w:b/>
          <w:szCs w:val="26"/>
        </w:rPr>
        <w:t xml:space="preserve"> h) Normativa interna de las entidades locales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 xml:space="preserve">Bases de ejecución de los presupuestos de las entidades locales para 2018. </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Ordenanzas y acuerdos reguladores de las tasas y precios públicos.</w:t>
      </w:r>
    </w:p>
    <w:p w:rsidR="001049D6" w:rsidRPr="005A760B" w:rsidRDefault="001049D6" w:rsidP="001049D6">
      <w:pPr>
        <w:pStyle w:val="texto"/>
        <w:numPr>
          <w:ilvl w:val="0"/>
          <w:numId w:val="2"/>
        </w:numPr>
        <w:tabs>
          <w:tab w:val="clear" w:pos="2835"/>
          <w:tab w:val="clear" w:pos="3969"/>
          <w:tab w:val="clear" w:pos="5103"/>
          <w:tab w:val="clear" w:pos="6237"/>
          <w:tab w:val="clear" w:pos="7371"/>
          <w:tab w:val="left" w:pos="480"/>
          <w:tab w:val="num" w:pos="600"/>
          <w:tab w:val="num" w:pos="720"/>
          <w:tab w:val="num" w:pos="786"/>
        </w:tabs>
        <w:ind w:left="0" w:firstLine="290"/>
        <w:rPr>
          <w:szCs w:val="26"/>
        </w:rPr>
      </w:pPr>
      <w:r w:rsidRPr="005A760B">
        <w:rPr>
          <w:szCs w:val="26"/>
        </w:rPr>
        <w:t>Convenios colectivos específicos.</w:t>
      </w:r>
    </w:p>
    <w:p w:rsidR="001049D6" w:rsidRPr="005A760B" w:rsidRDefault="001049D6" w:rsidP="001049D6">
      <w:pPr>
        <w:pStyle w:val="texto"/>
        <w:rPr>
          <w:szCs w:val="26"/>
        </w:rPr>
      </w:pPr>
    </w:p>
    <w:p w:rsidR="001049D6" w:rsidRPr="005A760B" w:rsidRDefault="001049D6" w:rsidP="001049D6">
      <w:pPr>
        <w:pStyle w:val="texto"/>
        <w:rPr>
          <w:b/>
          <w:szCs w:val="26"/>
        </w:rPr>
      </w:pPr>
    </w:p>
    <w:p w:rsidR="001049D6" w:rsidRPr="005A760B" w:rsidRDefault="001049D6" w:rsidP="001049D6">
      <w:pPr>
        <w:rPr>
          <w:b/>
          <w:bCs/>
          <w:sz w:val="24"/>
          <w:szCs w:val="24"/>
          <w:lang w:val="es-ES" w:eastAsia="es-ES"/>
        </w:rPr>
      </w:pPr>
      <w:r w:rsidRPr="005A760B">
        <w:rPr>
          <w:b/>
          <w:bCs/>
          <w:sz w:val="24"/>
          <w:szCs w:val="24"/>
          <w:lang w:val="es-ES" w:eastAsia="es-ES"/>
        </w:rPr>
        <w:br w:type="page"/>
      </w:r>
    </w:p>
    <w:p w:rsidR="00D94226" w:rsidRDefault="00D94226" w:rsidP="001B645E">
      <w:pPr>
        <w:pStyle w:val="atitulo1"/>
        <w:rPr>
          <w:color w:val="auto"/>
          <w:sz w:val="28"/>
          <w:szCs w:val="28"/>
        </w:rPr>
      </w:pPr>
      <w:bookmarkStart w:id="110" w:name="_Toc402257034"/>
      <w:bookmarkStart w:id="111" w:name="_Toc465686694"/>
      <w:bookmarkStart w:id="112" w:name="_Toc529773891"/>
      <w:bookmarkStart w:id="113" w:name="_Toc24100151"/>
      <w:bookmarkStart w:id="114" w:name="_Toc52348329"/>
    </w:p>
    <w:p w:rsidR="001049D6" w:rsidRPr="005A760B" w:rsidRDefault="001049D6" w:rsidP="001B645E">
      <w:pPr>
        <w:pStyle w:val="atitulo1"/>
        <w:rPr>
          <w:color w:val="auto"/>
          <w:sz w:val="28"/>
          <w:szCs w:val="28"/>
        </w:rPr>
      </w:pPr>
      <w:bookmarkStart w:id="115" w:name="_Toc54691932"/>
      <w:r w:rsidRPr="005A760B">
        <w:rPr>
          <w:color w:val="auto"/>
          <w:sz w:val="28"/>
          <w:szCs w:val="28"/>
        </w:rPr>
        <w:t>Anexo</w:t>
      </w:r>
      <w:bookmarkEnd w:id="110"/>
      <w:r w:rsidRPr="005A760B">
        <w:rPr>
          <w:color w:val="auto"/>
          <w:sz w:val="28"/>
          <w:szCs w:val="28"/>
        </w:rPr>
        <w:t xml:space="preserve"> 2. Situación financiera del sector público local de Navarra, año 201</w:t>
      </w:r>
      <w:bookmarkEnd w:id="111"/>
      <w:bookmarkEnd w:id="112"/>
      <w:bookmarkEnd w:id="113"/>
      <w:bookmarkEnd w:id="114"/>
      <w:r w:rsidR="007000ED" w:rsidRPr="005A760B">
        <w:rPr>
          <w:color w:val="auto"/>
          <w:sz w:val="28"/>
          <w:szCs w:val="28"/>
        </w:rPr>
        <w:t>8</w:t>
      </w:r>
      <w:bookmarkEnd w:id="115"/>
    </w:p>
    <w:p w:rsidR="001B645E" w:rsidRPr="005A760B" w:rsidRDefault="001B645E" w:rsidP="001B645E">
      <w:pPr>
        <w:pStyle w:val="texto"/>
      </w:pPr>
    </w:p>
    <w:p w:rsidR="001B645E" w:rsidRPr="005A760B" w:rsidRDefault="001B645E" w:rsidP="001B645E">
      <w:pPr>
        <w:pStyle w:val="texto"/>
      </w:pPr>
    </w:p>
    <w:p w:rsidR="001B645E" w:rsidRPr="005A760B" w:rsidRDefault="001B645E" w:rsidP="001B645E">
      <w:pPr>
        <w:pStyle w:val="texto"/>
      </w:pPr>
    </w:p>
    <w:sectPr w:rsidR="001B645E" w:rsidRPr="005A760B"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928" w:rsidRDefault="001B6928">
      <w:r>
        <w:separator/>
      </w:r>
    </w:p>
    <w:p w:rsidR="001B6928" w:rsidRDefault="001B6928"/>
    <w:p w:rsidR="001B6928" w:rsidRDefault="001B6928"/>
    <w:p w:rsidR="001B6928" w:rsidRDefault="001B6928"/>
  </w:endnote>
  <w:endnote w:type="continuationSeparator" w:id="0">
    <w:p w:rsidR="001B6928" w:rsidRDefault="001B6928">
      <w:r>
        <w:continuationSeparator/>
      </w:r>
    </w:p>
    <w:p w:rsidR="001B6928" w:rsidRDefault="001B6928"/>
    <w:p w:rsidR="001B6928" w:rsidRDefault="001B6928"/>
    <w:p w:rsidR="001B6928" w:rsidRDefault="001B6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altName w:val="Liberation Mono"/>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altName w:val="Bahnschrift Light"/>
    <w:panose1 w:val="020B0502020104020203"/>
    <w:charset w:val="00"/>
    <w:family w:val="swiss"/>
    <w:pitch w:val="variable"/>
    <w:sig w:usb0="00000007" w:usb1="00000000" w:usb2="00000000" w:usb3="00000000" w:csb0="00000003" w:csb1="00000000"/>
  </w:font>
  <w:font w:name="GillSans Light">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28" w:rsidRDefault="001B6928"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B6928" w:rsidRDefault="001B6928"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28" w:rsidRPr="00F03814" w:rsidRDefault="001B6928"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1B6928" w:rsidRPr="00F74E38" w:rsidRDefault="001B6928" w:rsidP="00F03814">
    <w:pPr>
      <w:pStyle w:val="Piedepgina"/>
      <w:tabs>
        <w:tab w:val="clear" w:pos="4252"/>
        <w:tab w:val="clear" w:pos="8504"/>
        <w:tab w:val="center" w:pos="4560"/>
      </w:tabs>
      <w:ind w:right="360"/>
      <w:jc w:val="left"/>
      <w:rPr>
        <w:rStyle w:val="Nmerodepgina"/>
      </w:rPr>
    </w:pPr>
  </w:p>
  <w:p w:rsidR="001B6928" w:rsidRPr="00C13453" w:rsidRDefault="001B6928" w:rsidP="00D2472C">
    <w:pPr>
      <w:pStyle w:val="BorradorProvisional"/>
      <w:ind w:left="0"/>
      <w:jc w:val="center"/>
    </w:pPr>
  </w:p>
  <w:p w:rsidR="001B6928" w:rsidRDefault="001B692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28" w:rsidRDefault="001B6928"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28" w:rsidRPr="00F03814" w:rsidRDefault="001B6928"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A03754">
      <w:rPr>
        <w:rStyle w:val="Nmerodepgina"/>
        <w:noProof/>
        <w:szCs w:val="24"/>
      </w:rPr>
      <w:t>40</w:t>
    </w:r>
    <w:r w:rsidRPr="001D4F09">
      <w:rPr>
        <w:rStyle w:val="Nmerodepgina"/>
        <w:szCs w:val="24"/>
      </w:rPr>
      <w:fldChar w:fldCharType="end"/>
    </w:r>
    <w:r w:rsidRPr="001D4F09">
      <w:rPr>
        <w:rStyle w:val="Nmerodepgina"/>
        <w:szCs w:val="24"/>
      </w:rPr>
      <w:t xml:space="preserve"> -</w:t>
    </w:r>
  </w:p>
  <w:p w:rsidR="001B6928" w:rsidRPr="00C13453" w:rsidRDefault="001B6928" w:rsidP="00D2472C">
    <w:pPr>
      <w:pStyle w:val="BorradorProvisional"/>
      <w:ind w:left="0"/>
      <w:jc w:val="center"/>
    </w:pPr>
  </w:p>
  <w:p w:rsidR="001B6928" w:rsidRDefault="001B69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928" w:rsidRDefault="001B6928">
      <w:r>
        <w:separator/>
      </w:r>
    </w:p>
    <w:p w:rsidR="001B6928" w:rsidRDefault="001B6928"/>
    <w:p w:rsidR="001B6928" w:rsidRDefault="001B6928"/>
    <w:p w:rsidR="001B6928" w:rsidRDefault="001B6928"/>
  </w:footnote>
  <w:footnote w:type="continuationSeparator" w:id="0">
    <w:p w:rsidR="001B6928" w:rsidRDefault="001B6928">
      <w:r>
        <w:continuationSeparator/>
      </w:r>
    </w:p>
    <w:p w:rsidR="001B6928" w:rsidRDefault="001B6928"/>
    <w:p w:rsidR="001B6928" w:rsidRDefault="001B6928"/>
    <w:p w:rsidR="001B6928" w:rsidRDefault="001B69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28" w:rsidRPr="0059650E" w:rsidRDefault="001B6928" w:rsidP="004335F4">
    <w:pPr>
      <w:pStyle w:val="Encabezado"/>
      <w:pBdr>
        <w:bottom w:val="single" w:sz="4" w:space="1" w:color="auto"/>
      </w:pBdr>
      <w:spacing w:after="40"/>
      <w:ind w:firstLine="0"/>
      <w:jc w:val="left"/>
      <w:rPr>
        <w:lang w:val="es-ES"/>
      </w:rPr>
    </w:pPr>
    <w:r>
      <w:rPr>
        <w:b/>
        <w:noProof/>
        <w:lang w:val="es-ES" w:eastAsia="es-ES"/>
      </w:rPr>
      <w:drawing>
        <wp:inline distT="0" distB="0" distL="0" distR="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de fiscalización SOBRE el sector público local de navarra, ejercicio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28" w:rsidRDefault="001B6928"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28" w:rsidRDefault="001B6928"/>
  <w:p w:rsidR="001B6928" w:rsidRDefault="001B6928"/>
  <w:p w:rsidR="001B6928" w:rsidRDefault="001B69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55F"/>
    <w:multiLevelType w:val="hybridMultilevel"/>
    <w:tmpl w:val="E77E60D4"/>
    <w:lvl w:ilvl="0" w:tplc="F302438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06691D6A"/>
    <w:multiLevelType w:val="hybridMultilevel"/>
    <w:tmpl w:val="214A94DA"/>
    <w:lvl w:ilvl="0" w:tplc="6330C70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06E52C42"/>
    <w:multiLevelType w:val="hybridMultilevel"/>
    <w:tmpl w:val="3696916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nsid w:val="14BE03CF"/>
    <w:multiLevelType w:val="hybridMultilevel"/>
    <w:tmpl w:val="14D6DB56"/>
    <w:lvl w:ilvl="0" w:tplc="D8163EAE">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nsid w:val="15AF7DDB"/>
    <w:multiLevelType w:val="hybridMultilevel"/>
    <w:tmpl w:val="B31E2B62"/>
    <w:lvl w:ilvl="0" w:tplc="07A4591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17944E2C"/>
    <w:multiLevelType w:val="hybridMultilevel"/>
    <w:tmpl w:val="9FB204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1F4542CA"/>
    <w:multiLevelType w:val="hybridMultilevel"/>
    <w:tmpl w:val="22B6F5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3A1164C7"/>
    <w:multiLevelType w:val="hybridMultilevel"/>
    <w:tmpl w:val="F0965294"/>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9">
    <w:nsid w:val="443A2E7B"/>
    <w:multiLevelType w:val="hybridMultilevel"/>
    <w:tmpl w:val="C0AC0F22"/>
    <w:lvl w:ilvl="0" w:tplc="AB8494E0">
      <w:start w:val="1"/>
      <w:numFmt w:val="lowerLetter"/>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1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480079F6"/>
    <w:multiLevelType w:val="hybridMultilevel"/>
    <w:tmpl w:val="5B44B5D0"/>
    <w:lvl w:ilvl="0" w:tplc="FFFFFFFF">
      <w:start w:val="1"/>
      <w:numFmt w:val="decimal"/>
      <w:lvlText w:val="(%1)"/>
      <w:lvlJc w:val="left"/>
      <w:pPr>
        <w:tabs>
          <w:tab w:val="num" w:pos="885"/>
        </w:tabs>
        <w:ind w:left="885" w:hanging="52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608C282D"/>
    <w:multiLevelType w:val="hybridMultilevel"/>
    <w:tmpl w:val="2BCED89E"/>
    <w:lvl w:ilvl="0" w:tplc="6538862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
    <w:nsid w:val="644B5128"/>
    <w:multiLevelType w:val="singleLevel"/>
    <w:tmpl w:val="F50A19D2"/>
    <w:lvl w:ilvl="0">
      <w:start w:val="46"/>
      <w:numFmt w:val="bullet"/>
      <w:lvlText w:val=""/>
      <w:lvlJc w:val="left"/>
      <w:pPr>
        <w:tabs>
          <w:tab w:val="num" w:pos="5606"/>
        </w:tabs>
        <w:ind w:left="5076" w:firstLine="170"/>
      </w:pPr>
      <w:rPr>
        <w:rFonts w:ascii="Wingdings" w:hAnsi="Wingdings" w:hint="default"/>
      </w:rPr>
    </w:lvl>
  </w:abstractNum>
  <w:abstractNum w:abstractNumId="14">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nsid w:val="7003001F"/>
    <w:multiLevelType w:val="hybridMultilevel"/>
    <w:tmpl w:val="097AE408"/>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16">
    <w:nsid w:val="70E30354"/>
    <w:multiLevelType w:val="hybridMultilevel"/>
    <w:tmpl w:val="6226D416"/>
    <w:lvl w:ilvl="0" w:tplc="5B261A90">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17">
    <w:nsid w:val="74221C53"/>
    <w:multiLevelType w:val="hybridMultilevel"/>
    <w:tmpl w:val="0BAC00C0"/>
    <w:lvl w:ilvl="0" w:tplc="730027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76DC2CC0"/>
    <w:multiLevelType w:val="hybridMultilevel"/>
    <w:tmpl w:val="8C10B442"/>
    <w:lvl w:ilvl="0" w:tplc="6DF0EDF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nsid w:val="79CF4F8F"/>
    <w:multiLevelType w:val="hybridMultilevel"/>
    <w:tmpl w:val="F21E21D2"/>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20"/>
  </w:num>
  <w:num w:numId="2">
    <w:abstractNumId w:val="13"/>
  </w:num>
  <w:num w:numId="3">
    <w:abstractNumId w:val="3"/>
  </w:num>
  <w:num w:numId="4">
    <w:abstractNumId w:val="10"/>
  </w:num>
  <w:num w:numId="5">
    <w:abstractNumId w:val="14"/>
  </w:num>
  <w:num w:numId="6">
    <w:abstractNumId w:val="3"/>
  </w:num>
  <w:num w:numId="7">
    <w:abstractNumId w:val="3"/>
  </w:num>
  <w:num w:numId="8">
    <w:abstractNumId w:val="3"/>
  </w:num>
  <w:num w:numId="9">
    <w:abstractNumId w:val="11"/>
  </w:num>
  <w:num w:numId="10">
    <w:abstractNumId w:val="6"/>
  </w:num>
  <w:num w:numId="11">
    <w:abstractNumId w:val="8"/>
  </w:num>
  <w:num w:numId="12">
    <w:abstractNumId w:val="15"/>
  </w:num>
  <w:num w:numId="13">
    <w:abstractNumId w:val="9"/>
  </w:num>
  <w:num w:numId="14">
    <w:abstractNumId w:val="18"/>
  </w:num>
  <w:num w:numId="15">
    <w:abstractNumId w:val="7"/>
  </w:num>
  <w:num w:numId="16">
    <w:abstractNumId w:val="2"/>
  </w:num>
  <w:num w:numId="17">
    <w:abstractNumId w:val="19"/>
  </w:num>
  <w:num w:numId="18">
    <w:abstractNumId w:val="0"/>
  </w:num>
  <w:num w:numId="19">
    <w:abstractNumId w:val="4"/>
  </w:num>
  <w:num w:numId="20">
    <w:abstractNumId w:val="17"/>
  </w:num>
  <w:num w:numId="21">
    <w:abstractNumId w:val="16"/>
  </w:num>
  <w:num w:numId="22">
    <w:abstractNumId w:val="5"/>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F4"/>
    <w:rsid w:val="00000E86"/>
    <w:rsid w:val="000019D8"/>
    <w:rsid w:val="000035AC"/>
    <w:rsid w:val="00006736"/>
    <w:rsid w:val="00006A97"/>
    <w:rsid w:val="0001123B"/>
    <w:rsid w:val="00012A7F"/>
    <w:rsid w:val="00017A3A"/>
    <w:rsid w:val="00030037"/>
    <w:rsid w:val="00036E42"/>
    <w:rsid w:val="000373CF"/>
    <w:rsid w:val="0004373B"/>
    <w:rsid w:val="000448FA"/>
    <w:rsid w:val="0005326A"/>
    <w:rsid w:val="00053A42"/>
    <w:rsid w:val="0005517D"/>
    <w:rsid w:val="0006133D"/>
    <w:rsid w:val="00063585"/>
    <w:rsid w:val="00071CD0"/>
    <w:rsid w:val="00075692"/>
    <w:rsid w:val="00087B8D"/>
    <w:rsid w:val="00093D67"/>
    <w:rsid w:val="00093E60"/>
    <w:rsid w:val="000A18B7"/>
    <w:rsid w:val="000A2C1E"/>
    <w:rsid w:val="000A4697"/>
    <w:rsid w:val="000B2728"/>
    <w:rsid w:val="000B3943"/>
    <w:rsid w:val="000B4477"/>
    <w:rsid w:val="000C0704"/>
    <w:rsid w:val="000C2B07"/>
    <w:rsid w:val="000C39CC"/>
    <w:rsid w:val="000C7566"/>
    <w:rsid w:val="000D188E"/>
    <w:rsid w:val="000D5335"/>
    <w:rsid w:val="000E7B86"/>
    <w:rsid w:val="000F2B66"/>
    <w:rsid w:val="000F3D83"/>
    <w:rsid w:val="00100F12"/>
    <w:rsid w:val="00103589"/>
    <w:rsid w:val="001045C9"/>
    <w:rsid w:val="001049D6"/>
    <w:rsid w:val="001063A7"/>
    <w:rsid w:val="00107CC1"/>
    <w:rsid w:val="00111A92"/>
    <w:rsid w:val="001145C3"/>
    <w:rsid w:val="001161D2"/>
    <w:rsid w:val="00131DF1"/>
    <w:rsid w:val="00132A86"/>
    <w:rsid w:val="00132C38"/>
    <w:rsid w:val="00133984"/>
    <w:rsid w:val="001365C4"/>
    <w:rsid w:val="0014147D"/>
    <w:rsid w:val="00141D29"/>
    <w:rsid w:val="0014506A"/>
    <w:rsid w:val="001451A7"/>
    <w:rsid w:val="0014728F"/>
    <w:rsid w:val="001521A2"/>
    <w:rsid w:val="00152358"/>
    <w:rsid w:val="00155BFF"/>
    <w:rsid w:val="00160F66"/>
    <w:rsid w:val="001633AF"/>
    <w:rsid w:val="00166A6C"/>
    <w:rsid w:val="00167492"/>
    <w:rsid w:val="001728D0"/>
    <w:rsid w:val="00173EDD"/>
    <w:rsid w:val="0017402B"/>
    <w:rsid w:val="00181D37"/>
    <w:rsid w:val="001835B7"/>
    <w:rsid w:val="0018426B"/>
    <w:rsid w:val="00185A37"/>
    <w:rsid w:val="00194309"/>
    <w:rsid w:val="0019660E"/>
    <w:rsid w:val="001A21D9"/>
    <w:rsid w:val="001B12A7"/>
    <w:rsid w:val="001B39E2"/>
    <w:rsid w:val="001B645E"/>
    <w:rsid w:val="001B6928"/>
    <w:rsid w:val="001C2B26"/>
    <w:rsid w:val="001C3A32"/>
    <w:rsid w:val="001D4F09"/>
    <w:rsid w:val="001F1482"/>
    <w:rsid w:val="001F20D7"/>
    <w:rsid w:val="001F7744"/>
    <w:rsid w:val="00200A4A"/>
    <w:rsid w:val="00200B4F"/>
    <w:rsid w:val="002014EB"/>
    <w:rsid w:val="00202B1A"/>
    <w:rsid w:val="0020398D"/>
    <w:rsid w:val="00204979"/>
    <w:rsid w:val="00211D69"/>
    <w:rsid w:val="002179DB"/>
    <w:rsid w:val="00227E48"/>
    <w:rsid w:val="00230577"/>
    <w:rsid w:val="0023159D"/>
    <w:rsid w:val="0023209D"/>
    <w:rsid w:val="002332CE"/>
    <w:rsid w:val="002333F8"/>
    <w:rsid w:val="00233D79"/>
    <w:rsid w:val="00237657"/>
    <w:rsid w:val="00242BA7"/>
    <w:rsid w:val="002437B5"/>
    <w:rsid w:val="00244EF1"/>
    <w:rsid w:val="00246F21"/>
    <w:rsid w:val="00253E78"/>
    <w:rsid w:val="00254EF3"/>
    <w:rsid w:val="00262C3C"/>
    <w:rsid w:val="00264C88"/>
    <w:rsid w:val="0026532C"/>
    <w:rsid w:val="0026575D"/>
    <w:rsid w:val="0026775D"/>
    <w:rsid w:val="002705B0"/>
    <w:rsid w:val="002717A6"/>
    <w:rsid w:val="00272015"/>
    <w:rsid w:val="00273C10"/>
    <w:rsid w:val="00274B4C"/>
    <w:rsid w:val="00276264"/>
    <w:rsid w:val="00281DCA"/>
    <w:rsid w:val="002932E3"/>
    <w:rsid w:val="00297B04"/>
    <w:rsid w:val="002A056C"/>
    <w:rsid w:val="002A66A5"/>
    <w:rsid w:val="002A6EBB"/>
    <w:rsid w:val="002B21E9"/>
    <w:rsid w:val="002B2B87"/>
    <w:rsid w:val="002B4E0F"/>
    <w:rsid w:val="002B5754"/>
    <w:rsid w:val="002C7026"/>
    <w:rsid w:val="002C7500"/>
    <w:rsid w:val="002C752B"/>
    <w:rsid w:val="002C7A3D"/>
    <w:rsid w:val="002C7E08"/>
    <w:rsid w:val="002D089F"/>
    <w:rsid w:val="002D5635"/>
    <w:rsid w:val="002D65E8"/>
    <w:rsid w:val="002D7C75"/>
    <w:rsid w:val="002D7D32"/>
    <w:rsid w:val="002E02E5"/>
    <w:rsid w:val="002E0478"/>
    <w:rsid w:val="002E0791"/>
    <w:rsid w:val="002E1B92"/>
    <w:rsid w:val="002E7B81"/>
    <w:rsid w:val="002F09FB"/>
    <w:rsid w:val="002F0FE3"/>
    <w:rsid w:val="002F1AF0"/>
    <w:rsid w:val="002F1D9B"/>
    <w:rsid w:val="002F2530"/>
    <w:rsid w:val="002F272A"/>
    <w:rsid w:val="002F3225"/>
    <w:rsid w:val="002F53B4"/>
    <w:rsid w:val="002F76D6"/>
    <w:rsid w:val="00303506"/>
    <w:rsid w:val="00307057"/>
    <w:rsid w:val="00312819"/>
    <w:rsid w:val="00312E9C"/>
    <w:rsid w:val="00313875"/>
    <w:rsid w:val="003203BF"/>
    <w:rsid w:val="00321369"/>
    <w:rsid w:val="00324580"/>
    <w:rsid w:val="00330787"/>
    <w:rsid w:val="00337493"/>
    <w:rsid w:val="0034285F"/>
    <w:rsid w:val="003464A4"/>
    <w:rsid w:val="00351684"/>
    <w:rsid w:val="00354458"/>
    <w:rsid w:val="00356EAE"/>
    <w:rsid w:val="00363653"/>
    <w:rsid w:val="0036509D"/>
    <w:rsid w:val="0037228C"/>
    <w:rsid w:val="003738FD"/>
    <w:rsid w:val="003810BE"/>
    <w:rsid w:val="00386F6C"/>
    <w:rsid w:val="00387709"/>
    <w:rsid w:val="00387794"/>
    <w:rsid w:val="00397162"/>
    <w:rsid w:val="003A299A"/>
    <w:rsid w:val="003A335E"/>
    <w:rsid w:val="003A3DD2"/>
    <w:rsid w:val="003B295E"/>
    <w:rsid w:val="003B3545"/>
    <w:rsid w:val="003B3573"/>
    <w:rsid w:val="003B5813"/>
    <w:rsid w:val="003B7545"/>
    <w:rsid w:val="003C03EA"/>
    <w:rsid w:val="003C196B"/>
    <w:rsid w:val="003C6633"/>
    <w:rsid w:val="003C6E1D"/>
    <w:rsid w:val="003D058C"/>
    <w:rsid w:val="003D76B1"/>
    <w:rsid w:val="003E17A6"/>
    <w:rsid w:val="003E4AA5"/>
    <w:rsid w:val="003F1CEC"/>
    <w:rsid w:val="003F43BF"/>
    <w:rsid w:val="003F44F1"/>
    <w:rsid w:val="003F4FE0"/>
    <w:rsid w:val="003F6BE4"/>
    <w:rsid w:val="00403CF8"/>
    <w:rsid w:val="00407459"/>
    <w:rsid w:val="004128B2"/>
    <w:rsid w:val="004132AB"/>
    <w:rsid w:val="00414D01"/>
    <w:rsid w:val="0041698B"/>
    <w:rsid w:val="004170FE"/>
    <w:rsid w:val="004209E6"/>
    <w:rsid w:val="00421550"/>
    <w:rsid w:val="004219EF"/>
    <w:rsid w:val="0042324B"/>
    <w:rsid w:val="004234E8"/>
    <w:rsid w:val="00426805"/>
    <w:rsid w:val="00430150"/>
    <w:rsid w:val="004302F9"/>
    <w:rsid w:val="0043229B"/>
    <w:rsid w:val="004335F4"/>
    <w:rsid w:val="00435287"/>
    <w:rsid w:val="00440A22"/>
    <w:rsid w:val="00440DD5"/>
    <w:rsid w:val="00444BB1"/>
    <w:rsid w:val="004464A8"/>
    <w:rsid w:val="0045051C"/>
    <w:rsid w:val="0045127C"/>
    <w:rsid w:val="00454335"/>
    <w:rsid w:val="004554C1"/>
    <w:rsid w:val="0045550E"/>
    <w:rsid w:val="00456456"/>
    <w:rsid w:val="00462367"/>
    <w:rsid w:val="0046490C"/>
    <w:rsid w:val="00470287"/>
    <w:rsid w:val="00470733"/>
    <w:rsid w:val="00470FC3"/>
    <w:rsid w:val="00477C53"/>
    <w:rsid w:val="00485380"/>
    <w:rsid w:val="00493D87"/>
    <w:rsid w:val="004950D4"/>
    <w:rsid w:val="00495DA1"/>
    <w:rsid w:val="004A0506"/>
    <w:rsid w:val="004A2342"/>
    <w:rsid w:val="004A2F62"/>
    <w:rsid w:val="004A4956"/>
    <w:rsid w:val="004A73D8"/>
    <w:rsid w:val="004B1DB8"/>
    <w:rsid w:val="004B2F01"/>
    <w:rsid w:val="004B4182"/>
    <w:rsid w:val="004B4538"/>
    <w:rsid w:val="004B6FB6"/>
    <w:rsid w:val="004C2414"/>
    <w:rsid w:val="004C3423"/>
    <w:rsid w:val="004C571D"/>
    <w:rsid w:val="004D35A2"/>
    <w:rsid w:val="004D5FD1"/>
    <w:rsid w:val="004D6C8F"/>
    <w:rsid w:val="004F1144"/>
    <w:rsid w:val="004F53CC"/>
    <w:rsid w:val="004F5F02"/>
    <w:rsid w:val="004F7C93"/>
    <w:rsid w:val="00500C11"/>
    <w:rsid w:val="00506105"/>
    <w:rsid w:val="0050636A"/>
    <w:rsid w:val="00513162"/>
    <w:rsid w:val="00525809"/>
    <w:rsid w:val="005278F2"/>
    <w:rsid w:val="00535130"/>
    <w:rsid w:val="00537302"/>
    <w:rsid w:val="0054090E"/>
    <w:rsid w:val="00542CE2"/>
    <w:rsid w:val="00546DE7"/>
    <w:rsid w:val="00552BC9"/>
    <w:rsid w:val="0055412F"/>
    <w:rsid w:val="00555509"/>
    <w:rsid w:val="00561C5B"/>
    <w:rsid w:val="00564F2D"/>
    <w:rsid w:val="00566CDA"/>
    <w:rsid w:val="0056727E"/>
    <w:rsid w:val="00567BA6"/>
    <w:rsid w:val="00570033"/>
    <w:rsid w:val="00570147"/>
    <w:rsid w:val="00572035"/>
    <w:rsid w:val="0057307E"/>
    <w:rsid w:val="00573A4C"/>
    <w:rsid w:val="00574B79"/>
    <w:rsid w:val="00574D12"/>
    <w:rsid w:val="005800B4"/>
    <w:rsid w:val="0058070B"/>
    <w:rsid w:val="0058296F"/>
    <w:rsid w:val="00595E80"/>
    <w:rsid w:val="0059650E"/>
    <w:rsid w:val="00596953"/>
    <w:rsid w:val="005A3F0F"/>
    <w:rsid w:val="005A6030"/>
    <w:rsid w:val="005A760B"/>
    <w:rsid w:val="005B57AD"/>
    <w:rsid w:val="005B722E"/>
    <w:rsid w:val="005C02FE"/>
    <w:rsid w:val="005C50AC"/>
    <w:rsid w:val="005C6406"/>
    <w:rsid w:val="005C7D90"/>
    <w:rsid w:val="005D2B02"/>
    <w:rsid w:val="005D69D1"/>
    <w:rsid w:val="005E210D"/>
    <w:rsid w:val="005E6498"/>
    <w:rsid w:val="005F216E"/>
    <w:rsid w:val="005F2425"/>
    <w:rsid w:val="005F5EC7"/>
    <w:rsid w:val="005F7207"/>
    <w:rsid w:val="005F7FCF"/>
    <w:rsid w:val="00607691"/>
    <w:rsid w:val="0061062C"/>
    <w:rsid w:val="00613183"/>
    <w:rsid w:val="006133F0"/>
    <w:rsid w:val="00616888"/>
    <w:rsid w:val="006176BE"/>
    <w:rsid w:val="006212CB"/>
    <w:rsid w:val="00622810"/>
    <w:rsid w:val="006279F9"/>
    <w:rsid w:val="006369EE"/>
    <w:rsid w:val="0064700E"/>
    <w:rsid w:val="00650183"/>
    <w:rsid w:val="00650677"/>
    <w:rsid w:val="006511AB"/>
    <w:rsid w:val="00654664"/>
    <w:rsid w:val="00656810"/>
    <w:rsid w:val="00657850"/>
    <w:rsid w:val="0066202A"/>
    <w:rsid w:val="00662271"/>
    <w:rsid w:val="006636B5"/>
    <w:rsid w:val="00667FE9"/>
    <w:rsid w:val="006736A9"/>
    <w:rsid w:val="00673BC7"/>
    <w:rsid w:val="00674975"/>
    <w:rsid w:val="00675D39"/>
    <w:rsid w:val="00681A4A"/>
    <w:rsid w:val="0068560B"/>
    <w:rsid w:val="00687A28"/>
    <w:rsid w:val="006A1277"/>
    <w:rsid w:val="006A2602"/>
    <w:rsid w:val="006A2D41"/>
    <w:rsid w:val="006A67E1"/>
    <w:rsid w:val="006C36FB"/>
    <w:rsid w:val="006C7D62"/>
    <w:rsid w:val="006C7E6C"/>
    <w:rsid w:val="006D0B23"/>
    <w:rsid w:val="006D2ED6"/>
    <w:rsid w:val="006D5685"/>
    <w:rsid w:val="006D781C"/>
    <w:rsid w:val="006E1987"/>
    <w:rsid w:val="006E23B2"/>
    <w:rsid w:val="006E5207"/>
    <w:rsid w:val="006F5C70"/>
    <w:rsid w:val="006F6712"/>
    <w:rsid w:val="006F6A20"/>
    <w:rsid w:val="007000ED"/>
    <w:rsid w:val="007047B2"/>
    <w:rsid w:val="00704DE7"/>
    <w:rsid w:val="00706868"/>
    <w:rsid w:val="007078B8"/>
    <w:rsid w:val="007103FA"/>
    <w:rsid w:val="00714FAB"/>
    <w:rsid w:val="00715E32"/>
    <w:rsid w:val="007162D1"/>
    <w:rsid w:val="00716463"/>
    <w:rsid w:val="0071706E"/>
    <w:rsid w:val="00727292"/>
    <w:rsid w:val="00742F6A"/>
    <w:rsid w:val="007446E8"/>
    <w:rsid w:val="00751553"/>
    <w:rsid w:val="0075165E"/>
    <w:rsid w:val="00754E10"/>
    <w:rsid w:val="00762A29"/>
    <w:rsid w:val="0076327D"/>
    <w:rsid w:val="00767745"/>
    <w:rsid w:val="007707FC"/>
    <w:rsid w:val="00770BE3"/>
    <w:rsid w:val="0077177A"/>
    <w:rsid w:val="007728A8"/>
    <w:rsid w:val="007804CA"/>
    <w:rsid w:val="00785A76"/>
    <w:rsid w:val="00787852"/>
    <w:rsid w:val="00790046"/>
    <w:rsid w:val="007915BC"/>
    <w:rsid w:val="007967FA"/>
    <w:rsid w:val="00797E7A"/>
    <w:rsid w:val="007A0EA6"/>
    <w:rsid w:val="007A134B"/>
    <w:rsid w:val="007A2D9E"/>
    <w:rsid w:val="007B0381"/>
    <w:rsid w:val="007B0F3D"/>
    <w:rsid w:val="007B148D"/>
    <w:rsid w:val="007B18C8"/>
    <w:rsid w:val="007B28DE"/>
    <w:rsid w:val="007B7A5F"/>
    <w:rsid w:val="007C02D3"/>
    <w:rsid w:val="007C161D"/>
    <w:rsid w:val="007C36BE"/>
    <w:rsid w:val="007D53ED"/>
    <w:rsid w:val="007D6001"/>
    <w:rsid w:val="007D7F94"/>
    <w:rsid w:val="007E1B76"/>
    <w:rsid w:val="007E219A"/>
    <w:rsid w:val="007E37BF"/>
    <w:rsid w:val="007E6593"/>
    <w:rsid w:val="007F1101"/>
    <w:rsid w:val="007F2CB1"/>
    <w:rsid w:val="00803D20"/>
    <w:rsid w:val="00804576"/>
    <w:rsid w:val="008112A0"/>
    <w:rsid w:val="0081696D"/>
    <w:rsid w:val="00816E01"/>
    <w:rsid w:val="00816E87"/>
    <w:rsid w:val="008173D0"/>
    <w:rsid w:val="00823235"/>
    <w:rsid w:val="0082447C"/>
    <w:rsid w:val="008249F1"/>
    <w:rsid w:val="00824AF2"/>
    <w:rsid w:val="00826686"/>
    <w:rsid w:val="008325EC"/>
    <w:rsid w:val="00835563"/>
    <w:rsid w:val="00836511"/>
    <w:rsid w:val="00836B02"/>
    <w:rsid w:val="00836EC6"/>
    <w:rsid w:val="0083741E"/>
    <w:rsid w:val="00837985"/>
    <w:rsid w:val="008404CA"/>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650B2"/>
    <w:rsid w:val="00870303"/>
    <w:rsid w:val="00870399"/>
    <w:rsid w:val="008711EC"/>
    <w:rsid w:val="008718FE"/>
    <w:rsid w:val="00872946"/>
    <w:rsid w:val="008826C0"/>
    <w:rsid w:val="00883928"/>
    <w:rsid w:val="00883DDE"/>
    <w:rsid w:val="00883EA9"/>
    <w:rsid w:val="008857DE"/>
    <w:rsid w:val="00891C23"/>
    <w:rsid w:val="00891D73"/>
    <w:rsid w:val="00892A44"/>
    <w:rsid w:val="00895C77"/>
    <w:rsid w:val="008A2DE8"/>
    <w:rsid w:val="008A312D"/>
    <w:rsid w:val="008A3E09"/>
    <w:rsid w:val="008A3E57"/>
    <w:rsid w:val="008A5FED"/>
    <w:rsid w:val="008A77A7"/>
    <w:rsid w:val="008B3F34"/>
    <w:rsid w:val="008C3281"/>
    <w:rsid w:val="008C56B9"/>
    <w:rsid w:val="008D05E0"/>
    <w:rsid w:val="008D1A6D"/>
    <w:rsid w:val="008D2600"/>
    <w:rsid w:val="008D3658"/>
    <w:rsid w:val="008D60C5"/>
    <w:rsid w:val="008E0AC0"/>
    <w:rsid w:val="008E221A"/>
    <w:rsid w:val="008E3FFE"/>
    <w:rsid w:val="008E60BE"/>
    <w:rsid w:val="008E6B74"/>
    <w:rsid w:val="008F0FAF"/>
    <w:rsid w:val="008F15CC"/>
    <w:rsid w:val="008F46CD"/>
    <w:rsid w:val="008F4891"/>
    <w:rsid w:val="008F6480"/>
    <w:rsid w:val="008F7740"/>
    <w:rsid w:val="008F7CB0"/>
    <w:rsid w:val="00900CA2"/>
    <w:rsid w:val="00903653"/>
    <w:rsid w:val="009059E5"/>
    <w:rsid w:val="00910A52"/>
    <w:rsid w:val="00911479"/>
    <w:rsid w:val="0091484D"/>
    <w:rsid w:val="00925E71"/>
    <w:rsid w:val="0093329F"/>
    <w:rsid w:val="00934965"/>
    <w:rsid w:val="00937043"/>
    <w:rsid w:val="00943C8C"/>
    <w:rsid w:val="009445D3"/>
    <w:rsid w:val="00955A8A"/>
    <w:rsid w:val="00957097"/>
    <w:rsid w:val="0096400D"/>
    <w:rsid w:val="00966600"/>
    <w:rsid w:val="009671D9"/>
    <w:rsid w:val="00971352"/>
    <w:rsid w:val="00972FCE"/>
    <w:rsid w:val="00975E5B"/>
    <w:rsid w:val="00977C8F"/>
    <w:rsid w:val="00977F94"/>
    <w:rsid w:val="0098308E"/>
    <w:rsid w:val="00983822"/>
    <w:rsid w:val="009863E9"/>
    <w:rsid w:val="009918E7"/>
    <w:rsid w:val="00992E20"/>
    <w:rsid w:val="009936FC"/>
    <w:rsid w:val="00993925"/>
    <w:rsid w:val="00993977"/>
    <w:rsid w:val="00996AFB"/>
    <w:rsid w:val="009A05D1"/>
    <w:rsid w:val="009A28AC"/>
    <w:rsid w:val="009A3A5B"/>
    <w:rsid w:val="009A3F2A"/>
    <w:rsid w:val="009A45E2"/>
    <w:rsid w:val="009B2AAC"/>
    <w:rsid w:val="009B3521"/>
    <w:rsid w:val="009B541C"/>
    <w:rsid w:val="009C4460"/>
    <w:rsid w:val="009D48C9"/>
    <w:rsid w:val="009D7192"/>
    <w:rsid w:val="009E0E38"/>
    <w:rsid w:val="009E1A35"/>
    <w:rsid w:val="009E259A"/>
    <w:rsid w:val="009E29F8"/>
    <w:rsid w:val="009F09AA"/>
    <w:rsid w:val="009F2C16"/>
    <w:rsid w:val="009F2C1B"/>
    <w:rsid w:val="009F335C"/>
    <w:rsid w:val="00A002B5"/>
    <w:rsid w:val="00A009C0"/>
    <w:rsid w:val="00A0260C"/>
    <w:rsid w:val="00A03754"/>
    <w:rsid w:val="00A041B5"/>
    <w:rsid w:val="00A04F4D"/>
    <w:rsid w:val="00A04F8C"/>
    <w:rsid w:val="00A05158"/>
    <w:rsid w:val="00A13BF5"/>
    <w:rsid w:val="00A14837"/>
    <w:rsid w:val="00A211B2"/>
    <w:rsid w:val="00A225E3"/>
    <w:rsid w:val="00A23A26"/>
    <w:rsid w:val="00A24A8F"/>
    <w:rsid w:val="00A25708"/>
    <w:rsid w:val="00A25BF0"/>
    <w:rsid w:val="00A3026E"/>
    <w:rsid w:val="00A322BA"/>
    <w:rsid w:val="00A4576A"/>
    <w:rsid w:val="00A45AD0"/>
    <w:rsid w:val="00A45EE9"/>
    <w:rsid w:val="00A53C14"/>
    <w:rsid w:val="00A61410"/>
    <w:rsid w:val="00A6198A"/>
    <w:rsid w:val="00A65108"/>
    <w:rsid w:val="00A653B0"/>
    <w:rsid w:val="00A7067F"/>
    <w:rsid w:val="00A707A7"/>
    <w:rsid w:val="00A718FD"/>
    <w:rsid w:val="00A72341"/>
    <w:rsid w:val="00A776ED"/>
    <w:rsid w:val="00A80E50"/>
    <w:rsid w:val="00A8137F"/>
    <w:rsid w:val="00A83663"/>
    <w:rsid w:val="00A83B0F"/>
    <w:rsid w:val="00A84216"/>
    <w:rsid w:val="00A847EE"/>
    <w:rsid w:val="00A90BFA"/>
    <w:rsid w:val="00A92BF3"/>
    <w:rsid w:val="00A943C8"/>
    <w:rsid w:val="00A950A4"/>
    <w:rsid w:val="00A9520D"/>
    <w:rsid w:val="00A9747D"/>
    <w:rsid w:val="00A97B3F"/>
    <w:rsid w:val="00AA00A6"/>
    <w:rsid w:val="00AA6BA8"/>
    <w:rsid w:val="00AA7F5A"/>
    <w:rsid w:val="00AB2340"/>
    <w:rsid w:val="00AB5FE4"/>
    <w:rsid w:val="00AB659D"/>
    <w:rsid w:val="00AC229F"/>
    <w:rsid w:val="00AD0946"/>
    <w:rsid w:val="00AD2241"/>
    <w:rsid w:val="00AD4964"/>
    <w:rsid w:val="00AD7671"/>
    <w:rsid w:val="00AE53E8"/>
    <w:rsid w:val="00AE6FE4"/>
    <w:rsid w:val="00AF2059"/>
    <w:rsid w:val="00AF3D84"/>
    <w:rsid w:val="00AF4161"/>
    <w:rsid w:val="00AF41CA"/>
    <w:rsid w:val="00AF580B"/>
    <w:rsid w:val="00B007C8"/>
    <w:rsid w:val="00B14410"/>
    <w:rsid w:val="00B15E61"/>
    <w:rsid w:val="00B24F35"/>
    <w:rsid w:val="00B32C88"/>
    <w:rsid w:val="00B34747"/>
    <w:rsid w:val="00B42E49"/>
    <w:rsid w:val="00B50903"/>
    <w:rsid w:val="00B5121B"/>
    <w:rsid w:val="00B62FFE"/>
    <w:rsid w:val="00B65013"/>
    <w:rsid w:val="00B65280"/>
    <w:rsid w:val="00B7123A"/>
    <w:rsid w:val="00B7435C"/>
    <w:rsid w:val="00B76F38"/>
    <w:rsid w:val="00B8085D"/>
    <w:rsid w:val="00B81E61"/>
    <w:rsid w:val="00B81EFF"/>
    <w:rsid w:val="00B836BB"/>
    <w:rsid w:val="00B84122"/>
    <w:rsid w:val="00B862B0"/>
    <w:rsid w:val="00BA119D"/>
    <w:rsid w:val="00BA2B7C"/>
    <w:rsid w:val="00BB142A"/>
    <w:rsid w:val="00BB34B9"/>
    <w:rsid w:val="00BB35C2"/>
    <w:rsid w:val="00BB553B"/>
    <w:rsid w:val="00BC28D7"/>
    <w:rsid w:val="00BC376C"/>
    <w:rsid w:val="00BC6321"/>
    <w:rsid w:val="00BC7817"/>
    <w:rsid w:val="00BD3819"/>
    <w:rsid w:val="00BD642D"/>
    <w:rsid w:val="00BD6988"/>
    <w:rsid w:val="00BE1A77"/>
    <w:rsid w:val="00BE4742"/>
    <w:rsid w:val="00BE47E4"/>
    <w:rsid w:val="00BE7383"/>
    <w:rsid w:val="00BE754D"/>
    <w:rsid w:val="00BF1DB9"/>
    <w:rsid w:val="00BF6D10"/>
    <w:rsid w:val="00BF6E79"/>
    <w:rsid w:val="00C03F6C"/>
    <w:rsid w:val="00C11722"/>
    <w:rsid w:val="00C12108"/>
    <w:rsid w:val="00C121D9"/>
    <w:rsid w:val="00C13453"/>
    <w:rsid w:val="00C220F9"/>
    <w:rsid w:val="00C2308B"/>
    <w:rsid w:val="00C2541C"/>
    <w:rsid w:val="00C26862"/>
    <w:rsid w:val="00C30458"/>
    <w:rsid w:val="00C31DA6"/>
    <w:rsid w:val="00C33260"/>
    <w:rsid w:val="00C4598F"/>
    <w:rsid w:val="00C50360"/>
    <w:rsid w:val="00C54E12"/>
    <w:rsid w:val="00C55468"/>
    <w:rsid w:val="00C622C3"/>
    <w:rsid w:val="00C63BD5"/>
    <w:rsid w:val="00C74906"/>
    <w:rsid w:val="00C81B40"/>
    <w:rsid w:val="00C81FEA"/>
    <w:rsid w:val="00C83969"/>
    <w:rsid w:val="00C86C95"/>
    <w:rsid w:val="00CA05EB"/>
    <w:rsid w:val="00CA21EA"/>
    <w:rsid w:val="00CA3515"/>
    <w:rsid w:val="00CA3A05"/>
    <w:rsid w:val="00CA6270"/>
    <w:rsid w:val="00CB14E9"/>
    <w:rsid w:val="00CB5535"/>
    <w:rsid w:val="00CB6AD3"/>
    <w:rsid w:val="00CB6D90"/>
    <w:rsid w:val="00CB72C3"/>
    <w:rsid w:val="00CC0D1C"/>
    <w:rsid w:val="00CC45E4"/>
    <w:rsid w:val="00CD019F"/>
    <w:rsid w:val="00CD27C5"/>
    <w:rsid w:val="00CD3E30"/>
    <w:rsid w:val="00CE4169"/>
    <w:rsid w:val="00CE7894"/>
    <w:rsid w:val="00CF06A1"/>
    <w:rsid w:val="00CF1467"/>
    <w:rsid w:val="00CF48D6"/>
    <w:rsid w:val="00CF57D6"/>
    <w:rsid w:val="00CF6C1B"/>
    <w:rsid w:val="00D019D5"/>
    <w:rsid w:val="00D040FE"/>
    <w:rsid w:val="00D12FB2"/>
    <w:rsid w:val="00D160F3"/>
    <w:rsid w:val="00D168FD"/>
    <w:rsid w:val="00D16F64"/>
    <w:rsid w:val="00D2472C"/>
    <w:rsid w:val="00D2524F"/>
    <w:rsid w:val="00D279BA"/>
    <w:rsid w:val="00D404B5"/>
    <w:rsid w:val="00D4093A"/>
    <w:rsid w:val="00D447CB"/>
    <w:rsid w:val="00D4671F"/>
    <w:rsid w:val="00D47D16"/>
    <w:rsid w:val="00D505F4"/>
    <w:rsid w:val="00D512E4"/>
    <w:rsid w:val="00D51CE1"/>
    <w:rsid w:val="00D562F2"/>
    <w:rsid w:val="00D61B93"/>
    <w:rsid w:val="00D62EDE"/>
    <w:rsid w:val="00D67E4A"/>
    <w:rsid w:val="00D70274"/>
    <w:rsid w:val="00D75699"/>
    <w:rsid w:val="00D763FD"/>
    <w:rsid w:val="00D90AD1"/>
    <w:rsid w:val="00D941F7"/>
    <w:rsid w:val="00D94226"/>
    <w:rsid w:val="00DA4DDF"/>
    <w:rsid w:val="00DB0804"/>
    <w:rsid w:val="00DB281B"/>
    <w:rsid w:val="00DB2FC4"/>
    <w:rsid w:val="00DC382A"/>
    <w:rsid w:val="00DC554B"/>
    <w:rsid w:val="00DE1923"/>
    <w:rsid w:val="00DE2B33"/>
    <w:rsid w:val="00DE638B"/>
    <w:rsid w:val="00DE72EE"/>
    <w:rsid w:val="00DF37E5"/>
    <w:rsid w:val="00E034FE"/>
    <w:rsid w:val="00E041E5"/>
    <w:rsid w:val="00E04888"/>
    <w:rsid w:val="00E050C5"/>
    <w:rsid w:val="00E0763B"/>
    <w:rsid w:val="00E10302"/>
    <w:rsid w:val="00E17EC5"/>
    <w:rsid w:val="00E23BC4"/>
    <w:rsid w:val="00E251CC"/>
    <w:rsid w:val="00E25C60"/>
    <w:rsid w:val="00E26BFD"/>
    <w:rsid w:val="00E27E90"/>
    <w:rsid w:val="00E33D02"/>
    <w:rsid w:val="00E34F2C"/>
    <w:rsid w:val="00E35D79"/>
    <w:rsid w:val="00E36872"/>
    <w:rsid w:val="00E36B25"/>
    <w:rsid w:val="00E36FFF"/>
    <w:rsid w:val="00E4641E"/>
    <w:rsid w:val="00E519AE"/>
    <w:rsid w:val="00E56050"/>
    <w:rsid w:val="00E57AF7"/>
    <w:rsid w:val="00E57C5B"/>
    <w:rsid w:val="00E6241B"/>
    <w:rsid w:val="00E64FCC"/>
    <w:rsid w:val="00E703B6"/>
    <w:rsid w:val="00E703F0"/>
    <w:rsid w:val="00E72200"/>
    <w:rsid w:val="00E72B1B"/>
    <w:rsid w:val="00E731D7"/>
    <w:rsid w:val="00E75D47"/>
    <w:rsid w:val="00E766F5"/>
    <w:rsid w:val="00E82948"/>
    <w:rsid w:val="00E90218"/>
    <w:rsid w:val="00E913BB"/>
    <w:rsid w:val="00E9290F"/>
    <w:rsid w:val="00E95F2E"/>
    <w:rsid w:val="00EA1508"/>
    <w:rsid w:val="00EA1541"/>
    <w:rsid w:val="00EA32E4"/>
    <w:rsid w:val="00EA7E36"/>
    <w:rsid w:val="00EB0898"/>
    <w:rsid w:val="00EB6199"/>
    <w:rsid w:val="00EB627B"/>
    <w:rsid w:val="00EB6D94"/>
    <w:rsid w:val="00EC4183"/>
    <w:rsid w:val="00EC6468"/>
    <w:rsid w:val="00EC6708"/>
    <w:rsid w:val="00ED1F03"/>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32D4F"/>
    <w:rsid w:val="00F36A1D"/>
    <w:rsid w:val="00F428CC"/>
    <w:rsid w:val="00F44278"/>
    <w:rsid w:val="00F51B65"/>
    <w:rsid w:val="00F52AAB"/>
    <w:rsid w:val="00F52EB6"/>
    <w:rsid w:val="00F55260"/>
    <w:rsid w:val="00F6316B"/>
    <w:rsid w:val="00F65AE0"/>
    <w:rsid w:val="00F73CCF"/>
    <w:rsid w:val="00F74E38"/>
    <w:rsid w:val="00F76D6F"/>
    <w:rsid w:val="00F778B0"/>
    <w:rsid w:val="00F83BC2"/>
    <w:rsid w:val="00F84819"/>
    <w:rsid w:val="00F92EC1"/>
    <w:rsid w:val="00F94C47"/>
    <w:rsid w:val="00F96C33"/>
    <w:rsid w:val="00FA0421"/>
    <w:rsid w:val="00FA3389"/>
    <w:rsid w:val="00FA3476"/>
    <w:rsid w:val="00FA495F"/>
    <w:rsid w:val="00FB0C10"/>
    <w:rsid w:val="00FB3C36"/>
    <w:rsid w:val="00FB4280"/>
    <w:rsid w:val="00FB7CCE"/>
    <w:rsid w:val="00FC01C8"/>
    <w:rsid w:val="00FC19E7"/>
    <w:rsid w:val="00FC5027"/>
    <w:rsid w:val="00FC50C7"/>
    <w:rsid w:val="00FC511D"/>
    <w:rsid w:val="00FC5CCC"/>
    <w:rsid w:val="00FC68BC"/>
    <w:rsid w:val="00FD11D4"/>
    <w:rsid w:val="00FD225D"/>
    <w:rsid w:val="00FD2384"/>
    <w:rsid w:val="00FD3D00"/>
    <w:rsid w:val="00FE4141"/>
    <w:rsid w:val="00FE452E"/>
    <w:rsid w:val="00FE586D"/>
    <w:rsid w:val="00FF4275"/>
    <w:rsid w:val="00FF4A4C"/>
    <w:rsid w:val="00FF4C15"/>
    <w:rsid w:val="00FF7F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iPriority="99"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1049D6"/>
    <w:rPr>
      <w:rFonts w:ascii="Arial" w:hAnsi="Arial"/>
      <w:b/>
      <w:color w:val="000000"/>
      <w:kern w:val="28"/>
      <w:sz w:val="25"/>
      <w:szCs w:val="26"/>
      <w:lang w:val="es-ES_tradnl" w:eastAsia="en-US"/>
    </w:rPr>
  </w:style>
  <w:style w:type="character" w:customStyle="1" w:styleId="atitulo2Car">
    <w:name w:val="atitulo2 Car"/>
    <w:link w:val="atitulo2"/>
    <w:uiPriority w:val="99"/>
    <w:locked/>
    <w:rsid w:val="001049D6"/>
    <w:rPr>
      <w:rFonts w:ascii="Arial" w:hAnsi="Arial"/>
      <w:bCs/>
      <w:iCs/>
      <w:color w:val="000000"/>
      <w:spacing w:val="10"/>
      <w:kern w:val="28"/>
      <w:sz w:val="25"/>
      <w:szCs w:val="26"/>
      <w:lang w:val="es-ES_tradnl" w:eastAsia="en-US"/>
    </w:rPr>
  </w:style>
  <w:style w:type="paragraph" w:styleId="Prrafodelista">
    <w:name w:val="List Paragraph"/>
    <w:basedOn w:val="Normal"/>
    <w:uiPriority w:val="99"/>
    <w:qFormat/>
    <w:rsid w:val="001049D6"/>
    <w:pPr>
      <w:spacing w:after="0"/>
      <w:ind w:left="720" w:firstLine="0"/>
      <w:contextualSpacing/>
      <w:jc w:val="left"/>
    </w:pPr>
  </w:style>
  <w:style w:type="character" w:customStyle="1" w:styleId="PiedepginaCar">
    <w:name w:val="Pie de página Car"/>
    <w:basedOn w:val="Fuentedeprrafopredeter"/>
    <w:link w:val="Piedepgina"/>
    <w:rsid w:val="001049D6"/>
    <w:rPr>
      <w:spacing w:val="6"/>
      <w:lang w:val="es-ES_tradnl" w:eastAsia="en-US"/>
    </w:rPr>
  </w:style>
  <w:style w:type="character" w:customStyle="1" w:styleId="Ttulo5Car">
    <w:name w:val="Título 5 Car"/>
    <w:basedOn w:val="Fuentedeprrafopredeter"/>
    <w:link w:val="Ttulo5"/>
    <w:uiPriority w:val="99"/>
    <w:rsid w:val="001049D6"/>
    <w:rPr>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iPriority="99"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1049D6"/>
    <w:rPr>
      <w:rFonts w:ascii="Arial" w:hAnsi="Arial"/>
      <w:b/>
      <w:color w:val="000000"/>
      <w:kern w:val="28"/>
      <w:sz w:val="25"/>
      <w:szCs w:val="26"/>
      <w:lang w:val="es-ES_tradnl" w:eastAsia="en-US"/>
    </w:rPr>
  </w:style>
  <w:style w:type="character" w:customStyle="1" w:styleId="atitulo2Car">
    <w:name w:val="atitulo2 Car"/>
    <w:link w:val="atitulo2"/>
    <w:uiPriority w:val="99"/>
    <w:locked/>
    <w:rsid w:val="001049D6"/>
    <w:rPr>
      <w:rFonts w:ascii="Arial" w:hAnsi="Arial"/>
      <w:bCs/>
      <w:iCs/>
      <w:color w:val="000000"/>
      <w:spacing w:val="10"/>
      <w:kern w:val="28"/>
      <w:sz w:val="25"/>
      <w:szCs w:val="26"/>
      <w:lang w:val="es-ES_tradnl" w:eastAsia="en-US"/>
    </w:rPr>
  </w:style>
  <w:style w:type="paragraph" w:styleId="Prrafodelista">
    <w:name w:val="List Paragraph"/>
    <w:basedOn w:val="Normal"/>
    <w:uiPriority w:val="99"/>
    <w:qFormat/>
    <w:rsid w:val="001049D6"/>
    <w:pPr>
      <w:spacing w:after="0"/>
      <w:ind w:left="720" w:firstLine="0"/>
      <w:contextualSpacing/>
      <w:jc w:val="left"/>
    </w:pPr>
  </w:style>
  <w:style w:type="character" w:customStyle="1" w:styleId="PiedepginaCar">
    <w:name w:val="Pie de página Car"/>
    <w:basedOn w:val="Fuentedeprrafopredeter"/>
    <w:link w:val="Piedepgina"/>
    <w:rsid w:val="001049D6"/>
    <w:rPr>
      <w:spacing w:val="6"/>
      <w:lang w:val="es-ES_tradnl" w:eastAsia="en-US"/>
    </w:rPr>
  </w:style>
  <w:style w:type="character" w:customStyle="1" w:styleId="Ttulo5Car">
    <w:name w:val="Título 5 Car"/>
    <w:basedOn w:val="Fuentedeprrafopredeter"/>
    <w:link w:val="Ttulo5"/>
    <w:uiPriority w:val="99"/>
    <w:rsid w:val="001049D6"/>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8353">
      <w:bodyDiv w:val="1"/>
      <w:marLeft w:val="0"/>
      <w:marRight w:val="0"/>
      <w:marTop w:val="0"/>
      <w:marBottom w:val="0"/>
      <w:divBdr>
        <w:top w:val="none" w:sz="0" w:space="0" w:color="auto"/>
        <w:left w:val="none" w:sz="0" w:space="0" w:color="auto"/>
        <w:bottom w:val="none" w:sz="0" w:space="0" w:color="auto"/>
        <w:right w:val="none" w:sz="0" w:space="0" w:color="auto"/>
      </w:divBdr>
    </w:div>
    <w:div w:id="77944135">
      <w:bodyDiv w:val="1"/>
      <w:marLeft w:val="0"/>
      <w:marRight w:val="0"/>
      <w:marTop w:val="0"/>
      <w:marBottom w:val="0"/>
      <w:divBdr>
        <w:top w:val="none" w:sz="0" w:space="0" w:color="auto"/>
        <w:left w:val="none" w:sz="0" w:space="0" w:color="auto"/>
        <w:bottom w:val="none" w:sz="0" w:space="0" w:color="auto"/>
        <w:right w:val="none" w:sz="0" w:space="0" w:color="auto"/>
      </w:divBdr>
    </w:div>
    <w:div w:id="131530804">
      <w:bodyDiv w:val="1"/>
      <w:marLeft w:val="0"/>
      <w:marRight w:val="0"/>
      <w:marTop w:val="0"/>
      <w:marBottom w:val="0"/>
      <w:divBdr>
        <w:top w:val="none" w:sz="0" w:space="0" w:color="auto"/>
        <w:left w:val="none" w:sz="0" w:space="0" w:color="auto"/>
        <w:bottom w:val="none" w:sz="0" w:space="0" w:color="auto"/>
        <w:right w:val="none" w:sz="0" w:space="0" w:color="auto"/>
      </w:divBdr>
    </w:div>
    <w:div w:id="975841187">
      <w:bodyDiv w:val="1"/>
      <w:marLeft w:val="0"/>
      <w:marRight w:val="0"/>
      <w:marTop w:val="0"/>
      <w:marBottom w:val="0"/>
      <w:divBdr>
        <w:top w:val="none" w:sz="0" w:space="0" w:color="auto"/>
        <w:left w:val="none" w:sz="0" w:space="0" w:color="auto"/>
        <w:bottom w:val="none" w:sz="0" w:space="0" w:color="auto"/>
        <w:right w:val="none" w:sz="0" w:space="0" w:color="auto"/>
      </w:divBdr>
    </w:div>
    <w:div w:id="1216509183">
      <w:bodyDiv w:val="1"/>
      <w:marLeft w:val="0"/>
      <w:marRight w:val="0"/>
      <w:marTop w:val="0"/>
      <w:marBottom w:val="0"/>
      <w:divBdr>
        <w:top w:val="none" w:sz="0" w:space="0" w:color="auto"/>
        <w:left w:val="none" w:sz="0" w:space="0" w:color="auto"/>
        <w:bottom w:val="none" w:sz="0" w:space="0" w:color="auto"/>
        <w:right w:val="none" w:sz="0" w:space="0" w:color="auto"/>
      </w:divBdr>
    </w:div>
    <w:div w:id="1546988802">
      <w:bodyDiv w:val="1"/>
      <w:marLeft w:val="0"/>
      <w:marRight w:val="0"/>
      <w:marTop w:val="0"/>
      <w:marBottom w:val="0"/>
      <w:divBdr>
        <w:top w:val="none" w:sz="0" w:space="0" w:color="auto"/>
        <w:left w:val="none" w:sz="0" w:space="0" w:color="auto"/>
        <w:bottom w:val="none" w:sz="0" w:space="0" w:color="auto"/>
        <w:right w:val="none" w:sz="0" w:space="0" w:color="auto"/>
      </w:divBdr>
    </w:div>
    <w:div w:id="1846556398">
      <w:bodyDiv w:val="1"/>
      <w:marLeft w:val="0"/>
      <w:marRight w:val="0"/>
      <w:marTop w:val="0"/>
      <w:marBottom w:val="0"/>
      <w:divBdr>
        <w:top w:val="none" w:sz="0" w:space="0" w:color="auto"/>
        <w:left w:val="none" w:sz="0" w:space="0" w:color="auto"/>
        <w:bottom w:val="none" w:sz="0" w:space="0" w:color="auto"/>
        <w:right w:val="none" w:sz="0" w:space="0" w:color="auto"/>
      </w:divBdr>
    </w:div>
    <w:div w:id="1858304237">
      <w:bodyDiv w:val="1"/>
      <w:marLeft w:val="0"/>
      <w:marRight w:val="0"/>
      <w:marTop w:val="0"/>
      <w:marBottom w:val="0"/>
      <w:divBdr>
        <w:top w:val="none" w:sz="0" w:space="0" w:color="auto"/>
        <w:left w:val="none" w:sz="0" w:space="0" w:color="auto"/>
        <w:bottom w:val="none" w:sz="0" w:space="0" w:color="auto"/>
        <w:right w:val="none" w:sz="0" w:space="0" w:color="auto"/>
      </w:divBdr>
    </w:div>
    <w:div w:id="2008942069">
      <w:bodyDiv w:val="1"/>
      <w:marLeft w:val="0"/>
      <w:marRight w:val="0"/>
      <w:marTop w:val="0"/>
      <w:marBottom w:val="0"/>
      <w:divBdr>
        <w:top w:val="none" w:sz="0" w:space="0" w:color="auto"/>
        <w:left w:val="none" w:sz="0" w:space="0" w:color="auto"/>
        <w:bottom w:val="none" w:sz="0" w:space="0" w:color="auto"/>
        <w:right w:val="none" w:sz="0" w:space="0" w:color="auto"/>
      </w:divBdr>
    </w:div>
    <w:div w:id="20224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49E28-8300-43B8-8954-1F0F9D77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11301</Words>
  <Characters>62160</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73315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d206815</dc:creator>
  <cp:lastModifiedBy>Iñaki De Santiago</cp:lastModifiedBy>
  <cp:revision>2</cp:revision>
  <cp:lastPrinted>2020-10-22T06:35:00Z</cp:lastPrinted>
  <dcterms:created xsi:type="dcterms:W3CDTF">2020-11-06T07:48:00Z</dcterms:created>
  <dcterms:modified xsi:type="dcterms:W3CDTF">2020-11-06T07:48:00Z</dcterms:modified>
</cp:coreProperties>
</file>