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aurkeztutako galdera, Nafarroako Berdintasunerako Plan Estrategikoa idazteko kontratuaren lizitazioari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Isabel Olave Ballarena andreak, Legebiltzarreko Erregelamenduan ezarritakoaren babesean, honako galdera hau aurkezten du, Nafarroako Gobernuko Lehendakaritzako, Berdintasuneko, Funtzio Publikoko eta Barneko kontseilariak Lehendakaritzako, Berdintasuneko, Funtzio Publikoko eta Barneko Batzordean ahoz erantzun dezan:</w:t>
      </w:r>
    </w:p>
    <w:p>
      <w:pPr>
        <w:pStyle w:val="0"/>
        <w:suppressAutoHyphens w:val="false"/>
        <w:rPr>
          <w:rStyle w:val="1"/>
        </w:rPr>
      </w:pPr>
      <w:r>
        <w:rPr>
          <w:rStyle w:val="1"/>
        </w:rPr>
        <w:t xml:space="preserve">Zer egoeratan geratzen da Nafarroako Berdintasunerako Plan Estrategikoa prestatzeko kontratuaren lizitazioa, Nafarroako Kontratuen Auzitegian errekurtsoa ezarri ondoren eskaera partzialki onesten duen ebazpena eman baita?</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Foru parlamentaria: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