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un error en la Ley Foral 22/2020, de 29 de diciembre, de modificación de la Ley Foral de Haciendas Locales de Navarra, publicada en el Boletín Oficial del Parlamento de Navarra número 150 de 30 de diciembre de 2020, se procede a efectuar la oportuna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artículo único, apartado catorce, donde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“–Ciclomotores: 5,22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–Motocicletas hasta 125 cc: 5,26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–Motocicletas de más de 125 cc hasta 250 cc: 7,90”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“–Ciclomotores: 5,26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–Motocicletas hasta 125 cc: 7,90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–Motocicletas de más de 125 cc hasta 250 cc: 13,09”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