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daitezen “Ehizaren eta arrantzaren arloko legedia aztertu eta analizatzeko ponentziaren barne-funtzionamendurako arauak”, zeinak ponentziak berak onetsi baitzituen 2021eko urtarrilaren 8an eginiko bilkuran. Hona testua:</w:t>
      </w:r>
    </w:p>
    <w:p>
      <w:pPr>
        <w:pStyle w:val="0"/>
        <w:suppressAutoHyphens w:val="false"/>
        <w:rPr>
          <w:rStyle w:val="1"/>
        </w:rPr>
      </w:pPr>
      <w:r>
        <w:rPr>
          <w:rStyle w:val="1"/>
        </w:rPr>
        <w:t xml:space="preserve">“</w:t>
      </w:r>
      <w:r>
        <w:rPr>
          <w:rStyle w:val="1"/>
          <w:b w:val="true"/>
        </w:rPr>
        <w:t xml:space="preserve">Lehena.</w:t>
      </w:r>
      <w:r>
        <w:rPr>
          <w:rStyle w:val="1"/>
        </w:rPr>
        <w:t xml:space="preserve"> Sorturiko ponentziaren xedea da ehizaren eta arrantzaren arloko legedia aztertu eta analizatzea, arlo horretan inplikaturiko eragileek egindako ekarpenak arakatu eta adoste aldera Nafarroako Gobernuak Ehizari eta Arrantzari buruzko Foru Legearen aldaketa Legebiltzarrean aurkeztu aitzin.</w:t>
      </w:r>
    </w:p>
    <w:p>
      <w:pPr>
        <w:pStyle w:val="0"/>
        <w:suppressAutoHyphens w:val="false"/>
        <w:rPr>
          <w:rStyle w:val="1"/>
        </w:rPr>
      </w:pPr>
      <w:r>
        <w:rPr>
          <w:rStyle w:val="1"/>
        </w:rPr>
        <w:t xml:space="preserve">Behin txostena eginda, Legebiltzarreko Mahaiari igorriko zaio, aurkez litezkeen boto partikularrekin batera; eta Mahaiak Batzordeko kideei bidaliko die, eztabaidatu eta bozkatzeko.</w:t>
      </w:r>
    </w:p>
    <w:p>
      <w:pPr>
        <w:pStyle w:val="0"/>
        <w:suppressAutoHyphens w:val="false"/>
        <w:rPr>
          <w:rStyle w:val="1"/>
        </w:rPr>
      </w:pPr>
      <w:r>
        <w:rPr>
          <w:rStyle w:val="1"/>
          <w:b w:val="true"/>
        </w:rPr>
        <w:t xml:space="preserve">Bigarrena.</w:t>
      </w:r>
      <w:r>
        <w:rPr>
          <w:rStyle w:val="1"/>
        </w:rPr>
        <w:t xml:space="preserve"> Hona ponentzia osatuko duten foru parlamentarien zerrenda:</w:t>
      </w:r>
    </w:p>
    <w:p>
      <w:pPr>
        <w:pStyle w:val="0"/>
        <w:ind w:firstLine="0"/>
        <w:spacing w:after="0" w:before="0" w:line="230" w:lineRule="exact"/>
        <w:suppressAutoHyphens w:val="false"/>
        <w:rPr>
          <w:rStyle w:val="1"/>
        </w:rPr>
      </w:pPr>
      <w:r>
        <w:rPr>
          <w:rStyle w:val="1"/>
        </w:rPr>
        <w:t xml:space="preserve">– </w:t>
        <w:t xml:space="preserve">�</w:t>
        <w:t xml:space="preserve">Miguel Bujanda Cirauqui jauna (Navarra Suma).</w:t>
      </w:r>
    </w:p>
    <w:p>
      <w:pPr>
        <w:pStyle w:val="0"/>
        <w:ind w:firstLine="0" w:left="170.079"/>
        <w:spacing w:after="0" w:before="0" w:line="230" w:lineRule="exact"/>
        <w:suppressAutoHyphens w:val="false"/>
        <w:rPr>
          <w:rStyle w:val="1"/>
        </w:rPr>
      </w:pPr>
      <w:r>
        <w:rPr>
          <w:rStyle w:val="1"/>
        </w:rPr>
        <w:t xml:space="preserve">Ordezkoa: Isabel Olave Ballarena andrea</w:t>
      </w:r>
    </w:p>
    <w:p>
      <w:pPr>
        <w:pStyle w:val="2"/>
        <w:ind w:firstLine="0"/>
        <w:spacing w:after="0" w:before="113.386" w:line="230" w:lineRule="exact"/>
        <w:suppressAutoHyphens w:val="false"/>
        <w:rPr/>
      </w:pPr>
      <w:r>
        <w:rPr/>
        <w:t xml:space="preserve">– </w:t>
        <w:t xml:space="preserve">�</w:t>
        <w:t xml:space="preserve">Antonio Javier Lecumberri Urabayen jauna (Nafarroako Alderdi Sozialista).</w:t>
      </w:r>
    </w:p>
    <w:p>
      <w:pPr>
        <w:pStyle w:val="0"/>
        <w:ind w:firstLine="0" w:left="170.079"/>
        <w:spacing w:after="0" w:before="0" w:line="230" w:lineRule="exact"/>
        <w:suppressAutoHyphens w:val="false"/>
        <w:rPr>
          <w:rStyle w:val="1"/>
        </w:rPr>
      </w:pPr>
      <w:r>
        <w:rPr>
          <w:rStyle w:val="1"/>
        </w:rPr>
        <w:t xml:space="preserve">Ordezkoa: María Virginia Magdaleno Alegría andrea.</w:t>
      </w:r>
    </w:p>
    <w:p>
      <w:pPr>
        <w:pStyle w:val="2"/>
        <w:ind w:firstLine="0"/>
        <w:spacing w:after="0" w:before="113.386" w:line="230" w:lineRule="exact"/>
        <w:suppressAutoHyphens w:val="false"/>
        <w:rPr/>
      </w:pPr>
      <w:r>
        <w:rPr/>
        <w:t xml:space="preserve">– Pablo Azcona Molinet jauna (Geroa Bai).</w:t>
      </w:r>
    </w:p>
    <w:p>
      <w:pPr>
        <w:pStyle w:val="0"/>
        <w:ind w:firstLine="0" w:left="170.079"/>
        <w:spacing w:after="0" w:before="0" w:line="230" w:lineRule="exact"/>
        <w:suppressAutoHyphens w:val="false"/>
        <w:rPr>
          <w:rStyle w:val="1"/>
        </w:rPr>
      </w:pPr>
      <w:r>
        <w:rPr>
          <w:rStyle w:val="1"/>
        </w:rPr>
        <w:t xml:space="preserve">Ordezkoa: Blanca Isabel Regúlez Álvarez andrea.</w:t>
      </w:r>
    </w:p>
    <w:p>
      <w:pPr>
        <w:pStyle w:val="2"/>
        <w:ind w:firstLine="0"/>
        <w:spacing w:after="0" w:before="113.386" w:line="230" w:lineRule="exact"/>
        <w:suppressAutoHyphens w:val="false"/>
        <w:rPr/>
      </w:pPr>
      <w:r>
        <w:rPr/>
        <w:t xml:space="preserve">– </w:t>
        <w:t xml:space="preserve">�</w:t>
        <w:t xml:space="preserve">Aranzazu Izurdiaga Osinaga andrea (EH Bildu Nafarroa).</w:t>
      </w:r>
    </w:p>
    <w:p>
      <w:pPr>
        <w:pStyle w:val="0"/>
        <w:ind w:firstLine="0" w:left="170.079"/>
        <w:spacing w:after="0" w:before="0" w:line="230" w:lineRule="exact"/>
        <w:suppressAutoHyphens w:val="false"/>
        <w:rPr>
          <w:rStyle w:val="1"/>
        </w:rPr>
      </w:pPr>
      <w:r>
        <w:rPr>
          <w:rStyle w:val="1"/>
        </w:rPr>
        <w:t xml:space="preserve">Ordezkoa: Maiorga Ramírez Erro jauna.</w:t>
      </w:r>
    </w:p>
    <w:p>
      <w:pPr>
        <w:pStyle w:val="2"/>
        <w:ind w:firstLine="0"/>
        <w:spacing w:after="0" w:before="113.386" w:line="230" w:lineRule="exact"/>
        <w:suppressAutoHyphens w:val="false"/>
        <w:rPr/>
      </w:pPr>
      <w:r>
        <w:rPr/>
        <w:t xml:space="preserve">– </w:t>
        <w:t xml:space="preserve">�</w:t>
        <w:t xml:space="preserve">Ainhoa Aznárez Igarza andrea (Podemos Ahal Dugu Nafarroa).</w:t>
      </w:r>
    </w:p>
    <w:p>
      <w:pPr>
        <w:pStyle w:val="0"/>
        <w:ind w:firstLine="0" w:left="170.079"/>
        <w:suppressAutoHyphens w:val="false"/>
        <w:rPr>
          <w:rStyle w:val="1"/>
        </w:rPr>
      </w:pPr>
      <w:r>
        <w:rPr>
          <w:rStyle w:val="1"/>
        </w:rPr>
        <w:t xml:space="preserve">Ordezkoa: Mikel Buil García jauna.</w:t>
      </w:r>
    </w:p>
    <w:p>
      <w:pPr>
        <w:pStyle w:val="0"/>
        <w:ind w:firstLine="0"/>
        <w:suppressAutoHyphens w:val="false"/>
        <w:rPr>
          <w:rStyle w:val="1"/>
        </w:rPr>
      </w:pPr>
      <w:r>
        <w:rPr>
          <w:rStyle w:val="1"/>
        </w:rPr>
        <w:t xml:space="preserve">– </w:t>
        <w:t xml:space="preserve">�</w:t>
        <w:t xml:space="preserve">María Luisa De Simón Caballero andrea (Izquierda-Ezkerrako talde parlamentario mistoa).</w:t>
      </w:r>
    </w:p>
    <w:p>
      <w:pPr>
        <w:pStyle w:val="0"/>
        <w:suppressAutoHyphens w:val="false"/>
        <w:rPr>
          <w:rStyle w:val="1"/>
        </w:rPr>
      </w:pPr>
      <w:r>
        <w:rPr>
          <w:rStyle w:val="1"/>
          <w:b w:val="true"/>
        </w:rPr>
        <w:t xml:space="preserve">Hirugarrena.</w:t>
      </w:r>
      <w:r>
        <w:rPr>
          <w:rStyle w:val="1"/>
        </w:rPr>
        <w:t xml:space="preserve"> Ponentziak lehendakaria hautatuko du, eta, kasua bada, ponentziako beste kide batek ordeztu ahalko du hura. Ponentziako idazkari-lanetan jardunen da ponentziari laguntzen dion legelaria, edo haren ordezkoa.</w:t>
      </w:r>
    </w:p>
    <w:p>
      <w:pPr>
        <w:pStyle w:val="0"/>
        <w:suppressAutoHyphens w:val="false"/>
        <w:rPr>
          <w:rStyle w:val="1"/>
        </w:rPr>
      </w:pPr>
      <w:r>
        <w:rPr>
          <w:rStyle w:val="1"/>
          <w:b w:val="true"/>
        </w:rPr>
        <w:t xml:space="preserve">Laugarrena.</w:t>
      </w:r>
      <w:r>
        <w:rPr>
          <w:rStyle w:val="1"/>
        </w:rPr>
        <w:t xml:space="preserve"> Ponentziak boto ponderatuaren sistemaren bidez hartuko ditu erabaki guztiak. Horrela, ponentziako eledun-kide bakoitzaren talde parlamentarioak edo foru parlamentarien elkarteak zenbat foru parlamentari dituen, horrenbeste boto edukiko ditu eledun-kide horrek ponentzian.</w:t>
      </w:r>
    </w:p>
    <w:p>
      <w:pPr>
        <w:pStyle w:val="0"/>
        <w:suppressAutoHyphens w:val="false"/>
        <w:rPr>
          <w:rStyle w:val="1"/>
        </w:rPr>
      </w:pPr>
      <w:r>
        <w:rPr>
          <w:rStyle w:val="1"/>
          <w:b w:val="true"/>
        </w:rPr>
        <w:t xml:space="preserve">Bosgarrena.</w:t>
      </w:r>
      <w:r>
        <w:rPr>
          <w:rStyle w:val="1"/>
        </w:rPr>
        <w:t xml:space="preserve"> Ponentziak laguntza eta lankidetza eskatu ahalko dio Nafarroako Gobernuari, eta, Legebiltzarreko Lehendakaritzaren bidez, kargu eta funtzionario eskudunak ponentziara etor daitezen eskatu ahalko du, edo beharrezkoak diren txostenak egin daitezen. Orobat eskatu ahalko du arloko beste aditu batzuk ere etor daitezen.</w:t>
      </w:r>
    </w:p>
    <w:p>
      <w:pPr>
        <w:pStyle w:val="0"/>
        <w:suppressAutoHyphens w:val="false"/>
        <w:rPr>
          <w:rStyle w:val="1"/>
        </w:rPr>
      </w:pPr>
      <w:r>
        <w:rPr>
          <w:rStyle w:val="1"/>
          <w:b w:val="true"/>
        </w:rPr>
        <w:t xml:space="preserve">Seigarrena.</w:t>
      </w:r>
      <w:r>
        <w:rPr>
          <w:rStyle w:val="1"/>
        </w:rPr>
        <w:t xml:space="preserve"> Ponentziako kideen gehiengoak hala erabakitzen badu, ponentzian eginen diren agerraldiak irekiak izanen dira hedabideentzat eta ikus-entzunezko bitartekoak erabiliz erretransmititu ahalko dira. Pertsona edo entitate pribatuen kasuan, galdetu beharko zaie ea onartzen duten agerraldia egitea, eta haien mintzaldia publikoa egitea ere. Bilera hauek ponentziako lehendakariaren zuzendaritzapean eginen dira. Hark, bilera-eskatzailearen mintzaldiaren ondoren, agerraldia egin behar duenari emanen dio hitza, eskaturiko gaiari buruzko informazioa azal dezan, gehienez ere hogeita hamar minutuz. Ondoren, ponentziako kideek izanen dute hitza, galderak egin edo haien jarrera azaltzeko, gehienez ere hamar minutuz. Bilera bukatuko da agerraldira etorritakoaren erantzunarekin, zeina hamar minutukoa izanen baita gehienez. Parte-hartzaileren batek hala eskaturik, lehendakariak galdera edo oharretarako beste txanda bat ireki ahalko du. Horiek egiteko bost minutu edukiko dituzte.</w:t>
      </w:r>
    </w:p>
    <w:p>
      <w:pPr>
        <w:pStyle w:val="0"/>
        <w:suppressAutoHyphens w:val="false"/>
        <w:rPr>
          <w:rStyle w:val="1"/>
        </w:rPr>
      </w:pPr>
      <w:r>
        <w:rPr>
          <w:rStyle w:val="1"/>
          <w:b w:val="true"/>
        </w:rPr>
        <w:t xml:space="preserve">Zazpigarrena.</w:t>
      </w:r>
      <w:r>
        <w:rPr>
          <w:rStyle w:val="1"/>
        </w:rPr>
        <w:t xml:space="preserve"> Ponentziak lanerako plana ezarriko du, non bere lanak behar bezala egiteko beharrezkotzat jotzen dituen agerraldi eta jarduerak finkatuko dituen. Plan horren berri emanen zaio Legebiltzarreko Mahaiari.</w:t>
      </w:r>
    </w:p>
    <w:p>
      <w:pPr>
        <w:pStyle w:val="0"/>
        <w:suppressAutoHyphens w:val="false"/>
        <w:rPr>
          <w:rStyle w:val="1"/>
          <w:spacing w:val="0.961"/>
        </w:rPr>
      </w:pPr>
      <w:r>
        <w:rPr>
          <w:rStyle w:val="1"/>
          <w:b w:val="true"/>
          <w:spacing w:val="0.961"/>
        </w:rPr>
        <w:t xml:space="preserve">Zortzigarrena.</w:t>
      </w:r>
      <w:r>
        <w:rPr>
          <w:rStyle w:val="1"/>
          <w:spacing w:val="0.961"/>
        </w:rPr>
        <w:t xml:space="preserve"> Ponentziak agindu zaion lana bukatu arte eginen du lan, eta lan hori ponentzia eratu eta sei hilabeteko epean bukatu beharko du.</w:t>
      </w:r>
    </w:p>
    <w:p>
      <w:pPr>
        <w:pStyle w:val="0"/>
        <w:suppressAutoHyphens w:val="false"/>
        <w:rPr>
          <w:rStyle w:val="1"/>
        </w:rPr>
      </w:pPr>
      <w:r>
        <w:rPr>
          <w:rStyle w:val="1"/>
          <w:b w:val="true"/>
        </w:rPr>
        <w:t xml:space="preserve">Bederatzigarrena.</w:t>
      </w:r>
      <w:r>
        <w:rPr>
          <w:rStyle w:val="1"/>
        </w:rPr>
        <w:t xml:space="preserve"> Erabaki hau Nafarroako Parlamentuko Aldizkari Ofizialean argitaratzea”.</w:t>
      </w:r>
    </w:p>
    <w:p>
      <w:pPr>
        <w:pStyle w:val="0"/>
        <w:suppressAutoHyphens w:val="false"/>
        <w:rPr>
          <w:rStyle w:val="1"/>
        </w:rPr>
      </w:pPr>
      <w:r>
        <w:rPr>
          <w:rStyle w:val="1"/>
        </w:rPr>
        <w:t xml:space="preserve">Iruñean, 2021eko urtarrilaren 11n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Tab6"/>
    <w:basedOn w:val="0"/>
    <w:next w:val="2"/>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