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F5" w:rsidRDefault="00D26381" w:rsidP="00DA3CB2">
      <w:pPr>
        <w:pStyle w:val="Default"/>
        <w:ind w:left="-993"/>
        <w:jc w:val="both"/>
        <w:rPr>
          <w:rFonts w:ascii="Calibri" w:hAnsi="Calibri"/>
        </w:rPr>
      </w:pPr>
      <w:r>
        <w:rPr>
          <w:rFonts w:ascii="Calibri" w:hAnsi="Calibri"/>
        </w:rPr>
        <w:t xml:space="preserve">Abuztuak 17</w:t>
      </w:r>
    </w:p>
    <w:p w:rsidR="005361E6" w:rsidRDefault="00EB72C6" w:rsidP="005361E6">
      <w:pPr>
        <w:pStyle w:val="Default"/>
        <w:spacing w:line="360" w:lineRule="auto"/>
        <w:ind w:left="-993"/>
        <w:jc w:val="both"/>
        <w:rPr>
          <w:rFonts w:ascii="Calibri" w:hAnsi="Calibri"/>
        </w:rPr>
      </w:pPr>
      <w:r>
        <w:rPr>
          <w:rFonts w:ascii="Calibri" w:hAnsi="Calibri"/>
        </w:rPr>
        <w:t xml:space="preserve">EH Bildu Nafarroa talde parlamentarioari atxikitako foru parlamentari Bakartxo Ruiz Jaso andreak idatziz erantzuteko galera egin du (PES-00138), zeinean informazioa eskatzen baitio Nafarroako Gobernuari “Alarma egoera dela-eta ezarritako zirkulazio-mugak ustez ez betetzeagatik Foruzaingoak hasitako zehapen-prozedurei” buruz. Honako hau da horri buruz esan beharrekoa:</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Nafarroako Foruzaingoaren polizia-informazioko sistematik (SIP) ateratako datuen arabera, 3.582 salaketa izan dira guztira alarma-egoeran eta haren luzapenetan gertatu diren jokabideei buruz.</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Segurtasun Publikoari buruzko ekainaren 20ko 8/2006 Foru Legearen lehen xedapen gehigarriak ezartzen du “Segurtasun arloko zehapenak ezartzeko eskumena duten Nafarroako Foru Komunitateko administrazioko agintariak” ondoren aipatzen diren organoak direla, Herritarren Segurtasuna Babesteari buruzko otsailaren 21eko 1/1992 Lege Organikoak xedatutakoaren ondoreetarako (erreferentzia hori gaur egun 4/2015 Lege Organikoari buruzkoa dela ulertu behar da):</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a) Nafarroako Gobernua, 600.000 euro arteko isunak eta arau-hauste oso larri, larri edo arinengatiko gainerako zehapenak ezartzeko.</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b) Segurtasun publikoaren arloko eskumenak dituen departamentuko kontseilaria, 300.000 euro arteko isunak eta arau-hauste oso larri, larri edo arinengatiko gainerako zehapenak ezartzeko.</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c) Segurtasun publikoaren arloko eskumenak dituen zuzendari nagusia, 60.000 euro arteko isunak eta arau-hauste oso larri, larri edo arinengatiko gainerako zehapenak ezartzeko.</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Lehendakaritzako, Berdintasuneko, Funtzio Publikoko eta Barneko Departamentuaren egitura organikoa onartzen duen urriaren 30eko 259/2019 Foru Dekretuaren 56. artikuluaren arabera, Barne Zuzendaritza Nagusiari dagokio segurtasun publikoaren arloko eskumena, eta egiturari buruzko Foru Dekretuaren bigarren xedapen gehigarriak Barne Zuzendaritza Nagusiaren titularrarengan deskontzentratzen du eskumen hori, bere eskumenen eremu materialean, Lehendakaritzako, Berdintasuneko, Funtzio Publikoko eta Barneko Departamentuko titularrari indarrean dagoen araudian arau-hauste arin eta larriengatiko zehapen-espedienteak ebaztearen arloan esleitzen zaizkion administrazio-eskudantzien titulartasuna eta egikaritzea.</w:t>
      </w:r>
      <w:r>
        <w:rPr>
          <w:rFonts w:ascii="Calibri" w:hAnsi="Calibri"/>
        </w:rPr>
        <w:t xml:space="preserve"> </w:t>
      </w:r>
      <w:r>
        <w:rPr>
          <w:rFonts w:ascii="Calibri" w:hAnsi="Calibri"/>
        </w:rPr>
        <w:t xml:space="preserve">Azkenik, foru dekretu horren 64. artikuluak zehapen-espedienteen izapidetzea jasotzen du Barneko Araubide Juridikoaren Zerbitzuaren berezko eginkizunen artean.</w:t>
      </w:r>
      <w:r>
        <w:rPr>
          <w:rFonts w:ascii="Calibri" w:hAnsi="Calibri"/>
        </w:rPr>
        <w:t xml:space="preserve"> </w:t>
      </w:r>
    </w:p>
    <w:p w:rsidR="007B197C" w:rsidRDefault="007B197C" w:rsidP="007B197C">
      <w:pPr>
        <w:pStyle w:val="Default"/>
        <w:spacing w:line="360" w:lineRule="auto"/>
        <w:ind w:left="-993"/>
        <w:jc w:val="both"/>
        <w:rPr>
          <w:rFonts w:ascii="Calibri" w:hAnsi="Calibri"/>
        </w:rPr>
      </w:pPr>
      <w:r>
        <w:rPr>
          <w:rFonts w:ascii="Calibri" w:hAnsi="Calibri"/>
        </w:rPr>
        <w:t xml:space="preserve">Eskumen horiek gauzatze aldera, Barne Zuzendaritza Nagusiak 2020ko abuztuaren 7an 959 zehapen-espediente abiarazita ditu, martxoaren 14ko 463/2020 Errege Dekretuak ezarritako alarma-egoerari aldi baterako eta materialki lotuta daudenak.</w:t>
      </w:r>
      <w:r>
        <w:rPr>
          <w:rFonts w:ascii="Calibri" w:hAnsi="Calibri"/>
        </w:rPr>
        <w:t xml:space="preserve"> </w:t>
      </w:r>
    </w:p>
    <w:p w:rsidR="007B197C" w:rsidRDefault="007B197C" w:rsidP="007B197C">
      <w:pPr>
        <w:pStyle w:val="Default"/>
        <w:spacing w:line="360" w:lineRule="auto"/>
        <w:ind w:left="-993"/>
        <w:jc w:val="both"/>
        <w:rPr>
          <w:rFonts w:ascii="Calibri" w:hAnsi="Calibri"/>
        </w:rPr>
      </w:pPr>
      <w:r>
        <w:rPr>
          <w:rFonts w:ascii="Calibri" w:hAnsi="Calibri"/>
        </w:rPr>
        <w:t xml:space="preserve">Organo eskudunak orain arte hasitako espediente guztiak Alarma-egoera deklaratzen duen martxoaren 14ko 463/2020 Errege Dekretuaren 20. artikulutik eratorritakoak dira; artikulu horren arabera, alarma-egoeran agintari eskudunen aginduak ez betetzea edo horiei aurka egitea legeetan ezarritakoaren arabera zehatuko da, ekainaren 1eko 4/1981 Lege Organikoaren hamargarren artikuluan ezarritako moduan.</w:t>
      </w:r>
      <w:r>
        <w:rPr>
          <w:rFonts w:ascii="Calibri" w:hAnsi="Calibri"/>
        </w:rPr>
        <w:t xml:space="preserve"> </w:t>
      </w:r>
      <w:r>
        <w:rPr>
          <w:rFonts w:ascii="Calibri" w:hAnsi="Calibri"/>
        </w:rPr>
        <w:t xml:space="preserve">Aurreikuspen horretan oinarrituta, zehatzeko moduko jokabide gisa aplikatzen da Herritarren Segurtasuna Babesteko martxoaren 30eko 4/2015 Lege Organikoaren 36.6 artikuluan ezarritakoa (agintaritzari desobeditzea).</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Prozedura horietan jarraitutako prozedura, jakina, Sektore Publikoaren Araubide Juridikoaren urriaren 1eko 40/2015 Legean eta Administrazio Publikoen Administrazio Prozedura Erkidearen urriaren 1eko 39/2015 Legean zehapen-prozeduretarako oro har ezarritakoa da.</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Prozedura hasitakoan, Barne zuzendari nagusiaren ebazpen baten bidez, epea irekitzen da salatuak, nahi izanez gero, bere erantzukizuna bere borondatez aitor dezan.</w:t>
      </w:r>
      <w:r>
        <w:rPr>
          <w:rFonts w:ascii="Calibri" w:hAnsi="Calibri"/>
        </w:rPr>
        <w:t xml:space="preserve"> </w:t>
      </w:r>
      <w:r>
        <w:rPr>
          <w:rFonts w:ascii="Calibri" w:hAnsi="Calibri"/>
        </w:rPr>
        <w:t xml:space="preserve">Administrazio-egintza berak zehapen-proposamen bat du, kasu gehienetan Legeak ezarritako gutxieneko zenbatekoarekin, eta bi aukera ematen dira:</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A) PROZEDURA LABURTUA:</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Modalitate horri atxikitzeko, interesdunak hamabost egun balioduneko epea izanen du, prozedura hasteko ebazpena jakinarazten denetik hasita, proposatutako isunaren zenbatekoaren % 50 ordaintzeko.</w:t>
      </w:r>
      <w:r>
        <w:rPr>
          <w:rFonts w:ascii="Calibri" w:hAnsi="Calibri"/>
        </w:rPr>
        <w:t xml:space="preserve"> </w:t>
      </w:r>
      <w:r>
        <w:rPr>
          <w:rFonts w:ascii="Calibri" w:hAnsi="Calibri"/>
        </w:rPr>
        <w:t xml:space="preserve">Kasu horretan, zehapen-prozedura amaitutzat joko da, honako ondorio hauekin: aipatutako isunaren zenbatekoaren % 50eko murrizketa, alegazioak egiteari uko egitea eta prozedura berariazko ebazpenik eman beharrik gabe amaitzea. Zehapena administrazioarekiko auzien jurisdikzioan bakarrik errekurritu ahal izanen da.</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B) PROZEDURA ARRUNTA:</w:t>
      </w:r>
      <w:r>
        <w:rPr>
          <w:rFonts w:ascii="Calibri" w:hAnsi="Calibri"/>
        </w:rPr>
        <w:t xml:space="preserve"> </w:t>
      </w:r>
    </w:p>
    <w:p w:rsidR="007B197C" w:rsidRDefault="007B197C" w:rsidP="007B197C">
      <w:pPr>
        <w:pStyle w:val="Default"/>
        <w:spacing w:line="360" w:lineRule="auto"/>
        <w:ind w:left="-993"/>
        <w:jc w:val="both"/>
        <w:rPr>
          <w:rFonts w:ascii="Calibri" w:hAnsi="Calibri"/>
        </w:rPr>
      </w:pPr>
      <w:r>
        <w:rPr>
          <w:rFonts w:ascii="Calibri" w:hAnsi="Calibri"/>
        </w:rPr>
        <w:t xml:space="preserve">Aurreko apartatuan aipatutako epean ordainketa murriztua egiten ez bada, interesdunak hamabost egun balioduneko epea izanen du, hasierako ebazpena jakinarazten denetik, egokitzat jotzen dituen alegazioak, agiriak eta informazioak aurkezteko, eta, hala badagokio, froga proposatu eta egiteko. Horretarako, espedientearen kopia bat eskatu ahal izanen du.</w:t>
      </w:r>
      <w:r>
        <w:rPr>
          <w:rFonts w:ascii="Calibri" w:hAnsi="Calibri"/>
        </w:rPr>
        <w:t xml:space="preserve"> </w:t>
      </w:r>
      <w:r>
        <w:rPr>
          <w:rFonts w:ascii="Calibri" w:hAnsi="Calibri"/>
        </w:rPr>
        <w:t xml:space="preserve">Aipatutako epean edukiari buruzko alegaziorik egiten ez bada, espedienteari hasiera emateko ebazpena joko da zehapen-proposamentzat.</w:t>
      </w:r>
      <w:r>
        <w:rPr>
          <w:rFonts w:ascii="Calibri" w:hAnsi="Calibri"/>
        </w:rPr>
        <w:t xml:space="preserve"> </w:t>
      </w:r>
    </w:p>
    <w:p w:rsidR="007B197C" w:rsidRPr="007B197C" w:rsidRDefault="007B197C" w:rsidP="007B197C">
      <w:pPr>
        <w:pStyle w:val="Default"/>
        <w:spacing w:line="360" w:lineRule="auto"/>
        <w:ind w:left="-993"/>
        <w:jc w:val="both"/>
        <w:rPr>
          <w:rFonts w:ascii="Calibri" w:hAnsi="Calibri"/>
        </w:rPr>
      </w:pPr>
      <w:r>
        <w:rPr>
          <w:rFonts w:ascii="Calibri" w:hAnsi="Calibri"/>
        </w:rPr>
        <w:t xml:space="preserve">Nolanahi ere, prozedura ebazteko gehienez urtebeteko epea egonen da, prozedura hasteko ebazpena ematen den egunetik zenbatzen hasita, eta epe hori gainditzen bada espedientea amaitzeko ebazpena jakinarazi gabe, espedientea iraungi eginen da.</w:t>
      </w:r>
      <w:r>
        <w:rPr>
          <w:rFonts w:ascii="Calibri" w:hAnsi="Calibri"/>
        </w:rPr>
        <w:t xml:space="preserve"> </w:t>
      </w:r>
    </w:p>
    <w:p w:rsidR="007B197C" w:rsidRDefault="007B197C" w:rsidP="007B197C">
      <w:pPr>
        <w:pStyle w:val="Default"/>
        <w:spacing w:line="360" w:lineRule="auto"/>
        <w:ind w:left="-993"/>
        <w:jc w:val="both"/>
        <w:rPr>
          <w:rFonts w:ascii="Calibri" w:hAnsi="Calibri"/>
        </w:rPr>
      </w:pPr>
      <w:r>
        <w:rPr>
          <w:rFonts w:ascii="Calibri" w:hAnsi="Calibri"/>
        </w:rPr>
        <w:t xml:space="preserve">Aurretik aipatutako aukeretan oinarrituta, eta kontuan hartuta hasierako ebazpenak ez zirela 2020ko ekainaren 4ra arte jakinarazten hasi, hasitako 959 espedienteetatik asko borondatezko ordainketa-fasean daude, zenbatekoa gutxitzeko edo, hala badagokio, alegazioak aurkezteko aukerarekin.</w:t>
      </w:r>
      <w:r>
        <w:rPr>
          <w:rFonts w:ascii="Calibri" w:hAnsi="Calibri"/>
        </w:rPr>
        <w:t xml:space="preserve"> </w:t>
      </w:r>
      <w:r>
        <w:rPr>
          <w:rFonts w:ascii="Calibri" w:hAnsi="Calibri"/>
        </w:rPr>
        <w:t xml:space="preserve">Artxiboak kontsultatuta, legez 85 espediente baino ezin dira amaitu goiz ordaintzeagatik, eta 50etan alegazioak aurkeztu dira.</w:t>
      </w:r>
      <w:r>
        <w:rPr>
          <w:rFonts w:ascii="Calibri" w:hAnsi="Calibri"/>
        </w:rPr>
        <w:t xml:space="preserve"> </w:t>
      </w:r>
    </w:p>
    <w:p w:rsidR="000316AF" w:rsidRDefault="007B197C" w:rsidP="007B197C">
      <w:pPr>
        <w:pStyle w:val="Default"/>
        <w:spacing w:line="360" w:lineRule="auto"/>
        <w:ind w:left="-993"/>
        <w:jc w:val="both"/>
        <w:rPr>
          <w:rFonts w:ascii="Calibri" w:hAnsi="Calibri"/>
        </w:rPr>
      </w:pPr>
      <w:r>
        <w:rPr>
          <w:rFonts w:ascii="Calibri" w:hAnsi="Calibri"/>
        </w:rPr>
        <w:t xml:space="preserve">Lehendakaritzako, Berdintasuneko, Funtzio Publikoko eta Barneko Departamentuak ez du Nafarroako Foru Komunitateko Arartekoaren gomendiorik jaso alarma-egoeran mugikortasun-arauak ustez ez betetzeagatik izapidetutako espedienteei buruz.</w:t>
      </w:r>
      <w:r>
        <w:rPr>
          <w:rFonts w:ascii="Calibri" w:hAnsi="Calibri"/>
        </w:rPr>
        <w:t xml:space="preserve"> </w:t>
      </w:r>
      <w:r>
        <w:rPr>
          <w:rFonts w:ascii="Calibri" w:hAnsi="Calibri"/>
        </w:rPr>
        <w:t xml:space="preserve">Erakundeak Iruñeko Udalari Q20/615 kasu espresean egindako gomendioaren jakitun da, eta, nolanahi ere, bere egintzak berrikusteko behar diren jurisdikzio- edo administrazio-kontrol guztiak egiten dizkio.</w:t>
      </w:r>
    </w:p>
    <w:p w:rsidR="00292A07" w:rsidRPr="00047B9A" w:rsidRDefault="00292A07" w:rsidP="007B197C">
      <w:pPr>
        <w:pStyle w:val="Default"/>
        <w:spacing w:line="360" w:lineRule="auto"/>
        <w:ind w:left="-993"/>
        <w:jc w:val="both"/>
        <w:rPr>
          <w:rFonts w:ascii="Calibri" w:hAnsi="Calibri"/>
        </w:rPr>
      </w:pPr>
      <w:r>
        <w:rPr>
          <w:rFonts w:ascii="Calibri" w:hAnsi="Calibri"/>
        </w:rPr>
        <w:t xml:space="preserve">Hori guztia jakinarazten dizut, Nafarroako Parlamentuko Erregelamenduaren 194. artikulua betez.</w:t>
      </w:r>
    </w:p>
    <w:p w:rsidR="001C1A73" w:rsidRPr="00047B9A" w:rsidRDefault="001C1A73" w:rsidP="009C6922">
      <w:pPr>
        <w:pStyle w:val="Default"/>
        <w:spacing w:line="360" w:lineRule="auto"/>
        <w:ind w:left="-993"/>
        <w:jc w:val="center"/>
        <w:rPr>
          <w:rFonts w:ascii="Calibri" w:hAnsi="Calibri"/>
        </w:rPr>
      </w:pPr>
      <w:r>
        <w:rPr>
          <w:rFonts w:ascii="Calibri" w:hAnsi="Calibri"/>
        </w:rPr>
        <w:t xml:space="preserve">Iruñean, 2020ko abuztuaren 14an</w:t>
      </w:r>
    </w:p>
    <w:p w:rsidR="001C1A73" w:rsidRPr="008D568B" w:rsidRDefault="00D26381" w:rsidP="009C6922">
      <w:pPr>
        <w:pStyle w:val="Default"/>
        <w:spacing w:line="360" w:lineRule="auto"/>
        <w:ind w:left="-993"/>
        <w:jc w:val="center"/>
        <w:rPr>
          <w:rFonts w:ascii="Calibri" w:hAnsi="Calibri"/>
        </w:rPr>
      </w:pPr>
      <w:r>
        <w:rPr>
          <w:rFonts w:ascii="Calibri" w:hAnsi="Calibri"/>
        </w:rPr>
        <w:t xml:space="preserve">Lehendakaritzako, Berdintasuneko, Funtzio Publikoko eta Barneko kontseilaria:</w:t>
      </w:r>
      <w:r>
        <w:rPr>
          <w:rFonts w:ascii="Calibri" w:hAnsi="Calibri"/>
        </w:rPr>
        <w:t xml:space="preserve"> </w:t>
      </w:r>
      <w:r>
        <w:rPr>
          <w:rFonts w:ascii="Calibri" w:hAnsi="Calibri"/>
        </w:rPr>
        <w:t xml:space="preserve">Javier Remírez Apesteguía</w:t>
      </w:r>
    </w:p>
    <w:sectPr w:rsidR="001C1A73" w:rsidRPr="008D568B"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72" w:rsidRDefault="00DE5C72" w:rsidP="000B134F">
      <w:r>
        <w:separator/>
      </w:r>
    </w:p>
  </w:endnote>
  <w:endnote w:type="continuationSeparator" w:id="0">
    <w:p w:rsidR="00DE5C72" w:rsidRDefault="00DE5C72"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72" w:rsidRDefault="00DE5C72" w:rsidP="000B134F">
      <w:r>
        <w:separator/>
      </w:r>
    </w:p>
  </w:footnote>
  <w:footnote w:type="continuationSeparator" w:id="0">
    <w:p w:rsidR="00DE5C72" w:rsidRDefault="00DE5C72"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F0656B"/>
    <w:multiLevelType w:val="hybridMultilevel"/>
    <w:tmpl w:val="946C89C0"/>
    <w:lvl w:ilvl="0" w:tplc="33D620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50AA41D6"/>
    <w:multiLevelType w:val="hybridMultilevel"/>
    <w:tmpl w:val="2EF004E8"/>
    <w:lvl w:ilvl="0" w:tplc="7F66E70A">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0">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657505CA"/>
    <w:multiLevelType w:val="hybridMultilevel"/>
    <w:tmpl w:val="A84CD976"/>
    <w:lvl w:ilvl="0" w:tplc="A2A41FB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8"/>
  </w:num>
  <w:num w:numId="6">
    <w:abstractNumId w:val="12"/>
  </w:num>
  <w:num w:numId="7">
    <w:abstractNumId w:val="2"/>
  </w:num>
  <w:num w:numId="8">
    <w:abstractNumId w:val="10"/>
  </w:num>
  <w:num w:numId="9">
    <w:abstractNumId w:val="7"/>
  </w:num>
  <w:num w:numId="10">
    <w:abstractNumId w:val="13"/>
  </w:num>
  <w:num w:numId="11">
    <w:abstractNumId w:val="0"/>
  </w:num>
  <w:num w:numId="12">
    <w:abstractNumId w:val="14"/>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324E"/>
    <w:rsid w:val="0001759F"/>
    <w:rsid w:val="000316AF"/>
    <w:rsid w:val="0003454B"/>
    <w:rsid w:val="00047B9A"/>
    <w:rsid w:val="0005378A"/>
    <w:rsid w:val="000876D4"/>
    <w:rsid w:val="000B134F"/>
    <w:rsid w:val="000D5295"/>
    <w:rsid w:val="000E7EF2"/>
    <w:rsid w:val="000F12C9"/>
    <w:rsid w:val="00126429"/>
    <w:rsid w:val="001C1A73"/>
    <w:rsid w:val="001D6AF6"/>
    <w:rsid w:val="001E25DC"/>
    <w:rsid w:val="002004B0"/>
    <w:rsid w:val="00216CFB"/>
    <w:rsid w:val="002177DF"/>
    <w:rsid w:val="00245B54"/>
    <w:rsid w:val="00292A07"/>
    <w:rsid w:val="002B29A4"/>
    <w:rsid w:val="003041DD"/>
    <w:rsid w:val="00322D33"/>
    <w:rsid w:val="0033390A"/>
    <w:rsid w:val="00355DE5"/>
    <w:rsid w:val="00373DE7"/>
    <w:rsid w:val="003814B0"/>
    <w:rsid w:val="003877E8"/>
    <w:rsid w:val="003A7EB6"/>
    <w:rsid w:val="003C17B3"/>
    <w:rsid w:val="003D0E76"/>
    <w:rsid w:val="00455182"/>
    <w:rsid w:val="004764E8"/>
    <w:rsid w:val="004B107D"/>
    <w:rsid w:val="004D5FF0"/>
    <w:rsid w:val="004D6D95"/>
    <w:rsid w:val="0050323B"/>
    <w:rsid w:val="005361E6"/>
    <w:rsid w:val="00541F19"/>
    <w:rsid w:val="005435D3"/>
    <w:rsid w:val="005831A0"/>
    <w:rsid w:val="006135E1"/>
    <w:rsid w:val="00661FE2"/>
    <w:rsid w:val="006666BB"/>
    <w:rsid w:val="00690D6B"/>
    <w:rsid w:val="006B0616"/>
    <w:rsid w:val="006B2DD1"/>
    <w:rsid w:val="006B3948"/>
    <w:rsid w:val="006E4AD4"/>
    <w:rsid w:val="00722161"/>
    <w:rsid w:val="00756BB1"/>
    <w:rsid w:val="00765141"/>
    <w:rsid w:val="007817BA"/>
    <w:rsid w:val="007902A0"/>
    <w:rsid w:val="007B14CA"/>
    <w:rsid w:val="007B197C"/>
    <w:rsid w:val="007B3C56"/>
    <w:rsid w:val="007D36B2"/>
    <w:rsid w:val="007D43FD"/>
    <w:rsid w:val="007F3D90"/>
    <w:rsid w:val="00811023"/>
    <w:rsid w:val="00823E6B"/>
    <w:rsid w:val="00831810"/>
    <w:rsid w:val="008471A9"/>
    <w:rsid w:val="00847F4C"/>
    <w:rsid w:val="00850F1E"/>
    <w:rsid w:val="00897F68"/>
    <w:rsid w:val="008B35E6"/>
    <w:rsid w:val="008D568B"/>
    <w:rsid w:val="008D6C7F"/>
    <w:rsid w:val="008E601F"/>
    <w:rsid w:val="00906935"/>
    <w:rsid w:val="00916137"/>
    <w:rsid w:val="0092624E"/>
    <w:rsid w:val="009440CF"/>
    <w:rsid w:val="00946014"/>
    <w:rsid w:val="0096065E"/>
    <w:rsid w:val="00981F80"/>
    <w:rsid w:val="009C6922"/>
    <w:rsid w:val="009E24D4"/>
    <w:rsid w:val="009E4607"/>
    <w:rsid w:val="00A220B1"/>
    <w:rsid w:val="00A32052"/>
    <w:rsid w:val="00A4417B"/>
    <w:rsid w:val="00A44753"/>
    <w:rsid w:val="00A60CFD"/>
    <w:rsid w:val="00A87ECA"/>
    <w:rsid w:val="00AD52D8"/>
    <w:rsid w:val="00AE0C4D"/>
    <w:rsid w:val="00B27FCD"/>
    <w:rsid w:val="00B445FE"/>
    <w:rsid w:val="00B72778"/>
    <w:rsid w:val="00B90DAD"/>
    <w:rsid w:val="00BA015D"/>
    <w:rsid w:val="00BA0228"/>
    <w:rsid w:val="00BB1DD8"/>
    <w:rsid w:val="00BC35D6"/>
    <w:rsid w:val="00BD6121"/>
    <w:rsid w:val="00C0289A"/>
    <w:rsid w:val="00C349D2"/>
    <w:rsid w:val="00C46BC9"/>
    <w:rsid w:val="00C46C8A"/>
    <w:rsid w:val="00C65F52"/>
    <w:rsid w:val="00C7155A"/>
    <w:rsid w:val="00C86F88"/>
    <w:rsid w:val="00CA3EC7"/>
    <w:rsid w:val="00CB5DD5"/>
    <w:rsid w:val="00CC1292"/>
    <w:rsid w:val="00CD01FF"/>
    <w:rsid w:val="00CF7CA4"/>
    <w:rsid w:val="00D1535B"/>
    <w:rsid w:val="00D26212"/>
    <w:rsid w:val="00D26381"/>
    <w:rsid w:val="00D30D7D"/>
    <w:rsid w:val="00D77542"/>
    <w:rsid w:val="00D95CF3"/>
    <w:rsid w:val="00DA3CB2"/>
    <w:rsid w:val="00DB0557"/>
    <w:rsid w:val="00DC0205"/>
    <w:rsid w:val="00DC7DA5"/>
    <w:rsid w:val="00DD01F5"/>
    <w:rsid w:val="00DE5C72"/>
    <w:rsid w:val="00E540D8"/>
    <w:rsid w:val="00E740DE"/>
    <w:rsid w:val="00E92A49"/>
    <w:rsid w:val="00EA4A6D"/>
    <w:rsid w:val="00EB72C6"/>
    <w:rsid w:val="00ED08AF"/>
    <w:rsid w:val="00EE7FBE"/>
    <w:rsid w:val="00EF0D89"/>
    <w:rsid w:val="00F102E1"/>
    <w:rsid w:val="00F11125"/>
    <w:rsid w:val="00F15A34"/>
    <w:rsid w:val="00F2130F"/>
    <w:rsid w:val="00F3339F"/>
    <w:rsid w:val="00F77F55"/>
    <w:rsid w:val="00F82F26"/>
    <w:rsid w:val="00F86AF9"/>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u-ES"/>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322D33"/>
    <w:rPr>
      <w:color w:val="0000FF"/>
      <w:u w:val="single"/>
    </w:rPr>
  </w:style>
  <w:style w:type="paragraph" w:customStyle="1" w:styleId="foral-f-parrafo-c">
    <w:name w:val="foral-f-parrafo-c"/>
    <w:basedOn w:val="Normal"/>
    <w:rsid w:val="00322D33"/>
    <w:pPr>
      <w:spacing w:after="15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322D33"/>
    <w:rPr>
      <w:color w:val="0000FF"/>
      <w:u w:val="single"/>
    </w:rPr>
  </w:style>
  <w:style w:type="paragraph" w:customStyle="1" w:styleId="foral-f-parrafo-c">
    <w:name w:val="foral-f-parrafo-c"/>
    <w:basedOn w:val="Normal"/>
    <w:rsid w:val="00322D33"/>
    <w:pPr>
      <w:spacing w:after="15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48A0-71C1-46E2-9262-428074F8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1094</Words>
  <Characters>5924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2019-10-01T12:10:00Z</cp:lastPrinted>
  <dcterms:created xsi:type="dcterms:W3CDTF">2020-08-17T12:59:00Z</dcterms:created>
  <dcterms:modified xsi:type="dcterms:W3CDTF">2020-08-21T08:20:00Z</dcterms:modified>
  <cp:contentStatus/>
</cp:coreProperties>
</file>