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4A" w:rsidRPr="003E7DFE" w:rsidRDefault="00CA544A" w:rsidP="00CA544A">
      <w:pPr>
        <w:spacing w:after="120"/>
        <w:rPr>
          <w:rFonts w:cs="Arial"/>
          <w:sz w:val="10"/>
          <w:szCs w:val="12"/>
        </w:rPr>
      </w:pPr>
    </w:p>
    <w:p w:rsidR="00F50410" w:rsidRDefault="00CD4DF7" w:rsidP="00CA544A">
      <w:pPr>
        <w:spacing w:after="120"/>
        <w:rPr>
          <w:rFonts w:cs="Arial"/>
          <w:sz w:val="22"/>
        </w:rPr>
      </w:pPr>
      <w:r>
        <w:rPr>
          <w:sz w:val="22"/>
        </w:rPr>
        <w:t xml:space="preserve">Navarra Suma talde parlamentarioari atxikitako foru parlamentari Marta </w:t>
      </w:r>
      <w:proofErr w:type="spellStart"/>
      <w:r>
        <w:rPr>
          <w:sz w:val="22"/>
        </w:rPr>
        <w:t>Álvarez</w:t>
      </w:r>
      <w:proofErr w:type="spellEnd"/>
      <w:r>
        <w:rPr>
          <w:sz w:val="22"/>
        </w:rPr>
        <w:t xml:space="preserve"> Alonso andreak galdera egin du Estatuak autonomia-erkidegoetako gizarte-zerbitzuetarako duen 300 milioiko aparteko funtsari buruz (10-20/PES-00270). Hona Nafarroako Gobernuko Eskubide Sozialetako kontseilariak informatzeko duena:</w:t>
      </w:r>
    </w:p>
    <w:p w:rsidR="00F50410" w:rsidRDefault="0023789D" w:rsidP="009F0400">
      <w:pPr>
        <w:rPr>
          <w:rFonts w:cs="Arial"/>
          <w:sz w:val="22"/>
        </w:rPr>
      </w:pPr>
      <w:r>
        <w:rPr>
          <w:sz w:val="22"/>
        </w:rPr>
        <w:t xml:space="preserve">Parlamentariak bere galderan aipatzen duen bezala, COVID-19aren eragin ekonomiko eta sozialari aurre egiteko ezohiko premiazko neurriei buruzko martxoaren 17ko 8/2020 Errege Lege Dekretuan xedatutakoa aplikatuz, Estatuak 300 milioiko aparteko funtsa ezarri zuen autonomia-erkidegoetako gizarte-zerbitzuetarako. Zenbateko horren % 1,5, 4,5 milioi euro, Nafarroara bideratu dira. </w:t>
      </w:r>
    </w:p>
    <w:p w:rsidR="009F0400" w:rsidRPr="003E7DFE" w:rsidRDefault="009F0400" w:rsidP="009F0400">
      <w:pPr>
        <w:rPr>
          <w:rFonts w:cs="Arial"/>
          <w:i/>
          <w:sz w:val="22"/>
        </w:rPr>
      </w:pPr>
      <w:r>
        <w:rPr>
          <w:i/>
          <w:sz w:val="22"/>
        </w:rPr>
        <w:t xml:space="preserve">1. Noiz jaso ziren funts horiek Estatutik? </w:t>
      </w:r>
    </w:p>
    <w:p w:rsidR="00F50410" w:rsidRDefault="00A447D7" w:rsidP="00A447D7">
      <w:pPr>
        <w:rPr>
          <w:rFonts w:cs="Arial"/>
          <w:sz w:val="22"/>
        </w:rPr>
      </w:pPr>
      <w:r>
        <w:rPr>
          <w:sz w:val="22"/>
        </w:rPr>
        <w:t>2020ko apirilaren 24an.</w:t>
      </w:r>
    </w:p>
    <w:p w:rsidR="009F0400" w:rsidRPr="003E7DFE" w:rsidRDefault="009F0400" w:rsidP="009F0400">
      <w:pPr>
        <w:rPr>
          <w:rFonts w:cs="Arial"/>
          <w:i/>
          <w:sz w:val="22"/>
        </w:rPr>
      </w:pPr>
      <w:r>
        <w:rPr>
          <w:i/>
          <w:sz w:val="22"/>
        </w:rPr>
        <w:t xml:space="preserve">2. 4,5 milioi horietatik, zenbat bideratu da Nafarroako egoitzetara? Funts horiek zein kontzeptutarako erabili diren xehakatzeko eskatzen dugu. </w:t>
      </w:r>
    </w:p>
    <w:p w:rsidR="006D20A5" w:rsidRPr="003E7DFE" w:rsidRDefault="00AE6045" w:rsidP="006D20A5">
      <w:pPr>
        <w:tabs>
          <w:tab w:val="left" w:pos="3119"/>
        </w:tabs>
        <w:rPr>
          <w:rFonts w:cs="Arial"/>
          <w:sz w:val="22"/>
        </w:rPr>
      </w:pPr>
      <w:r>
        <w:rPr>
          <w:sz w:val="22"/>
        </w:rPr>
        <w:t>Nafarroako egoitzetarako zenbatekoa 1.998.000 eurokoa 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448"/>
      </w:tblGrid>
      <w:tr w:rsidR="00CB6B91" w:rsidRPr="005C04F8" w:rsidTr="005C04F8">
        <w:trPr>
          <w:trHeight w:val="20"/>
        </w:trPr>
        <w:tc>
          <w:tcPr>
            <w:tcW w:w="7196" w:type="dxa"/>
            <w:shd w:val="clear" w:color="auto" w:fill="auto"/>
            <w:vAlign w:val="center"/>
          </w:tcPr>
          <w:p w:rsidR="00CB6B91" w:rsidRPr="005C04F8" w:rsidRDefault="00CB6B91" w:rsidP="005C04F8">
            <w:pPr>
              <w:spacing w:before="40" w:after="40" w:line="240" w:lineRule="auto"/>
              <w:jc w:val="center"/>
              <w:rPr>
                <w:rFonts w:asciiTheme="minorHAnsi" w:hAnsiTheme="minorHAnsi"/>
                <w:b/>
                <w:sz w:val="19"/>
                <w:szCs w:val="19"/>
              </w:rPr>
            </w:pPr>
            <w:bookmarkStart w:id="0" w:name="_GoBack"/>
            <w:r w:rsidRPr="005C04F8">
              <w:rPr>
                <w:rFonts w:asciiTheme="minorHAnsi" w:hAnsiTheme="minorHAnsi"/>
                <w:b/>
                <w:sz w:val="19"/>
                <w:szCs w:val="19"/>
              </w:rPr>
              <w:t>Izena</w:t>
            </w:r>
          </w:p>
        </w:tc>
        <w:tc>
          <w:tcPr>
            <w:tcW w:w="1448" w:type="dxa"/>
            <w:shd w:val="clear" w:color="auto" w:fill="auto"/>
            <w:vAlign w:val="center"/>
          </w:tcPr>
          <w:p w:rsidR="00CB6B91" w:rsidRPr="005C04F8" w:rsidRDefault="00CB6B91" w:rsidP="005C04F8">
            <w:pPr>
              <w:spacing w:before="40" w:after="40" w:line="240" w:lineRule="auto"/>
              <w:jc w:val="center"/>
              <w:rPr>
                <w:rFonts w:asciiTheme="minorHAnsi" w:hAnsiTheme="minorHAnsi"/>
                <w:b/>
                <w:sz w:val="19"/>
                <w:szCs w:val="19"/>
              </w:rPr>
            </w:pPr>
            <w:r w:rsidRPr="005C04F8">
              <w:rPr>
                <w:rFonts w:asciiTheme="minorHAnsi" w:hAnsiTheme="minorHAnsi"/>
                <w:b/>
                <w:sz w:val="19"/>
                <w:szCs w:val="19"/>
              </w:rPr>
              <w:t>Zenbatekoa</w:t>
            </w:r>
          </w:p>
        </w:tc>
      </w:tr>
      <w:tr w:rsidR="00CB6B91" w:rsidRPr="005C04F8" w:rsidTr="005C04F8">
        <w:trPr>
          <w:trHeight w:val="20"/>
        </w:trPr>
        <w:tc>
          <w:tcPr>
            <w:tcW w:w="7196" w:type="dxa"/>
            <w:shd w:val="clear" w:color="auto" w:fill="auto"/>
            <w:vAlign w:val="center"/>
          </w:tcPr>
          <w:p w:rsidR="00CB6B91" w:rsidRPr="005C04F8" w:rsidRDefault="00CB6B91" w:rsidP="005C04F8">
            <w:pPr>
              <w:spacing w:before="40" w:after="40" w:line="240" w:lineRule="auto"/>
              <w:jc w:val="left"/>
              <w:rPr>
                <w:rFonts w:asciiTheme="minorHAnsi" w:hAnsiTheme="minorHAnsi"/>
                <w:sz w:val="19"/>
                <w:szCs w:val="19"/>
              </w:rPr>
            </w:pPr>
            <w:r w:rsidRPr="005C04F8">
              <w:rPr>
                <w:rFonts w:asciiTheme="minorHAnsi" w:hAnsiTheme="minorHAnsi"/>
                <w:sz w:val="19"/>
                <w:szCs w:val="19"/>
              </w:rPr>
              <w:t xml:space="preserve">COVID-19a. Itundutako plazen kostua egokitzea absentismoagatik </w:t>
            </w:r>
          </w:p>
        </w:tc>
        <w:tc>
          <w:tcPr>
            <w:tcW w:w="1448" w:type="dxa"/>
            <w:shd w:val="clear" w:color="auto" w:fill="auto"/>
            <w:vAlign w:val="center"/>
          </w:tcPr>
          <w:p w:rsidR="00CB6B91" w:rsidRPr="005C04F8" w:rsidRDefault="00CB6B91" w:rsidP="005C04F8">
            <w:pPr>
              <w:spacing w:before="40" w:after="40" w:line="240" w:lineRule="auto"/>
              <w:jc w:val="right"/>
              <w:rPr>
                <w:rFonts w:asciiTheme="minorHAnsi" w:hAnsiTheme="minorHAnsi"/>
                <w:sz w:val="19"/>
                <w:szCs w:val="19"/>
              </w:rPr>
            </w:pPr>
            <w:r w:rsidRPr="005C04F8">
              <w:rPr>
                <w:rFonts w:asciiTheme="minorHAnsi" w:hAnsiTheme="minorHAnsi"/>
                <w:sz w:val="19"/>
                <w:szCs w:val="19"/>
              </w:rPr>
              <w:t>1.100.000 euro</w:t>
            </w:r>
          </w:p>
        </w:tc>
      </w:tr>
      <w:tr w:rsidR="009B25C8" w:rsidRPr="005C04F8" w:rsidTr="005C04F8">
        <w:trPr>
          <w:trHeight w:val="20"/>
        </w:trPr>
        <w:tc>
          <w:tcPr>
            <w:tcW w:w="7196" w:type="dxa"/>
            <w:shd w:val="clear" w:color="auto" w:fill="auto"/>
            <w:vAlign w:val="center"/>
          </w:tcPr>
          <w:p w:rsidR="009B25C8" w:rsidRPr="005C04F8" w:rsidRDefault="009B25C8" w:rsidP="005C04F8">
            <w:pPr>
              <w:spacing w:before="40" w:after="40" w:line="240" w:lineRule="auto"/>
              <w:jc w:val="left"/>
              <w:rPr>
                <w:rFonts w:asciiTheme="minorHAnsi" w:hAnsiTheme="minorHAnsi"/>
                <w:sz w:val="19"/>
                <w:szCs w:val="19"/>
              </w:rPr>
            </w:pPr>
            <w:r w:rsidRPr="005C04F8">
              <w:rPr>
                <w:rFonts w:asciiTheme="minorHAnsi" w:hAnsiTheme="minorHAnsi"/>
                <w:sz w:val="19"/>
                <w:szCs w:val="19"/>
              </w:rPr>
              <w:t xml:space="preserve">COVID-19a. Egoitza-zentro </w:t>
            </w:r>
            <w:proofErr w:type="spellStart"/>
            <w:r w:rsidRPr="005C04F8">
              <w:rPr>
                <w:rFonts w:asciiTheme="minorHAnsi" w:hAnsiTheme="minorHAnsi"/>
                <w:sz w:val="19"/>
                <w:szCs w:val="19"/>
              </w:rPr>
              <w:t>soziosanitarioetarako</w:t>
            </w:r>
            <w:proofErr w:type="spellEnd"/>
            <w:r w:rsidRPr="005C04F8">
              <w:rPr>
                <w:rFonts w:asciiTheme="minorHAnsi" w:hAnsiTheme="minorHAnsi"/>
                <w:sz w:val="19"/>
                <w:szCs w:val="19"/>
              </w:rPr>
              <w:t xml:space="preserve"> langile gehiago jartzea</w:t>
            </w:r>
          </w:p>
        </w:tc>
        <w:tc>
          <w:tcPr>
            <w:tcW w:w="1448" w:type="dxa"/>
            <w:shd w:val="clear" w:color="auto" w:fill="auto"/>
            <w:vAlign w:val="center"/>
          </w:tcPr>
          <w:p w:rsidR="009B25C8" w:rsidRPr="005C04F8" w:rsidRDefault="009B25C8" w:rsidP="005C04F8">
            <w:pPr>
              <w:spacing w:before="40" w:after="40" w:line="240" w:lineRule="auto"/>
              <w:jc w:val="right"/>
              <w:rPr>
                <w:rFonts w:asciiTheme="minorHAnsi" w:hAnsiTheme="minorHAnsi"/>
                <w:sz w:val="19"/>
                <w:szCs w:val="19"/>
              </w:rPr>
            </w:pPr>
            <w:r w:rsidRPr="005C04F8">
              <w:rPr>
                <w:rFonts w:asciiTheme="minorHAnsi" w:hAnsiTheme="minorHAnsi"/>
                <w:sz w:val="19"/>
                <w:szCs w:val="19"/>
              </w:rPr>
              <w:t>600.000 euro</w:t>
            </w:r>
          </w:p>
        </w:tc>
      </w:tr>
      <w:tr w:rsidR="009B25C8" w:rsidRPr="005C04F8" w:rsidTr="005C04F8">
        <w:trPr>
          <w:trHeight w:val="20"/>
        </w:trPr>
        <w:tc>
          <w:tcPr>
            <w:tcW w:w="7196" w:type="dxa"/>
            <w:shd w:val="clear" w:color="auto" w:fill="auto"/>
            <w:vAlign w:val="center"/>
          </w:tcPr>
          <w:p w:rsidR="009B25C8" w:rsidRPr="005C04F8" w:rsidRDefault="009B25C8" w:rsidP="005C04F8">
            <w:pPr>
              <w:spacing w:before="40" w:after="40" w:line="240" w:lineRule="auto"/>
              <w:jc w:val="left"/>
              <w:rPr>
                <w:rFonts w:asciiTheme="minorHAnsi" w:hAnsiTheme="minorHAnsi"/>
                <w:sz w:val="19"/>
                <w:szCs w:val="19"/>
              </w:rPr>
            </w:pPr>
            <w:r w:rsidRPr="005C04F8">
              <w:rPr>
                <w:rFonts w:asciiTheme="minorHAnsi" w:hAnsiTheme="minorHAnsi"/>
                <w:sz w:val="19"/>
                <w:szCs w:val="19"/>
              </w:rPr>
              <w:t>COVID-19a. Behin-behineko bitarteko baliabideak sortzea</w:t>
            </w:r>
          </w:p>
        </w:tc>
        <w:tc>
          <w:tcPr>
            <w:tcW w:w="1448" w:type="dxa"/>
            <w:shd w:val="clear" w:color="auto" w:fill="auto"/>
            <w:vAlign w:val="center"/>
          </w:tcPr>
          <w:p w:rsidR="009B25C8" w:rsidRPr="005C04F8" w:rsidRDefault="009B25C8" w:rsidP="005C04F8">
            <w:pPr>
              <w:spacing w:before="40" w:after="40" w:line="240" w:lineRule="auto"/>
              <w:jc w:val="right"/>
              <w:rPr>
                <w:rFonts w:asciiTheme="minorHAnsi" w:hAnsiTheme="minorHAnsi"/>
                <w:sz w:val="19"/>
                <w:szCs w:val="19"/>
              </w:rPr>
            </w:pPr>
            <w:r w:rsidRPr="005C04F8">
              <w:rPr>
                <w:rFonts w:asciiTheme="minorHAnsi" w:hAnsiTheme="minorHAnsi"/>
                <w:sz w:val="19"/>
                <w:szCs w:val="19"/>
              </w:rPr>
              <w:t>298.000 euro</w:t>
            </w:r>
          </w:p>
        </w:tc>
      </w:tr>
      <w:bookmarkEnd w:id="0"/>
    </w:tbl>
    <w:p w:rsidR="00A447D7" w:rsidRPr="003E7DFE" w:rsidRDefault="00A447D7" w:rsidP="009F0400">
      <w:pPr>
        <w:rPr>
          <w:rFonts w:cs="Arial"/>
          <w:sz w:val="22"/>
        </w:rPr>
      </w:pPr>
    </w:p>
    <w:p w:rsidR="009F0400" w:rsidRPr="003E7DFE" w:rsidRDefault="009F0400" w:rsidP="009F0400">
      <w:pPr>
        <w:rPr>
          <w:rFonts w:cs="Arial"/>
          <w:i/>
          <w:sz w:val="22"/>
        </w:rPr>
      </w:pPr>
      <w:r>
        <w:rPr>
          <w:i/>
          <w:sz w:val="22"/>
        </w:rPr>
        <w:t xml:space="preserve">3. Noiz ordaindu zaie Nafarroako egoitzei Nafarroako egoitzetara bideratzekoa zen funts horren zenbatekoa? Ordaintzeko ebazpenaren edo ebazpenen kopia eskatzen dugu. </w:t>
      </w:r>
    </w:p>
    <w:p w:rsidR="009F0400" w:rsidRPr="003E7DFE" w:rsidRDefault="00BE434C" w:rsidP="009F0400">
      <w:pPr>
        <w:rPr>
          <w:rFonts w:cs="Arial"/>
          <w:sz w:val="22"/>
        </w:rPr>
      </w:pPr>
      <w:r>
        <w:rPr>
          <w:sz w:val="22"/>
        </w:rPr>
        <w:t>Ordainketa martxotik egiten joan da, etenik gabe (egoitzek gastua justifikatu ondoren).</w:t>
      </w:r>
    </w:p>
    <w:p w:rsidR="00F50410" w:rsidRDefault="00B92A85" w:rsidP="003F5D7D">
      <w:pPr>
        <w:rPr>
          <w:rFonts w:cs="Arial"/>
          <w:sz w:val="22"/>
        </w:rPr>
      </w:pPr>
      <w:r>
        <w:rPr>
          <w:sz w:val="22"/>
        </w:rPr>
        <w:t>Departamentu honetan jasota daude egindako ordainketa-ebazpen guztiak, eta ez dago eragozpenik haiek zuri bidaltzeko, baldin eta dokumentazio-eskaera hori arauzko bideen bidez egiten bada.</w:t>
      </w:r>
    </w:p>
    <w:p w:rsidR="009F0400" w:rsidRPr="003E7DFE" w:rsidRDefault="009F0400" w:rsidP="009F0400">
      <w:pPr>
        <w:rPr>
          <w:rFonts w:cs="Arial"/>
          <w:i/>
          <w:sz w:val="22"/>
        </w:rPr>
      </w:pPr>
      <w:r>
        <w:rPr>
          <w:i/>
          <w:sz w:val="22"/>
        </w:rPr>
        <w:t xml:space="preserve">4. Eskatu al du Estatuak justifikatzeko aparteko funtsetik jasotako 4,5 milioi euroak zertarako erabili diren? </w:t>
      </w:r>
    </w:p>
    <w:p w:rsidR="009F0400" w:rsidRPr="003E7DFE" w:rsidRDefault="009F0400" w:rsidP="009F0400">
      <w:pPr>
        <w:rPr>
          <w:rFonts w:cs="Arial"/>
          <w:i/>
          <w:sz w:val="22"/>
        </w:rPr>
      </w:pPr>
      <w:r>
        <w:rPr>
          <w:i/>
          <w:sz w:val="22"/>
        </w:rPr>
        <w:t>Justifikazio-errekerimenduaren eta, hala badagokio, egindako justifikazioaren kopia eskatzen da.</w:t>
      </w:r>
    </w:p>
    <w:p w:rsidR="003F5D7D" w:rsidRPr="003E7DFE" w:rsidRDefault="00EC209F" w:rsidP="003F5D7D">
      <w:pPr>
        <w:rPr>
          <w:rFonts w:cs="Arial"/>
          <w:i/>
          <w:sz w:val="22"/>
        </w:rPr>
      </w:pPr>
      <w:r>
        <w:rPr>
          <w:sz w:val="22"/>
        </w:rPr>
        <w:t xml:space="preserve">Funts horien deialdian adierazten da nola eginen den proiektuen bilakaeraren eta gauzatzearen ebaluazioa: </w:t>
      </w:r>
      <w:r>
        <w:rPr>
          <w:i/>
          <w:sz w:val="22"/>
        </w:rPr>
        <w:t xml:space="preserve">“Hiruhileko txostenek ekainaren 30eko, irailaren 30eko eta abenduaren 31ko egoerari buruzko informazioa jasoko dute, eta horiek aurkezteko gehieneko data </w:t>
      </w:r>
      <w:r>
        <w:rPr>
          <w:b/>
          <w:bCs/>
          <w:i/>
          <w:sz w:val="22"/>
        </w:rPr>
        <w:t xml:space="preserve">uztailaren 31, urriaren 31 </w:t>
      </w:r>
      <w:r>
        <w:rPr>
          <w:i/>
          <w:sz w:val="22"/>
        </w:rPr>
        <w:t>eta</w:t>
      </w:r>
      <w:r>
        <w:rPr>
          <w:b/>
          <w:bCs/>
          <w:i/>
          <w:sz w:val="22"/>
        </w:rPr>
        <w:t xml:space="preserve"> urtarrilaren 31</w:t>
      </w:r>
      <w:r>
        <w:rPr>
          <w:i/>
          <w:sz w:val="22"/>
        </w:rPr>
        <w:t xml:space="preserve"> izanen da, hurrenez </w:t>
      </w:r>
      <w:proofErr w:type="spellStart"/>
      <w:r>
        <w:rPr>
          <w:i/>
          <w:sz w:val="22"/>
        </w:rPr>
        <w:lastRenderedPageBreak/>
        <w:t>hurren</w:t>
      </w:r>
      <w:proofErr w:type="spellEnd"/>
      <w:r>
        <w:rPr>
          <w:i/>
          <w:sz w:val="22"/>
        </w:rPr>
        <w:t xml:space="preserve">. Hiruhileko txostenetan bildutako informazioa metagarria da, eta, beraz, bigarren txostenean, funtsaren </w:t>
      </w:r>
      <w:proofErr w:type="spellStart"/>
      <w:r>
        <w:rPr>
          <w:i/>
          <w:sz w:val="22"/>
        </w:rPr>
        <w:t>kudeaketa/exekuzioaren</w:t>
      </w:r>
      <w:proofErr w:type="spellEnd"/>
      <w:r>
        <w:rPr>
          <w:i/>
          <w:sz w:val="22"/>
        </w:rPr>
        <w:t xml:space="preserve"> egoera irailaren 30ean nola dagoen azaltzen duten datuak irauliko dira eta, horrenbestez, hirugarren hiruhilekoko txostenean jasotako aldagaien datuak bat etorriko dira ondoren Ezohiko Gizarte Funtsaren Betearazpenaren Azken Memoriarako Fitxara helarazten diren datuekin.”</w:t>
      </w:r>
    </w:p>
    <w:p w:rsidR="003F5D7D" w:rsidRPr="003E7DFE" w:rsidRDefault="00E81856" w:rsidP="003F5D7D">
      <w:pPr>
        <w:rPr>
          <w:rFonts w:cs="Arial"/>
          <w:sz w:val="22"/>
        </w:rPr>
      </w:pPr>
      <w:r>
        <w:rPr>
          <w:sz w:val="22"/>
        </w:rPr>
        <w:t xml:space="preserve">Adierazitako epeak betez, orain arte bi txosten egin dira (uztailaren 31n eta urriaren 31n) Nafarroako proiektu bakoitzeko (5 proiektu). </w:t>
      </w:r>
    </w:p>
    <w:p w:rsidR="005E7CD8" w:rsidRDefault="005E7CD8" w:rsidP="00872C74">
      <w:pPr>
        <w:rPr>
          <w:rFonts w:cs="Arial"/>
          <w:sz w:val="22"/>
        </w:rPr>
      </w:pPr>
      <w:r>
        <w:rPr>
          <w:sz w:val="22"/>
        </w:rPr>
        <w:t xml:space="preserve">Berezko errekerimendurik ez dago. Ministerioak mezu elektroniko bat baino ez du bidaltzen, eta horren bidez on </w:t>
      </w:r>
      <w:proofErr w:type="spellStart"/>
      <w:r>
        <w:rPr>
          <w:sz w:val="22"/>
        </w:rPr>
        <w:t>line</w:t>
      </w:r>
      <w:proofErr w:type="spellEnd"/>
      <w:r>
        <w:rPr>
          <w:sz w:val="22"/>
        </w:rPr>
        <w:t xml:space="preserve"> formulario ofizialaren esteka eransten da, betetzeko.</w:t>
      </w:r>
    </w:p>
    <w:p w:rsidR="00F50410" w:rsidRDefault="00872C74" w:rsidP="00872C74">
      <w:pPr>
        <w:rPr>
          <w:rFonts w:cs="Arial"/>
          <w:sz w:val="22"/>
        </w:rPr>
      </w:pPr>
      <w:r>
        <w:rPr>
          <w:sz w:val="22"/>
        </w:rPr>
        <w:t>Departamentu honetan jasota daude egindako justifikazio guztiak, eta ez dago eragozpenik haiek zuri bidaltzeko, baldin eta dokumentazio-eskaera hori arauzko bideen bidez egiten bada.</w:t>
      </w:r>
    </w:p>
    <w:p w:rsidR="00F50410" w:rsidRDefault="0006150C" w:rsidP="00CA544A">
      <w:pPr>
        <w:spacing w:after="120"/>
        <w:rPr>
          <w:rFonts w:cs="Arial"/>
          <w:sz w:val="22"/>
        </w:rPr>
      </w:pPr>
      <w:r>
        <w:rPr>
          <w:sz w:val="22"/>
        </w:rPr>
        <w:t>Hori guztia jakinarazten dizut Nafarroako Parlamentuko Erregelamenduaren 194. artikulua betez.</w:t>
      </w:r>
    </w:p>
    <w:p w:rsidR="0006150C" w:rsidRPr="003E7DFE" w:rsidRDefault="0006150C" w:rsidP="00CA544A">
      <w:pPr>
        <w:spacing w:after="120"/>
        <w:jc w:val="center"/>
        <w:outlineLvl w:val="0"/>
        <w:rPr>
          <w:rFonts w:cs="Arial"/>
          <w:sz w:val="22"/>
        </w:rPr>
      </w:pPr>
      <w:r>
        <w:rPr>
          <w:sz w:val="22"/>
        </w:rPr>
        <w:t>Iruñean, 2020ko azaroaren 20an</w:t>
      </w:r>
    </w:p>
    <w:p w:rsidR="0006150C" w:rsidRPr="00F50410" w:rsidRDefault="00CD4DF7" w:rsidP="00F50410">
      <w:pPr>
        <w:spacing w:after="120"/>
        <w:jc w:val="center"/>
        <w:rPr>
          <w:rFonts w:cs="Arial"/>
          <w:sz w:val="22"/>
        </w:rPr>
      </w:pPr>
      <w:r>
        <w:rPr>
          <w:sz w:val="22"/>
        </w:rPr>
        <w:t>Eskubide Sozialetako kontseilaria: María Carmen Maeztu Villafranca</w:t>
      </w:r>
    </w:p>
    <w:sectPr w:rsidR="0006150C" w:rsidRPr="00F50410" w:rsidSect="00801B66">
      <w:headerReference w:type="default" r:id="rId8"/>
      <w:footerReference w:type="even" r:id="rId9"/>
      <w:footerReference w:type="default" r:id="rId10"/>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BC2" w:rsidRDefault="00787BC2">
      <w:r>
        <w:separator/>
      </w:r>
    </w:p>
  </w:endnote>
  <w:endnote w:type="continuationSeparator" w:id="0">
    <w:p w:rsidR="00787BC2" w:rsidRDefault="0078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sz w:val="20"/>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5C04F8">
      <w:rPr>
        <w:rStyle w:val="Nmerodepgina"/>
        <w:rFonts w:cs="Arial"/>
        <w:noProof/>
        <w:sz w:val="20"/>
        <w:szCs w:val="20"/>
      </w:rPr>
      <w:t>1</w:t>
    </w:r>
    <w:r w:rsidRPr="007A7B54">
      <w:rPr>
        <w:rStyle w:val="Nmerodepgina"/>
        <w:rFonts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BC2" w:rsidRDefault="00787BC2">
      <w:r>
        <w:separator/>
      </w:r>
    </w:p>
  </w:footnote>
  <w:footnote w:type="continuationSeparator" w:id="0">
    <w:p w:rsidR="00787BC2" w:rsidRDefault="00787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9D729DF"/>
    <w:multiLevelType w:val="hybridMultilevel"/>
    <w:tmpl w:val="0AD26F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5">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8">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5"/>
  </w:num>
  <w:num w:numId="4">
    <w:abstractNumId w:val="8"/>
  </w:num>
  <w:num w:numId="5">
    <w:abstractNumId w:val="7"/>
  </w:num>
  <w:num w:numId="6">
    <w:abstractNumId w:val="3"/>
  </w:num>
  <w:num w:numId="7">
    <w:abstractNumId w:val="4"/>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44BB4"/>
    <w:rsid w:val="00052058"/>
    <w:rsid w:val="00054FFC"/>
    <w:rsid w:val="0006150C"/>
    <w:rsid w:val="00065565"/>
    <w:rsid w:val="00081EBB"/>
    <w:rsid w:val="000869FD"/>
    <w:rsid w:val="000C1114"/>
    <w:rsid w:val="000C5A0A"/>
    <w:rsid w:val="000D11F4"/>
    <w:rsid w:val="001068E7"/>
    <w:rsid w:val="00112842"/>
    <w:rsid w:val="001207D5"/>
    <w:rsid w:val="0015056C"/>
    <w:rsid w:val="001566D9"/>
    <w:rsid w:val="00194A38"/>
    <w:rsid w:val="0019679B"/>
    <w:rsid w:val="001A1B4A"/>
    <w:rsid w:val="001D2F3E"/>
    <w:rsid w:val="001D6EBA"/>
    <w:rsid w:val="00225C7D"/>
    <w:rsid w:val="0023789D"/>
    <w:rsid w:val="00241092"/>
    <w:rsid w:val="00252442"/>
    <w:rsid w:val="00305612"/>
    <w:rsid w:val="003200D0"/>
    <w:rsid w:val="00332E76"/>
    <w:rsid w:val="003575FF"/>
    <w:rsid w:val="00360CD5"/>
    <w:rsid w:val="003770D5"/>
    <w:rsid w:val="003860DD"/>
    <w:rsid w:val="003926A4"/>
    <w:rsid w:val="00394EE0"/>
    <w:rsid w:val="003960F4"/>
    <w:rsid w:val="003B62F5"/>
    <w:rsid w:val="003E7CAB"/>
    <w:rsid w:val="003E7DFE"/>
    <w:rsid w:val="003F5D7D"/>
    <w:rsid w:val="004145B7"/>
    <w:rsid w:val="004376AA"/>
    <w:rsid w:val="00462A9A"/>
    <w:rsid w:val="0048239F"/>
    <w:rsid w:val="00493BB2"/>
    <w:rsid w:val="004D3ACF"/>
    <w:rsid w:val="004E53CE"/>
    <w:rsid w:val="005527D6"/>
    <w:rsid w:val="0055627E"/>
    <w:rsid w:val="0056046D"/>
    <w:rsid w:val="00560F7E"/>
    <w:rsid w:val="0058384E"/>
    <w:rsid w:val="005C04F8"/>
    <w:rsid w:val="005D4333"/>
    <w:rsid w:val="005E5A1A"/>
    <w:rsid w:val="005E7CD8"/>
    <w:rsid w:val="005F73CD"/>
    <w:rsid w:val="00625CDC"/>
    <w:rsid w:val="00630D27"/>
    <w:rsid w:val="006345F0"/>
    <w:rsid w:val="00641778"/>
    <w:rsid w:val="00652453"/>
    <w:rsid w:val="006566C9"/>
    <w:rsid w:val="00660977"/>
    <w:rsid w:val="0066390E"/>
    <w:rsid w:val="00666A3F"/>
    <w:rsid w:val="0068120C"/>
    <w:rsid w:val="006904C3"/>
    <w:rsid w:val="006D20A5"/>
    <w:rsid w:val="006E6321"/>
    <w:rsid w:val="006F2E41"/>
    <w:rsid w:val="007008C6"/>
    <w:rsid w:val="007130CC"/>
    <w:rsid w:val="0072343A"/>
    <w:rsid w:val="007477D1"/>
    <w:rsid w:val="007648EE"/>
    <w:rsid w:val="007704FF"/>
    <w:rsid w:val="0077073F"/>
    <w:rsid w:val="007749E1"/>
    <w:rsid w:val="00787BC2"/>
    <w:rsid w:val="007902DF"/>
    <w:rsid w:val="007A7B54"/>
    <w:rsid w:val="007C1800"/>
    <w:rsid w:val="007E0158"/>
    <w:rsid w:val="00801B66"/>
    <w:rsid w:val="0080339F"/>
    <w:rsid w:val="00807604"/>
    <w:rsid w:val="008230A2"/>
    <w:rsid w:val="00832DA8"/>
    <w:rsid w:val="00842D01"/>
    <w:rsid w:val="008436CF"/>
    <w:rsid w:val="008442C4"/>
    <w:rsid w:val="00847A4E"/>
    <w:rsid w:val="00865890"/>
    <w:rsid w:val="00872C74"/>
    <w:rsid w:val="008768AC"/>
    <w:rsid w:val="008836AD"/>
    <w:rsid w:val="008A7332"/>
    <w:rsid w:val="008B7359"/>
    <w:rsid w:val="008D7265"/>
    <w:rsid w:val="008F0A77"/>
    <w:rsid w:val="0093145F"/>
    <w:rsid w:val="0095493E"/>
    <w:rsid w:val="00970F18"/>
    <w:rsid w:val="00980A6E"/>
    <w:rsid w:val="009A245D"/>
    <w:rsid w:val="009B25C8"/>
    <w:rsid w:val="009C1765"/>
    <w:rsid w:val="009D7AC7"/>
    <w:rsid w:val="009F0400"/>
    <w:rsid w:val="009F57C2"/>
    <w:rsid w:val="00A159EF"/>
    <w:rsid w:val="00A447D7"/>
    <w:rsid w:val="00A90748"/>
    <w:rsid w:val="00AA28C2"/>
    <w:rsid w:val="00AA3582"/>
    <w:rsid w:val="00AA6EA2"/>
    <w:rsid w:val="00AB306A"/>
    <w:rsid w:val="00AE6045"/>
    <w:rsid w:val="00AF1536"/>
    <w:rsid w:val="00AF7BC7"/>
    <w:rsid w:val="00B123A0"/>
    <w:rsid w:val="00B6563A"/>
    <w:rsid w:val="00B67C4B"/>
    <w:rsid w:val="00B92A85"/>
    <w:rsid w:val="00BE434C"/>
    <w:rsid w:val="00BF65B2"/>
    <w:rsid w:val="00C01B8F"/>
    <w:rsid w:val="00C46301"/>
    <w:rsid w:val="00C517F4"/>
    <w:rsid w:val="00C703AD"/>
    <w:rsid w:val="00C70D9F"/>
    <w:rsid w:val="00C8667E"/>
    <w:rsid w:val="00CA18BC"/>
    <w:rsid w:val="00CA544A"/>
    <w:rsid w:val="00CB0E0F"/>
    <w:rsid w:val="00CB1CBC"/>
    <w:rsid w:val="00CB3E16"/>
    <w:rsid w:val="00CB6B91"/>
    <w:rsid w:val="00CC0679"/>
    <w:rsid w:val="00CD4DF7"/>
    <w:rsid w:val="00CD7DE9"/>
    <w:rsid w:val="00CE4740"/>
    <w:rsid w:val="00CE5F5F"/>
    <w:rsid w:val="00CF3726"/>
    <w:rsid w:val="00D16EAB"/>
    <w:rsid w:val="00D2220A"/>
    <w:rsid w:val="00D2483A"/>
    <w:rsid w:val="00D45F8B"/>
    <w:rsid w:val="00D51F68"/>
    <w:rsid w:val="00D54E7D"/>
    <w:rsid w:val="00D55513"/>
    <w:rsid w:val="00D60EEB"/>
    <w:rsid w:val="00DC2615"/>
    <w:rsid w:val="00DD3F5C"/>
    <w:rsid w:val="00E023C6"/>
    <w:rsid w:val="00E179F4"/>
    <w:rsid w:val="00E17CF0"/>
    <w:rsid w:val="00E20828"/>
    <w:rsid w:val="00E25FCA"/>
    <w:rsid w:val="00E26C41"/>
    <w:rsid w:val="00E4466D"/>
    <w:rsid w:val="00E46BEC"/>
    <w:rsid w:val="00E56279"/>
    <w:rsid w:val="00E6542D"/>
    <w:rsid w:val="00E7291A"/>
    <w:rsid w:val="00E81856"/>
    <w:rsid w:val="00EA2D5B"/>
    <w:rsid w:val="00EB1387"/>
    <w:rsid w:val="00EB5135"/>
    <w:rsid w:val="00EC209F"/>
    <w:rsid w:val="00EC31C9"/>
    <w:rsid w:val="00EC3319"/>
    <w:rsid w:val="00EC60D9"/>
    <w:rsid w:val="00ED55BF"/>
    <w:rsid w:val="00ED756F"/>
    <w:rsid w:val="00F009D6"/>
    <w:rsid w:val="00F15BE5"/>
    <w:rsid w:val="00F263F9"/>
    <w:rsid w:val="00F3516B"/>
    <w:rsid w:val="00F50410"/>
    <w:rsid w:val="00F50854"/>
    <w:rsid w:val="00FA6849"/>
    <w:rsid w:val="00FB7948"/>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table" w:styleId="Tablaconcuadrcula">
    <w:name w:val="Table Grid"/>
    <w:basedOn w:val="Tablanormal"/>
    <w:rsid w:val="00CB6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E17CF0"/>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E17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table" w:styleId="Tablaconcuadrcula">
    <w:name w:val="Table Grid"/>
    <w:basedOn w:val="Tablanormal"/>
    <w:rsid w:val="00CB6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E17CF0"/>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E17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648441654">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 w:id="1478914305">
      <w:bodyDiv w:val="1"/>
      <w:marLeft w:val="0"/>
      <w:marRight w:val="0"/>
      <w:marTop w:val="0"/>
      <w:marBottom w:val="0"/>
      <w:divBdr>
        <w:top w:val="none" w:sz="0" w:space="0" w:color="auto"/>
        <w:left w:val="none" w:sz="0" w:space="0" w:color="auto"/>
        <w:bottom w:val="none" w:sz="0" w:space="0" w:color="auto"/>
        <w:right w:val="none" w:sz="0" w:space="0" w:color="auto"/>
      </w:divBdr>
    </w:div>
    <w:div w:id="170413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386</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Iñaki De Santiago</cp:lastModifiedBy>
  <cp:revision>3</cp:revision>
  <cp:lastPrinted>2020-11-20T10:35:00Z</cp:lastPrinted>
  <dcterms:created xsi:type="dcterms:W3CDTF">2021-02-02T13:15:00Z</dcterms:created>
  <dcterms:modified xsi:type="dcterms:W3CDTF">2021-02-03T07:57:00Z</dcterms:modified>
</cp:coreProperties>
</file>