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53D" w:rsidRPr="005565A2" w:rsidRDefault="00EA453D" w:rsidP="005565A2">
      <w:pPr>
        <w:spacing w:line="360" w:lineRule="auto"/>
        <w:rPr>
          <w:rFonts w:ascii="Arial" w:hAnsi="Arial" w:cs="Arial"/>
          <w:sz w:val="18"/>
          <w:szCs w:val="18"/>
        </w:rPr>
      </w:pPr>
      <w:r w:rsidRPr="005565A2">
        <w:rPr>
          <w:rFonts w:ascii="Arial" w:hAnsi="Arial" w:cs="Arial"/>
          <w:sz w:val="18"/>
          <w:szCs w:val="18"/>
        </w:rPr>
        <w:t xml:space="preserve">La Consejera de Derechos Sociales del Gobierno de Navarra, en relación con las preguntas formuladas por la parlamentaria doña Maribel García Malo, adscrita al Grupo Parlamentario Navarra Suma, sobre el impacto económico de la distribución de fondos de la Conferencia Sectorial de Empleo y Asuntos Laborales en el presupuesto de ingresos y gastos del Gobierno de Navarra (10-20/PES-00276 y 10-20/PES-00277), tiene el honor de informarle lo siguiente: </w:t>
      </w:r>
    </w:p>
    <w:p w:rsidR="00EA453D" w:rsidRPr="005565A2" w:rsidRDefault="00EA453D" w:rsidP="005565A2">
      <w:pPr>
        <w:spacing w:line="360" w:lineRule="auto"/>
        <w:rPr>
          <w:rFonts w:ascii="Arial" w:hAnsi="Arial" w:cs="Arial"/>
          <w:sz w:val="18"/>
          <w:szCs w:val="18"/>
        </w:rPr>
      </w:pPr>
      <w:r w:rsidRPr="005565A2">
        <w:rPr>
          <w:rFonts w:ascii="Arial" w:hAnsi="Arial" w:cs="Arial"/>
          <w:sz w:val="18"/>
          <w:szCs w:val="18"/>
        </w:rPr>
        <w:t xml:space="preserve">En la reunión de la Conferencia Sectorial de Empleo y Asuntos Laborales celebrada el 30 de septiembre de 2020, se acordó la distribución de fondos a las CCAA correspondientes al apartado de formación y una cuantía adicional del apartado de empleo y modernización. </w:t>
      </w:r>
    </w:p>
    <w:p w:rsidR="00EA453D" w:rsidRPr="005565A2" w:rsidRDefault="00EA453D" w:rsidP="005565A2">
      <w:pPr>
        <w:spacing w:line="360" w:lineRule="auto"/>
        <w:rPr>
          <w:rFonts w:ascii="Arial" w:hAnsi="Arial" w:cs="Arial"/>
          <w:sz w:val="18"/>
          <w:szCs w:val="18"/>
        </w:rPr>
      </w:pPr>
      <w:r w:rsidRPr="005565A2">
        <w:rPr>
          <w:rFonts w:ascii="Arial" w:hAnsi="Arial" w:cs="Arial"/>
          <w:sz w:val="18"/>
          <w:szCs w:val="18"/>
        </w:rPr>
        <w:t xml:space="preserve">En el presupuesto de ingresos del Servicio Navarro de Empleo- </w:t>
      </w:r>
      <w:proofErr w:type="spellStart"/>
      <w:r w:rsidRPr="005565A2">
        <w:rPr>
          <w:rFonts w:ascii="Arial" w:hAnsi="Arial" w:cs="Arial"/>
          <w:sz w:val="18"/>
          <w:szCs w:val="18"/>
        </w:rPr>
        <w:t>Nafar</w:t>
      </w:r>
      <w:proofErr w:type="spellEnd"/>
      <w:r w:rsidRPr="005565A2">
        <w:rPr>
          <w:rFonts w:ascii="Arial" w:hAnsi="Arial" w:cs="Arial"/>
          <w:sz w:val="18"/>
          <w:szCs w:val="18"/>
        </w:rPr>
        <w:t xml:space="preserve"> </w:t>
      </w:r>
      <w:proofErr w:type="spellStart"/>
      <w:r w:rsidRPr="005565A2">
        <w:rPr>
          <w:rFonts w:ascii="Arial" w:hAnsi="Arial" w:cs="Arial"/>
          <w:sz w:val="18"/>
          <w:szCs w:val="18"/>
        </w:rPr>
        <w:t>Lansare</w:t>
      </w:r>
      <w:proofErr w:type="spellEnd"/>
      <w:r w:rsidRPr="005565A2">
        <w:rPr>
          <w:rFonts w:ascii="Arial" w:hAnsi="Arial" w:cs="Arial"/>
          <w:sz w:val="18"/>
          <w:szCs w:val="18"/>
        </w:rPr>
        <w:t xml:space="preserve"> para 2020 se había previsto 22.550.000 € en concepto de transferencia del SEPE por programas de formación, empleo y modernización. La cifra finalmente percibida por Navarra asciende a 21.788.590 €, bastante similar a la prevista. </w:t>
      </w:r>
    </w:p>
    <w:p w:rsidR="005F476B" w:rsidRPr="005565A2" w:rsidRDefault="00EA453D" w:rsidP="005565A2">
      <w:pPr>
        <w:spacing w:line="360" w:lineRule="auto"/>
        <w:rPr>
          <w:rFonts w:ascii="Arial" w:hAnsi="Arial" w:cs="Arial"/>
          <w:sz w:val="18"/>
          <w:szCs w:val="18"/>
        </w:rPr>
      </w:pPr>
      <w:r w:rsidRPr="005565A2">
        <w:rPr>
          <w:rFonts w:ascii="Arial" w:hAnsi="Arial" w:cs="Arial"/>
          <w:sz w:val="18"/>
          <w:szCs w:val="18"/>
        </w:rPr>
        <w:t>El desglose de las partidas presupuestarias de ingresos es el siguiente:</w:t>
      </w:r>
    </w:p>
    <w:tbl>
      <w:tblPr>
        <w:tblW w:w="9414" w:type="dxa"/>
        <w:tblInd w:w="5" w:type="dxa"/>
        <w:tblLayout w:type="fixed"/>
        <w:tblCellMar>
          <w:left w:w="0" w:type="dxa"/>
          <w:right w:w="0" w:type="dxa"/>
        </w:tblCellMar>
        <w:tblLook w:val="0000" w:firstRow="0" w:lastRow="0" w:firstColumn="0" w:lastColumn="0" w:noHBand="0" w:noVBand="0"/>
      </w:tblPr>
      <w:tblGrid>
        <w:gridCol w:w="803"/>
        <w:gridCol w:w="795"/>
        <w:gridCol w:w="804"/>
        <w:gridCol w:w="804"/>
        <w:gridCol w:w="3550"/>
        <w:gridCol w:w="1468"/>
        <w:gridCol w:w="1190"/>
      </w:tblGrid>
      <w:tr w:rsidR="005565A2" w:rsidRPr="005565A2" w:rsidTr="005565A2">
        <w:trPr>
          <w:trHeight w:val="464"/>
        </w:trPr>
        <w:tc>
          <w:tcPr>
            <w:tcW w:w="803" w:type="dxa"/>
            <w:tcBorders>
              <w:top w:val="single" w:sz="4" w:space="0" w:color="auto"/>
              <w:left w:val="single" w:sz="4" w:space="0" w:color="auto"/>
              <w:bottom w:val="single" w:sz="4" w:space="0" w:color="auto"/>
              <w:right w:val="single" w:sz="4" w:space="0" w:color="auto"/>
            </w:tcBorders>
            <w:vAlign w:val="center"/>
          </w:tcPr>
          <w:p w:rsidR="005565A2" w:rsidRPr="005565A2" w:rsidRDefault="005565A2" w:rsidP="005565A2">
            <w:pPr>
              <w:pStyle w:val="Estilo"/>
              <w:spacing w:line="240" w:lineRule="atLeast"/>
              <w:jc w:val="center"/>
              <w:rPr>
                <w:b/>
                <w:w w:val="107"/>
                <w:sz w:val="16"/>
                <w:szCs w:val="16"/>
                <w:lang w:val="es-ES_tradnl"/>
              </w:rPr>
            </w:pPr>
            <w:proofErr w:type="spellStart"/>
            <w:r w:rsidRPr="005565A2">
              <w:rPr>
                <w:b/>
                <w:w w:val="107"/>
                <w:sz w:val="16"/>
                <w:szCs w:val="16"/>
                <w:lang w:val="es-ES_tradnl"/>
              </w:rPr>
              <w:t>Progr</w:t>
            </w:r>
            <w:proofErr w:type="spellEnd"/>
          </w:p>
        </w:tc>
        <w:tc>
          <w:tcPr>
            <w:tcW w:w="795" w:type="dxa"/>
            <w:tcBorders>
              <w:top w:val="single" w:sz="4" w:space="0" w:color="auto"/>
              <w:left w:val="single" w:sz="4" w:space="0" w:color="auto"/>
              <w:right w:val="single" w:sz="4" w:space="0" w:color="auto"/>
            </w:tcBorders>
            <w:vAlign w:val="center"/>
          </w:tcPr>
          <w:p w:rsidR="005565A2" w:rsidRPr="005565A2" w:rsidRDefault="005565A2" w:rsidP="005565A2">
            <w:pPr>
              <w:pStyle w:val="Estilo"/>
              <w:spacing w:line="240" w:lineRule="atLeast"/>
              <w:jc w:val="center"/>
              <w:rPr>
                <w:b/>
                <w:w w:val="107"/>
                <w:sz w:val="16"/>
                <w:szCs w:val="16"/>
                <w:lang w:val="es-ES_tradnl"/>
              </w:rPr>
            </w:pPr>
            <w:r w:rsidRPr="005565A2">
              <w:rPr>
                <w:b/>
                <w:w w:val="107"/>
                <w:sz w:val="16"/>
                <w:szCs w:val="16"/>
                <w:lang w:val="es-ES_tradnl"/>
              </w:rPr>
              <w:t>Centro gestor</w:t>
            </w:r>
          </w:p>
        </w:tc>
        <w:tc>
          <w:tcPr>
            <w:tcW w:w="804" w:type="dxa"/>
            <w:tcBorders>
              <w:top w:val="single" w:sz="4" w:space="0" w:color="auto"/>
              <w:left w:val="single" w:sz="4" w:space="0" w:color="auto"/>
              <w:bottom w:val="single" w:sz="4" w:space="0" w:color="auto"/>
              <w:right w:val="single" w:sz="4" w:space="0" w:color="auto"/>
            </w:tcBorders>
            <w:vAlign w:val="center"/>
          </w:tcPr>
          <w:p w:rsidR="005565A2" w:rsidRPr="005565A2" w:rsidRDefault="005565A2" w:rsidP="005565A2">
            <w:pPr>
              <w:pStyle w:val="Estilo"/>
              <w:spacing w:line="240" w:lineRule="atLeast"/>
              <w:jc w:val="center"/>
              <w:rPr>
                <w:b/>
                <w:w w:val="107"/>
                <w:sz w:val="16"/>
                <w:szCs w:val="16"/>
                <w:lang w:val="es-ES_tradnl"/>
              </w:rPr>
            </w:pPr>
            <w:proofErr w:type="spellStart"/>
            <w:r w:rsidRPr="005565A2">
              <w:rPr>
                <w:b/>
                <w:w w:val="107"/>
                <w:sz w:val="16"/>
                <w:szCs w:val="16"/>
                <w:lang w:val="es-ES_tradnl"/>
              </w:rPr>
              <w:t>Econ</w:t>
            </w:r>
            <w:proofErr w:type="spellEnd"/>
          </w:p>
        </w:tc>
        <w:tc>
          <w:tcPr>
            <w:tcW w:w="804" w:type="dxa"/>
            <w:tcBorders>
              <w:top w:val="single" w:sz="4" w:space="0" w:color="auto"/>
              <w:left w:val="single" w:sz="4" w:space="0" w:color="auto"/>
              <w:bottom w:val="single" w:sz="4" w:space="0" w:color="auto"/>
              <w:right w:val="single" w:sz="4" w:space="0" w:color="auto"/>
            </w:tcBorders>
            <w:vAlign w:val="center"/>
          </w:tcPr>
          <w:p w:rsidR="005565A2" w:rsidRPr="005565A2" w:rsidRDefault="005565A2" w:rsidP="005565A2">
            <w:pPr>
              <w:pStyle w:val="Estilo"/>
              <w:spacing w:line="240" w:lineRule="atLeast"/>
              <w:jc w:val="center"/>
              <w:rPr>
                <w:b/>
                <w:w w:val="107"/>
                <w:sz w:val="16"/>
                <w:szCs w:val="16"/>
                <w:lang w:val="es-ES_tradnl"/>
              </w:rPr>
            </w:pPr>
            <w:proofErr w:type="spellStart"/>
            <w:r w:rsidRPr="005565A2">
              <w:rPr>
                <w:b/>
                <w:w w:val="107"/>
                <w:sz w:val="16"/>
                <w:szCs w:val="16"/>
                <w:lang w:val="es-ES_tradnl"/>
              </w:rPr>
              <w:t>Func</w:t>
            </w:r>
            <w:proofErr w:type="spellEnd"/>
          </w:p>
        </w:tc>
        <w:tc>
          <w:tcPr>
            <w:tcW w:w="3550" w:type="dxa"/>
            <w:tcBorders>
              <w:top w:val="single" w:sz="4" w:space="0" w:color="auto"/>
              <w:left w:val="single" w:sz="4" w:space="0" w:color="auto"/>
              <w:bottom w:val="single" w:sz="4" w:space="0" w:color="auto"/>
              <w:right w:val="single" w:sz="4" w:space="0" w:color="auto"/>
            </w:tcBorders>
            <w:vAlign w:val="center"/>
          </w:tcPr>
          <w:p w:rsidR="005565A2" w:rsidRPr="005565A2" w:rsidRDefault="005565A2" w:rsidP="005565A2">
            <w:pPr>
              <w:pStyle w:val="Estilo"/>
              <w:spacing w:line="240" w:lineRule="atLeast"/>
              <w:jc w:val="center"/>
              <w:rPr>
                <w:b/>
                <w:w w:val="107"/>
                <w:sz w:val="16"/>
                <w:szCs w:val="16"/>
                <w:lang w:val="es-ES_tradnl"/>
              </w:rPr>
            </w:pPr>
            <w:r w:rsidRPr="005565A2">
              <w:rPr>
                <w:b/>
                <w:w w:val="107"/>
                <w:sz w:val="16"/>
                <w:szCs w:val="16"/>
                <w:lang w:val="es-ES_tradnl"/>
              </w:rPr>
              <w:t>Denominación</w:t>
            </w:r>
          </w:p>
        </w:tc>
        <w:tc>
          <w:tcPr>
            <w:tcW w:w="1468" w:type="dxa"/>
            <w:tcBorders>
              <w:top w:val="single" w:sz="4" w:space="0" w:color="auto"/>
              <w:left w:val="single" w:sz="4" w:space="0" w:color="auto"/>
              <w:right w:val="single" w:sz="4" w:space="0" w:color="auto"/>
            </w:tcBorders>
            <w:vAlign w:val="center"/>
          </w:tcPr>
          <w:p w:rsidR="005565A2" w:rsidRPr="005565A2" w:rsidRDefault="005565A2" w:rsidP="005565A2">
            <w:pPr>
              <w:pStyle w:val="Estilo"/>
              <w:spacing w:line="240" w:lineRule="atLeast"/>
              <w:jc w:val="center"/>
              <w:rPr>
                <w:b/>
                <w:w w:val="107"/>
                <w:sz w:val="16"/>
                <w:szCs w:val="16"/>
                <w:lang w:val="es-ES_tradnl"/>
              </w:rPr>
            </w:pPr>
            <w:r w:rsidRPr="005565A2">
              <w:rPr>
                <w:b/>
                <w:w w:val="107"/>
                <w:sz w:val="16"/>
                <w:szCs w:val="16"/>
                <w:lang w:val="es-ES_tradnl"/>
              </w:rPr>
              <w:t xml:space="preserve">INICIAL </w:t>
            </w:r>
            <w:r>
              <w:rPr>
                <w:b/>
                <w:w w:val="107"/>
                <w:sz w:val="16"/>
                <w:szCs w:val="16"/>
                <w:lang w:val="es-ES_tradnl"/>
              </w:rPr>
              <w:br/>
            </w:r>
            <w:r w:rsidRPr="005565A2">
              <w:rPr>
                <w:b/>
                <w:sz w:val="16"/>
                <w:szCs w:val="16"/>
                <w:lang w:val="es-ES_tradnl"/>
              </w:rPr>
              <w:t>2020</w:t>
            </w:r>
          </w:p>
        </w:tc>
        <w:tc>
          <w:tcPr>
            <w:tcW w:w="1190" w:type="dxa"/>
            <w:tcBorders>
              <w:top w:val="single" w:sz="4" w:space="0" w:color="auto"/>
              <w:left w:val="single" w:sz="4" w:space="0" w:color="auto"/>
              <w:bottom w:val="single" w:sz="4" w:space="0" w:color="auto"/>
              <w:right w:val="single" w:sz="4" w:space="0" w:color="auto"/>
            </w:tcBorders>
            <w:vAlign w:val="center"/>
          </w:tcPr>
          <w:p w:rsidR="005565A2" w:rsidRPr="005565A2" w:rsidRDefault="005565A2" w:rsidP="005565A2">
            <w:pPr>
              <w:pStyle w:val="Estilo"/>
              <w:spacing w:line="240" w:lineRule="atLeast"/>
              <w:jc w:val="center"/>
              <w:rPr>
                <w:b/>
                <w:sz w:val="16"/>
                <w:szCs w:val="16"/>
                <w:lang w:val="es-ES_tradnl"/>
              </w:rPr>
            </w:pPr>
            <w:r w:rsidRPr="005565A2">
              <w:rPr>
                <w:b/>
                <w:bCs/>
                <w:sz w:val="16"/>
                <w:szCs w:val="16"/>
                <w:lang w:val="es-ES_tradnl"/>
              </w:rPr>
              <w:t xml:space="preserve">REAL </w:t>
            </w:r>
            <w:r w:rsidRPr="005565A2">
              <w:rPr>
                <w:b/>
                <w:sz w:val="16"/>
                <w:szCs w:val="16"/>
                <w:lang w:val="es-ES_tradnl"/>
              </w:rPr>
              <w:t>2020</w:t>
            </w:r>
          </w:p>
        </w:tc>
      </w:tr>
      <w:tr w:rsidR="005565A2" w:rsidRPr="005565A2" w:rsidTr="005565A2">
        <w:trPr>
          <w:trHeight w:val="562"/>
        </w:trPr>
        <w:tc>
          <w:tcPr>
            <w:tcW w:w="803" w:type="dxa"/>
            <w:tcBorders>
              <w:top w:val="single" w:sz="4" w:space="0" w:color="auto"/>
              <w:left w:val="single" w:sz="4" w:space="0" w:color="auto"/>
              <w:bottom w:val="single" w:sz="4" w:space="0" w:color="auto"/>
              <w:right w:val="single" w:sz="4" w:space="0" w:color="auto"/>
            </w:tcBorders>
            <w:vAlign w:val="center"/>
          </w:tcPr>
          <w:p w:rsidR="005565A2" w:rsidRPr="005565A2" w:rsidRDefault="005565A2" w:rsidP="005565A2">
            <w:pPr>
              <w:pStyle w:val="Estilo"/>
              <w:spacing w:line="240" w:lineRule="atLeast"/>
              <w:jc w:val="right"/>
              <w:rPr>
                <w:sz w:val="16"/>
                <w:szCs w:val="16"/>
                <w:lang w:val="es-ES_tradnl"/>
              </w:rPr>
            </w:pPr>
            <w:r w:rsidRPr="005565A2">
              <w:rPr>
                <w:sz w:val="16"/>
                <w:szCs w:val="16"/>
                <w:lang w:val="es-ES_tradnl"/>
              </w:rPr>
              <w:t xml:space="preserve">950000 </w:t>
            </w:r>
          </w:p>
        </w:tc>
        <w:tc>
          <w:tcPr>
            <w:tcW w:w="795" w:type="dxa"/>
            <w:tcBorders>
              <w:top w:val="single" w:sz="4" w:space="0" w:color="auto"/>
              <w:left w:val="single" w:sz="4" w:space="0" w:color="auto"/>
              <w:bottom w:val="single" w:sz="4" w:space="0" w:color="auto"/>
              <w:right w:val="single" w:sz="4" w:space="0" w:color="auto"/>
            </w:tcBorders>
            <w:vAlign w:val="center"/>
          </w:tcPr>
          <w:p w:rsidR="005565A2" w:rsidRPr="005565A2" w:rsidRDefault="005565A2" w:rsidP="005565A2">
            <w:pPr>
              <w:pStyle w:val="Estilo"/>
              <w:spacing w:line="240" w:lineRule="atLeast"/>
              <w:jc w:val="right"/>
              <w:rPr>
                <w:sz w:val="16"/>
                <w:szCs w:val="16"/>
                <w:lang w:val="es-ES_tradnl"/>
              </w:rPr>
            </w:pPr>
            <w:r w:rsidRPr="005565A2">
              <w:rPr>
                <w:sz w:val="16"/>
                <w:szCs w:val="16"/>
                <w:lang w:val="es-ES_tradnl"/>
              </w:rPr>
              <w:t xml:space="preserve">96000 </w:t>
            </w:r>
          </w:p>
        </w:tc>
        <w:tc>
          <w:tcPr>
            <w:tcW w:w="804" w:type="dxa"/>
            <w:tcBorders>
              <w:top w:val="single" w:sz="4" w:space="0" w:color="auto"/>
              <w:left w:val="single" w:sz="4" w:space="0" w:color="auto"/>
              <w:bottom w:val="single" w:sz="4" w:space="0" w:color="auto"/>
              <w:right w:val="single" w:sz="4" w:space="0" w:color="auto"/>
            </w:tcBorders>
            <w:vAlign w:val="center"/>
          </w:tcPr>
          <w:p w:rsidR="005565A2" w:rsidRPr="005565A2" w:rsidRDefault="005565A2" w:rsidP="005565A2">
            <w:pPr>
              <w:pStyle w:val="Estilo"/>
              <w:spacing w:line="240" w:lineRule="atLeast"/>
              <w:jc w:val="right"/>
              <w:rPr>
                <w:sz w:val="16"/>
                <w:szCs w:val="16"/>
                <w:lang w:val="es-ES_tradnl"/>
              </w:rPr>
            </w:pPr>
            <w:r w:rsidRPr="005565A2">
              <w:rPr>
                <w:sz w:val="16"/>
                <w:szCs w:val="16"/>
                <w:lang w:val="es-ES_tradnl"/>
              </w:rPr>
              <w:t xml:space="preserve">4000 </w:t>
            </w:r>
          </w:p>
        </w:tc>
        <w:tc>
          <w:tcPr>
            <w:tcW w:w="804" w:type="dxa"/>
            <w:tcBorders>
              <w:top w:val="single" w:sz="4" w:space="0" w:color="auto"/>
              <w:left w:val="single" w:sz="4" w:space="0" w:color="auto"/>
              <w:bottom w:val="single" w:sz="4" w:space="0" w:color="auto"/>
              <w:right w:val="single" w:sz="4" w:space="0" w:color="auto"/>
            </w:tcBorders>
            <w:vAlign w:val="center"/>
          </w:tcPr>
          <w:p w:rsidR="005565A2" w:rsidRPr="005565A2" w:rsidRDefault="005565A2" w:rsidP="005565A2">
            <w:pPr>
              <w:pStyle w:val="Estilo"/>
              <w:spacing w:line="240" w:lineRule="atLeast"/>
              <w:jc w:val="right"/>
              <w:rPr>
                <w:sz w:val="16"/>
                <w:szCs w:val="16"/>
                <w:lang w:val="es-ES_tradnl"/>
              </w:rPr>
            </w:pPr>
            <w:r w:rsidRPr="005565A2">
              <w:rPr>
                <w:sz w:val="16"/>
                <w:szCs w:val="16"/>
                <w:lang w:val="es-ES_tradnl"/>
              </w:rPr>
              <w:t xml:space="preserve">000000 </w:t>
            </w:r>
          </w:p>
        </w:tc>
        <w:tc>
          <w:tcPr>
            <w:tcW w:w="3550" w:type="dxa"/>
            <w:tcBorders>
              <w:top w:val="single" w:sz="4" w:space="0" w:color="auto"/>
              <w:left w:val="single" w:sz="4" w:space="0" w:color="auto"/>
              <w:right w:val="single" w:sz="4" w:space="0" w:color="auto"/>
            </w:tcBorders>
            <w:vAlign w:val="center"/>
          </w:tcPr>
          <w:p w:rsidR="005565A2" w:rsidRPr="005565A2" w:rsidRDefault="005565A2" w:rsidP="005565A2">
            <w:pPr>
              <w:pStyle w:val="Estilo"/>
              <w:spacing w:line="240" w:lineRule="atLeast"/>
              <w:ind w:left="167"/>
              <w:rPr>
                <w:sz w:val="16"/>
                <w:szCs w:val="16"/>
                <w:lang w:val="es-ES_tradnl"/>
              </w:rPr>
            </w:pPr>
            <w:r w:rsidRPr="005565A2">
              <w:rPr>
                <w:sz w:val="16"/>
                <w:szCs w:val="16"/>
                <w:lang w:val="es-ES_tradnl"/>
              </w:rPr>
              <w:t xml:space="preserve">Plan Empleo. Transferencias del SPEE para modernización del SNE </w:t>
            </w:r>
          </w:p>
        </w:tc>
        <w:tc>
          <w:tcPr>
            <w:tcW w:w="1468" w:type="dxa"/>
            <w:tcBorders>
              <w:top w:val="single" w:sz="4" w:space="0" w:color="auto"/>
              <w:left w:val="single" w:sz="4" w:space="0" w:color="auto"/>
              <w:bottom w:val="single" w:sz="4" w:space="0" w:color="auto"/>
              <w:right w:val="single" w:sz="4" w:space="0" w:color="auto"/>
            </w:tcBorders>
            <w:vAlign w:val="center"/>
          </w:tcPr>
          <w:p w:rsidR="005565A2" w:rsidRPr="005565A2" w:rsidRDefault="005565A2" w:rsidP="005565A2">
            <w:pPr>
              <w:pStyle w:val="Estilo"/>
              <w:spacing w:line="240" w:lineRule="atLeast"/>
              <w:ind w:right="141"/>
              <w:jc w:val="right"/>
              <w:rPr>
                <w:sz w:val="16"/>
                <w:szCs w:val="16"/>
                <w:lang w:val="es-ES_tradnl"/>
              </w:rPr>
            </w:pPr>
            <w:r w:rsidRPr="005565A2">
              <w:rPr>
                <w:sz w:val="16"/>
                <w:szCs w:val="16"/>
                <w:lang w:val="es-ES_tradnl"/>
              </w:rPr>
              <w:t xml:space="preserve">650.000 </w:t>
            </w:r>
          </w:p>
        </w:tc>
        <w:tc>
          <w:tcPr>
            <w:tcW w:w="1190" w:type="dxa"/>
            <w:tcBorders>
              <w:top w:val="single" w:sz="4" w:space="0" w:color="auto"/>
              <w:left w:val="single" w:sz="4" w:space="0" w:color="auto"/>
              <w:bottom w:val="single" w:sz="4" w:space="0" w:color="auto"/>
              <w:right w:val="single" w:sz="4" w:space="0" w:color="auto"/>
            </w:tcBorders>
            <w:vAlign w:val="center"/>
          </w:tcPr>
          <w:p w:rsidR="005565A2" w:rsidRPr="005565A2" w:rsidRDefault="005565A2" w:rsidP="005565A2">
            <w:pPr>
              <w:pStyle w:val="Estilo"/>
              <w:spacing w:line="240" w:lineRule="atLeast"/>
              <w:ind w:right="156"/>
              <w:jc w:val="right"/>
              <w:rPr>
                <w:sz w:val="16"/>
                <w:szCs w:val="16"/>
                <w:lang w:val="es-ES_tradnl"/>
              </w:rPr>
            </w:pPr>
            <w:r w:rsidRPr="005565A2">
              <w:rPr>
                <w:sz w:val="16"/>
                <w:szCs w:val="16"/>
                <w:lang w:val="es-ES_tradnl"/>
              </w:rPr>
              <w:t xml:space="preserve">664.686 </w:t>
            </w:r>
          </w:p>
        </w:tc>
      </w:tr>
      <w:tr w:rsidR="005565A2" w:rsidRPr="005565A2" w:rsidTr="005565A2">
        <w:trPr>
          <w:trHeight w:val="699"/>
        </w:trPr>
        <w:tc>
          <w:tcPr>
            <w:tcW w:w="803" w:type="dxa"/>
            <w:tcBorders>
              <w:top w:val="single" w:sz="4" w:space="0" w:color="auto"/>
              <w:left w:val="single" w:sz="4" w:space="0" w:color="auto"/>
              <w:bottom w:val="single" w:sz="4" w:space="0" w:color="auto"/>
              <w:right w:val="single" w:sz="4" w:space="0" w:color="auto"/>
            </w:tcBorders>
            <w:vAlign w:val="center"/>
          </w:tcPr>
          <w:p w:rsidR="005565A2" w:rsidRPr="005565A2" w:rsidRDefault="005565A2" w:rsidP="005565A2">
            <w:pPr>
              <w:pStyle w:val="Estilo"/>
              <w:spacing w:line="240" w:lineRule="atLeast"/>
              <w:jc w:val="right"/>
              <w:rPr>
                <w:sz w:val="16"/>
                <w:szCs w:val="16"/>
                <w:lang w:val="es-ES_tradnl"/>
              </w:rPr>
            </w:pPr>
            <w:r w:rsidRPr="005565A2">
              <w:rPr>
                <w:sz w:val="16"/>
                <w:szCs w:val="16"/>
                <w:lang w:val="es-ES_tradnl"/>
              </w:rPr>
              <w:t xml:space="preserve">950001 </w:t>
            </w:r>
          </w:p>
        </w:tc>
        <w:tc>
          <w:tcPr>
            <w:tcW w:w="795" w:type="dxa"/>
            <w:tcBorders>
              <w:top w:val="single" w:sz="4" w:space="0" w:color="auto"/>
              <w:left w:val="single" w:sz="4" w:space="0" w:color="auto"/>
              <w:bottom w:val="single" w:sz="4" w:space="0" w:color="auto"/>
              <w:right w:val="single" w:sz="4" w:space="0" w:color="auto"/>
            </w:tcBorders>
            <w:vAlign w:val="center"/>
          </w:tcPr>
          <w:p w:rsidR="005565A2" w:rsidRPr="005565A2" w:rsidRDefault="005565A2" w:rsidP="005565A2">
            <w:pPr>
              <w:pStyle w:val="Estilo"/>
              <w:spacing w:line="240" w:lineRule="atLeast"/>
              <w:jc w:val="right"/>
              <w:rPr>
                <w:sz w:val="16"/>
                <w:szCs w:val="16"/>
                <w:lang w:val="es-ES_tradnl"/>
              </w:rPr>
            </w:pPr>
            <w:r w:rsidRPr="005565A2">
              <w:rPr>
                <w:sz w:val="16"/>
                <w:szCs w:val="16"/>
                <w:lang w:val="es-ES_tradnl"/>
              </w:rPr>
              <w:t xml:space="preserve">96100 </w:t>
            </w:r>
          </w:p>
        </w:tc>
        <w:tc>
          <w:tcPr>
            <w:tcW w:w="804" w:type="dxa"/>
            <w:tcBorders>
              <w:top w:val="single" w:sz="4" w:space="0" w:color="auto"/>
              <w:left w:val="single" w:sz="4" w:space="0" w:color="auto"/>
              <w:bottom w:val="single" w:sz="4" w:space="0" w:color="auto"/>
              <w:right w:val="single" w:sz="4" w:space="0" w:color="auto"/>
            </w:tcBorders>
            <w:vAlign w:val="center"/>
          </w:tcPr>
          <w:p w:rsidR="005565A2" w:rsidRPr="005565A2" w:rsidRDefault="005565A2" w:rsidP="005565A2">
            <w:pPr>
              <w:pStyle w:val="Estilo"/>
              <w:spacing w:line="240" w:lineRule="atLeast"/>
              <w:jc w:val="right"/>
              <w:rPr>
                <w:sz w:val="16"/>
                <w:szCs w:val="16"/>
                <w:lang w:val="es-ES_tradnl"/>
              </w:rPr>
            </w:pPr>
            <w:r w:rsidRPr="005565A2">
              <w:rPr>
                <w:sz w:val="16"/>
                <w:szCs w:val="16"/>
                <w:lang w:val="es-ES_tradnl"/>
              </w:rPr>
              <w:t xml:space="preserve">4000 </w:t>
            </w:r>
          </w:p>
        </w:tc>
        <w:tc>
          <w:tcPr>
            <w:tcW w:w="804" w:type="dxa"/>
            <w:tcBorders>
              <w:top w:val="single" w:sz="4" w:space="0" w:color="auto"/>
              <w:left w:val="single" w:sz="4" w:space="0" w:color="auto"/>
              <w:bottom w:val="single" w:sz="4" w:space="0" w:color="auto"/>
              <w:right w:val="single" w:sz="4" w:space="0" w:color="auto"/>
            </w:tcBorders>
            <w:vAlign w:val="center"/>
          </w:tcPr>
          <w:p w:rsidR="005565A2" w:rsidRPr="005565A2" w:rsidRDefault="005565A2" w:rsidP="005565A2">
            <w:pPr>
              <w:pStyle w:val="Estilo"/>
              <w:spacing w:line="240" w:lineRule="atLeast"/>
              <w:jc w:val="right"/>
              <w:rPr>
                <w:sz w:val="16"/>
                <w:szCs w:val="16"/>
                <w:lang w:val="es-ES_tradnl"/>
              </w:rPr>
            </w:pPr>
            <w:r w:rsidRPr="005565A2">
              <w:rPr>
                <w:sz w:val="16"/>
                <w:szCs w:val="16"/>
                <w:lang w:val="es-ES_tradnl"/>
              </w:rPr>
              <w:t xml:space="preserve">000002 </w:t>
            </w:r>
          </w:p>
        </w:tc>
        <w:tc>
          <w:tcPr>
            <w:tcW w:w="3550" w:type="dxa"/>
            <w:tcBorders>
              <w:top w:val="single" w:sz="4" w:space="0" w:color="auto"/>
              <w:left w:val="single" w:sz="4" w:space="0" w:color="auto"/>
              <w:right w:val="single" w:sz="4" w:space="0" w:color="auto"/>
            </w:tcBorders>
            <w:vAlign w:val="center"/>
          </w:tcPr>
          <w:p w:rsidR="005565A2" w:rsidRPr="005565A2" w:rsidRDefault="005565A2" w:rsidP="005565A2">
            <w:pPr>
              <w:pStyle w:val="Estilo"/>
              <w:spacing w:line="240" w:lineRule="atLeast"/>
              <w:ind w:left="167"/>
              <w:rPr>
                <w:sz w:val="16"/>
                <w:szCs w:val="16"/>
                <w:lang w:val="es-ES_tradnl"/>
              </w:rPr>
            </w:pPr>
            <w:r w:rsidRPr="005565A2">
              <w:rPr>
                <w:sz w:val="16"/>
                <w:szCs w:val="16"/>
                <w:lang w:val="es-ES_tradnl"/>
              </w:rPr>
              <w:t xml:space="preserve">Plan Empleo. Transferencias del SPEE para políticas activas de empleo </w:t>
            </w:r>
          </w:p>
        </w:tc>
        <w:tc>
          <w:tcPr>
            <w:tcW w:w="1468" w:type="dxa"/>
            <w:tcBorders>
              <w:top w:val="single" w:sz="4" w:space="0" w:color="auto"/>
              <w:left w:val="single" w:sz="4" w:space="0" w:color="auto"/>
              <w:bottom w:val="single" w:sz="4" w:space="0" w:color="auto"/>
              <w:right w:val="single" w:sz="4" w:space="0" w:color="auto"/>
            </w:tcBorders>
            <w:vAlign w:val="center"/>
          </w:tcPr>
          <w:p w:rsidR="005565A2" w:rsidRPr="005565A2" w:rsidRDefault="005565A2" w:rsidP="005565A2">
            <w:pPr>
              <w:pStyle w:val="Estilo"/>
              <w:spacing w:line="240" w:lineRule="atLeast"/>
              <w:ind w:right="141"/>
              <w:jc w:val="right"/>
              <w:rPr>
                <w:sz w:val="16"/>
                <w:szCs w:val="16"/>
                <w:lang w:val="es-ES_tradnl"/>
              </w:rPr>
            </w:pPr>
            <w:r w:rsidRPr="005565A2">
              <w:rPr>
                <w:sz w:val="16"/>
                <w:szCs w:val="16"/>
                <w:lang w:val="es-ES_tradnl"/>
              </w:rPr>
              <w:t xml:space="preserve">10.300.000 </w:t>
            </w:r>
          </w:p>
        </w:tc>
        <w:tc>
          <w:tcPr>
            <w:tcW w:w="1190" w:type="dxa"/>
            <w:tcBorders>
              <w:top w:val="single" w:sz="4" w:space="0" w:color="auto"/>
              <w:left w:val="single" w:sz="4" w:space="0" w:color="auto"/>
              <w:bottom w:val="single" w:sz="4" w:space="0" w:color="auto"/>
              <w:right w:val="single" w:sz="4" w:space="0" w:color="auto"/>
            </w:tcBorders>
            <w:vAlign w:val="center"/>
          </w:tcPr>
          <w:p w:rsidR="005565A2" w:rsidRPr="005565A2" w:rsidRDefault="005565A2" w:rsidP="005565A2">
            <w:pPr>
              <w:pStyle w:val="Estilo"/>
              <w:spacing w:line="240" w:lineRule="atLeast"/>
              <w:ind w:right="156"/>
              <w:jc w:val="right"/>
              <w:rPr>
                <w:sz w:val="16"/>
                <w:szCs w:val="16"/>
                <w:lang w:val="es-ES_tradnl"/>
              </w:rPr>
            </w:pPr>
            <w:r w:rsidRPr="005565A2">
              <w:rPr>
                <w:sz w:val="16"/>
                <w:szCs w:val="16"/>
                <w:lang w:val="es-ES_tradnl"/>
              </w:rPr>
              <w:t xml:space="preserve">11.689.662 </w:t>
            </w:r>
          </w:p>
        </w:tc>
      </w:tr>
      <w:tr w:rsidR="005565A2" w:rsidRPr="005565A2" w:rsidTr="005565A2">
        <w:trPr>
          <w:trHeight w:val="700"/>
        </w:trPr>
        <w:tc>
          <w:tcPr>
            <w:tcW w:w="803" w:type="dxa"/>
            <w:tcBorders>
              <w:top w:val="single" w:sz="4" w:space="0" w:color="auto"/>
              <w:left w:val="single" w:sz="4" w:space="0" w:color="auto"/>
              <w:bottom w:val="single" w:sz="4" w:space="0" w:color="auto"/>
              <w:right w:val="single" w:sz="4" w:space="0" w:color="auto"/>
            </w:tcBorders>
            <w:vAlign w:val="center"/>
          </w:tcPr>
          <w:p w:rsidR="005565A2" w:rsidRPr="005565A2" w:rsidRDefault="005565A2" w:rsidP="005565A2">
            <w:pPr>
              <w:pStyle w:val="Estilo"/>
              <w:spacing w:line="240" w:lineRule="atLeast"/>
              <w:jc w:val="right"/>
              <w:rPr>
                <w:sz w:val="16"/>
                <w:szCs w:val="16"/>
                <w:lang w:val="es-ES_tradnl"/>
              </w:rPr>
            </w:pPr>
            <w:r w:rsidRPr="005565A2">
              <w:rPr>
                <w:sz w:val="16"/>
                <w:szCs w:val="16"/>
                <w:lang w:val="es-ES_tradnl"/>
              </w:rPr>
              <w:t xml:space="preserve">950002 </w:t>
            </w:r>
          </w:p>
        </w:tc>
        <w:tc>
          <w:tcPr>
            <w:tcW w:w="795" w:type="dxa"/>
            <w:tcBorders>
              <w:top w:val="single" w:sz="4" w:space="0" w:color="auto"/>
              <w:left w:val="single" w:sz="4" w:space="0" w:color="auto"/>
              <w:bottom w:val="single" w:sz="4" w:space="0" w:color="auto"/>
              <w:right w:val="single" w:sz="4" w:space="0" w:color="auto"/>
            </w:tcBorders>
            <w:vAlign w:val="center"/>
          </w:tcPr>
          <w:p w:rsidR="005565A2" w:rsidRPr="005565A2" w:rsidRDefault="005565A2" w:rsidP="005565A2">
            <w:pPr>
              <w:pStyle w:val="Estilo"/>
              <w:spacing w:line="240" w:lineRule="atLeast"/>
              <w:jc w:val="right"/>
              <w:rPr>
                <w:sz w:val="16"/>
                <w:szCs w:val="16"/>
                <w:lang w:val="es-ES_tradnl"/>
              </w:rPr>
            </w:pPr>
            <w:r w:rsidRPr="005565A2">
              <w:rPr>
                <w:sz w:val="16"/>
                <w:szCs w:val="16"/>
                <w:lang w:val="es-ES_tradnl"/>
              </w:rPr>
              <w:t xml:space="preserve">96200 </w:t>
            </w:r>
          </w:p>
        </w:tc>
        <w:tc>
          <w:tcPr>
            <w:tcW w:w="804" w:type="dxa"/>
            <w:tcBorders>
              <w:top w:val="single" w:sz="4" w:space="0" w:color="auto"/>
              <w:left w:val="single" w:sz="4" w:space="0" w:color="auto"/>
              <w:bottom w:val="single" w:sz="4" w:space="0" w:color="auto"/>
              <w:right w:val="single" w:sz="4" w:space="0" w:color="auto"/>
            </w:tcBorders>
            <w:vAlign w:val="center"/>
          </w:tcPr>
          <w:p w:rsidR="005565A2" w:rsidRPr="005565A2" w:rsidRDefault="005565A2" w:rsidP="005565A2">
            <w:pPr>
              <w:pStyle w:val="Estilo"/>
              <w:spacing w:line="240" w:lineRule="atLeast"/>
              <w:jc w:val="right"/>
              <w:rPr>
                <w:sz w:val="16"/>
                <w:szCs w:val="16"/>
                <w:lang w:val="es-ES_tradnl"/>
              </w:rPr>
            </w:pPr>
            <w:r w:rsidRPr="005565A2">
              <w:rPr>
                <w:sz w:val="16"/>
                <w:szCs w:val="16"/>
                <w:lang w:val="es-ES_tradnl"/>
              </w:rPr>
              <w:t xml:space="preserve">4000 </w:t>
            </w:r>
          </w:p>
        </w:tc>
        <w:tc>
          <w:tcPr>
            <w:tcW w:w="804" w:type="dxa"/>
            <w:tcBorders>
              <w:top w:val="single" w:sz="4" w:space="0" w:color="auto"/>
              <w:left w:val="single" w:sz="4" w:space="0" w:color="auto"/>
              <w:bottom w:val="single" w:sz="4" w:space="0" w:color="auto"/>
              <w:right w:val="single" w:sz="4" w:space="0" w:color="auto"/>
            </w:tcBorders>
            <w:vAlign w:val="center"/>
          </w:tcPr>
          <w:p w:rsidR="005565A2" w:rsidRPr="005565A2" w:rsidRDefault="005565A2" w:rsidP="005565A2">
            <w:pPr>
              <w:pStyle w:val="Estilo"/>
              <w:spacing w:line="240" w:lineRule="atLeast"/>
              <w:jc w:val="right"/>
              <w:rPr>
                <w:sz w:val="16"/>
                <w:szCs w:val="16"/>
                <w:lang w:val="es-ES_tradnl"/>
              </w:rPr>
            </w:pPr>
            <w:r w:rsidRPr="005565A2">
              <w:rPr>
                <w:sz w:val="16"/>
                <w:szCs w:val="16"/>
                <w:lang w:val="es-ES_tradnl"/>
              </w:rPr>
              <w:t xml:space="preserve">000000 </w:t>
            </w:r>
          </w:p>
        </w:tc>
        <w:tc>
          <w:tcPr>
            <w:tcW w:w="3550" w:type="dxa"/>
            <w:tcBorders>
              <w:top w:val="single" w:sz="4" w:space="0" w:color="auto"/>
              <w:left w:val="single" w:sz="4" w:space="0" w:color="auto"/>
              <w:right w:val="single" w:sz="4" w:space="0" w:color="auto"/>
            </w:tcBorders>
            <w:vAlign w:val="center"/>
          </w:tcPr>
          <w:p w:rsidR="005565A2" w:rsidRPr="005565A2" w:rsidRDefault="005565A2" w:rsidP="005565A2">
            <w:pPr>
              <w:pStyle w:val="Estilo"/>
              <w:spacing w:line="240" w:lineRule="atLeast"/>
              <w:ind w:left="167"/>
              <w:rPr>
                <w:sz w:val="16"/>
                <w:szCs w:val="16"/>
                <w:lang w:val="es-ES_tradnl"/>
              </w:rPr>
            </w:pPr>
            <w:r w:rsidRPr="005565A2">
              <w:rPr>
                <w:sz w:val="16"/>
                <w:szCs w:val="16"/>
                <w:lang w:val="es-ES_tradnl"/>
              </w:rPr>
              <w:t xml:space="preserve">Plan Empleo. Transferencias del SPEE para programas de formación para el empleo </w:t>
            </w:r>
          </w:p>
        </w:tc>
        <w:tc>
          <w:tcPr>
            <w:tcW w:w="1468" w:type="dxa"/>
            <w:tcBorders>
              <w:top w:val="single" w:sz="4" w:space="0" w:color="auto"/>
              <w:left w:val="single" w:sz="4" w:space="0" w:color="auto"/>
              <w:bottom w:val="single" w:sz="4" w:space="0" w:color="auto"/>
              <w:right w:val="single" w:sz="4" w:space="0" w:color="auto"/>
            </w:tcBorders>
            <w:vAlign w:val="center"/>
          </w:tcPr>
          <w:p w:rsidR="005565A2" w:rsidRPr="005565A2" w:rsidRDefault="005565A2" w:rsidP="005565A2">
            <w:pPr>
              <w:pStyle w:val="Estilo"/>
              <w:spacing w:line="240" w:lineRule="atLeast"/>
              <w:ind w:right="141"/>
              <w:jc w:val="right"/>
              <w:rPr>
                <w:sz w:val="16"/>
                <w:szCs w:val="16"/>
                <w:lang w:val="es-ES_tradnl"/>
              </w:rPr>
            </w:pPr>
            <w:r w:rsidRPr="005565A2">
              <w:rPr>
                <w:sz w:val="16"/>
                <w:szCs w:val="16"/>
                <w:lang w:val="es-ES_tradnl"/>
              </w:rPr>
              <w:t xml:space="preserve">11.600.000 </w:t>
            </w:r>
          </w:p>
        </w:tc>
        <w:tc>
          <w:tcPr>
            <w:tcW w:w="1190" w:type="dxa"/>
            <w:tcBorders>
              <w:top w:val="single" w:sz="4" w:space="0" w:color="auto"/>
              <w:left w:val="single" w:sz="4" w:space="0" w:color="auto"/>
              <w:bottom w:val="single" w:sz="4" w:space="0" w:color="auto"/>
              <w:right w:val="single" w:sz="4" w:space="0" w:color="auto"/>
            </w:tcBorders>
            <w:vAlign w:val="center"/>
          </w:tcPr>
          <w:p w:rsidR="005565A2" w:rsidRPr="005565A2" w:rsidRDefault="005565A2" w:rsidP="005565A2">
            <w:pPr>
              <w:pStyle w:val="Estilo"/>
              <w:spacing w:line="240" w:lineRule="atLeast"/>
              <w:ind w:right="156"/>
              <w:jc w:val="right"/>
              <w:rPr>
                <w:sz w:val="16"/>
                <w:szCs w:val="16"/>
                <w:lang w:val="es-ES_tradnl"/>
              </w:rPr>
            </w:pPr>
            <w:r w:rsidRPr="005565A2">
              <w:rPr>
                <w:sz w:val="16"/>
                <w:szCs w:val="16"/>
                <w:lang w:val="es-ES_tradnl"/>
              </w:rPr>
              <w:t xml:space="preserve">9.434.242 </w:t>
            </w:r>
          </w:p>
        </w:tc>
      </w:tr>
      <w:tr w:rsidR="005565A2" w:rsidRPr="005565A2" w:rsidTr="005565A2">
        <w:trPr>
          <w:trHeight w:hRule="exact" w:val="442"/>
        </w:trPr>
        <w:tc>
          <w:tcPr>
            <w:tcW w:w="803" w:type="dxa"/>
            <w:tcBorders>
              <w:top w:val="single" w:sz="4" w:space="0" w:color="auto"/>
              <w:left w:val="single" w:sz="4" w:space="0" w:color="auto"/>
              <w:bottom w:val="single" w:sz="4" w:space="0" w:color="auto"/>
              <w:right w:val="single" w:sz="4" w:space="0" w:color="auto"/>
            </w:tcBorders>
            <w:vAlign w:val="center"/>
          </w:tcPr>
          <w:p w:rsidR="00EA453D" w:rsidRPr="005565A2" w:rsidRDefault="00EA453D" w:rsidP="005565A2">
            <w:pPr>
              <w:pStyle w:val="Estilo"/>
              <w:spacing w:line="240" w:lineRule="atLeast"/>
              <w:rPr>
                <w:sz w:val="16"/>
                <w:szCs w:val="16"/>
                <w:lang w:val="es-ES_tradnl"/>
              </w:rPr>
            </w:pPr>
          </w:p>
        </w:tc>
        <w:tc>
          <w:tcPr>
            <w:tcW w:w="795" w:type="dxa"/>
            <w:tcBorders>
              <w:top w:val="single" w:sz="4" w:space="0" w:color="auto"/>
              <w:left w:val="single" w:sz="4" w:space="0" w:color="auto"/>
              <w:bottom w:val="single" w:sz="4" w:space="0" w:color="auto"/>
              <w:right w:val="single" w:sz="4" w:space="0" w:color="auto"/>
            </w:tcBorders>
            <w:vAlign w:val="center"/>
          </w:tcPr>
          <w:p w:rsidR="00EA453D" w:rsidRPr="005565A2" w:rsidRDefault="00EA453D" w:rsidP="005565A2">
            <w:pPr>
              <w:pStyle w:val="Estilo"/>
              <w:spacing w:line="240" w:lineRule="atLeast"/>
              <w:jc w:val="center"/>
              <w:rPr>
                <w:sz w:val="16"/>
                <w:szCs w:val="16"/>
                <w:lang w:val="es-ES_tradnl"/>
              </w:rPr>
            </w:pPr>
          </w:p>
        </w:tc>
        <w:tc>
          <w:tcPr>
            <w:tcW w:w="804" w:type="dxa"/>
            <w:tcBorders>
              <w:top w:val="single" w:sz="4" w:space="0" w:color="auto"/>
              <w:left w:val="single" w:sz="4" w:space="0" w:color="auto"/>
              <w:bottom w:val="single" w:sz="4" w:space="0" w:color="auto"/>
              <w:right w:val="single" w:sz="4" w:space="0" w:color="auto"/>
            </w:tcBorders>
            <w:vAlign w:val="center"/>
          </w:tcPr>
          <w:p w:rsidR="00EA453D" w:rsidRPr="005565A2" w:rsidRDefault="00EA453D" w:rsidP="005565A2">
            <w:pPr>
              <w:pStyle w:val="Estilo"/>
              <w:spacing w:line="240" w:lineRule="atLeast"/>
              <w:jc w:val="center"/>
              <w:rPr>
                <w:sz w:val="16"/>
                <w:szCs w:val="16"/>
                <w:lang w:val="es-ES_tradnl"/>
              </w:rPr>
            </w:pPr>
          </w:p>
        </w:tc>
        <w:tc>
          <w:tcPr>
            <w:tcW w:w="804" w:type="dxa"/>
            <w:tcBorders>
              <w:top w:val="single" w:sz="4" w:space="0" w:color="auto"/>
              <w:left w:val="single" w:sz="4" w:space="0" w:color="auto"/>
              <w:bottom w:val="single" w:sz="4" w:space="0" w:color="auto"/>
              <w:right w:val="single" w:sz="4" w:space="0" w:color="auto"/>
            </w:tcBorders>
            <w:vAlign w:val="center"/>
          </w:tcPr>
          <w:p w:rsidR="00EA453D" w:rsidRPr="005565A2" w:rsidRDefault="00EA453D" w:rsidP="005565A2">
            <w:pPr>
              <w:pStyle w:val="Estilo"/>
              <w:spacing w:line="240" w:lineRule="atLeast"/>
              <w:jc w:val="center"/>
              <w:rPr>
                <w:sz w:val="16"/>
                <w:szCs w:val="16"/>
                <w:lang w:val="es-ES_tradnl"/>
              </w:rPr>
            </w:pPr>
          </w:p>
        </w:tc>
        <w:tc>
          <w:tcPr>
            <w:tcW w:w="3550" w:type="dxa"/>
            <w:tcBorders>
              <w:top w:val="single" w:sz="4" w:space="0" w:color="auto"/>
              <w:left w:val="single" w:sz="4" w:space="0" w:color="auto"/>
              <w:bottom w:val="single" w:sz="4" w:space="0" w:color="auto"/>
              <w:right w:val="single" w:sz="4" w:space="0" w:color="auto"/>
            </w:tcBorders>
            <w:vAlign w:val="center"/>
          </w:tcPr>
          <w:p w:rsidR="00EA453D" w:rsidRPr="005565A2" w:rsidRDefault="00EA453D" w:rsidP="005565A2">
            <w:pPr>
              <w:pStyle w:val="Estilo"/>
              <w:spacing w:line="240" w:lineRule="atLeast"/>
              <w:ind w:left="167"/>
              <w:rPr>
                <w:sz w:val="16"/>
                <w:szCs w:val="16"/>
                <w:lang w:val="es-ES_tradnl"/>
              </w:rPr>
            </w:pPr>
            <w:r w:rsidRPr="005565A2">
              <w:rPr>
                <w:sz w:val="16"/>
                <w:szCs w:val="16"/>
                <w:lang w:val="es-ES_tradnl"/>
              </w:rPr>
              <w:t xml:space="preserve">TOTAL </w:t>
            </w:r>
          </w:p>
        </w:tc>
        <w:tc>
          <w:tcPr>
            <w:tcW w:w="1468" w:type="dxa"/>
            <w:tcBorders>
              <w:top w:val="single" w:sz="4" w:space="0" w:color="auto"/>
              <w:left w:val="single" w:sz="4" w:space="0" w:color="auto"/>
              <w:bottom w:val="single" w:sz="4" w:space="0" w:color="auto"/>
              <w:right w:val="single" w:sz="4" w:space="0" w:color="auto"/>
            </w:tcBorders>
            <w:vAlign w:val="center"/>
          </w:tcPr>
          <w:p w:rsidR="00EA453D" w:rsidRPr="005565A2" w:rsidRDefault="00EA453D" w:rsidP="005565A2">
            <w:pPr>
              <w:pStyle w:val="Estilo"/>
              <w:spacing w:line="240" w:lineRule="atLeast"/>
              <w:ind w:right="141"/>
              <w:jc w:val="right"/>
              <w:rPr>
                <w:sz w:val="16"/>
                <w:szCs w:val="16"/>
                <w:lang w:val="es-ES_tradnl"/>
              </w:rPr>
            </w:pPr>
            <w:r w:rsidRPr="005565A2">
              <w:rPr>
                <w:sz w:val="16"/>
                <w:szCs w:val="16"/>
                <w:lang w:val="es-ES_tradnl"/>
              </w:rPr>
              <w:t xml:space="preserve">22.550.000 </w:t>
            </w:r>
          </w:p>
        </w:tc>
        <w:tc>
          <w:tcPr>
            <w:tcW w:w="1190" w:type="dxa"/>
            <w:tcBorders>
              <w:top w:val="single" w:sz="4" w:space="0" w:color="auto"/>
              <w:left w:val="single" w:sz="4" w:space="0" w:color="auto"/>
              <w:bottom w:val="single" w:sz="4" w:space="0" w:color="auto"/>
              <w:right w:val="single" w:sz="4" w:space="0" w:color="auto"/>
            </w:tcBorders>
            <w:vAlign w:val="center"/>
          </w:tcPr>
          <w:p w:rsidR="00EA453D" w:rsidRPr="005565A2" w:rsidRDefault="00EA453D" w:rsidP="005565A2">
            <w:pPr>
              <w:pStyle w:val="Estilo"/>
              <w:spacing w:line="240" w:lineRule="atLeast"/>
              <w:ind w:right="156"/>
              <w:jc w:val="right"/>
              <w:rPr>
                <w:sz w:val="16"/>
                <w:szCs w:val="16"/>
                <w:lang w:val="es-ES_tradnl"/>
              </w:rPr>
            </w:pPr>
            <w:r w:rsidRPr="005565A2">
              <w:rPr>
                <w:sz w:val="16"/>
                <w:szCs w:val="16"/>
                <w:lang w:val="es-ES_tradnl"/>
              </w:rPr>
              <w:t xml:space="preserve">21.788.590 </w:t>
            </w:r>
          </w:p>
        </w:tc>
      </w:tr>
    </w:tbl>
    <w:p w:rsidR="00EA453D" w:rsidRPr="005565A2" w:rsidRDefault="00EA453D" w:rsidP="005565A2">
      <w:pPr>
        <w:spacing w:line="360" w:lineRule="auto"/>
        <w:rPr>
          <w:rFonts w:ascii="Arial" w:hAnsi="Arial" w:cs="Arial"/>
          <w:sz w:val="18"/>
          <w:szCs w:val="18"/>
        </w:rPr>
      </w:pPr>
    </w:p>
    <w:p w:rsidR="00EA453D" w:rsidRPr="005565A2" w:rsidRDefault="00EA453D" w:rsidP="005565A2">
      <w:pPr>
        <w:spacing w:line="360" w:lineRule="auto"/>
        <w:rPr>
          <w:rFonts w:ascii="Arial" w:hAnsi="Arial" w:cs="Arial"/>
          <w:sz w:val="18"/>
          <w:szCs w:val="18"/>
        </w:rPr>
      </w:pPr>
      <w:r w:rsidRPr="005565A2">
        <w:rPr>
          <w:rFonts w:ascii="Arial" w:hAnsi="Arial" w:cs="Arial"/>
          <w:sz w:val="18"/>
          <w:szCs w:val="18"/>
        </w:rPr>
        <w:t xml:space="preserve">No ha habido ninguna repercusión económica en relación con el presupuesto de gastos del Organismo. </w:t>
      </w:r>
    </w:p>
    <w:p w:rsidR="00EA453D" w:rsidRPr="005565A2" w:rsidRDefault="00EA453D" w:rsidP="005565A2">
      <w:pPr>
        <w:spacing w:line="360" w:lineRule="auto"/>
        <w:rPr>
          <w:rFonts w:ascii="Arial" w:hAnsi="Arial" w:cs="Arial"/>
          <w:sz w:val="18"/>
          <w:szCs w:val="18"/>
        </w:rPr>
      </w:pPr>
      <w:r w:rsidRPr="005565A2">
        <w:rPr>
          <w:rFonts w:ascii="Arial" w:hAnsi="Arial" w:cs="Arial"/>
          <w:sz w:val="18"/>
          <w:szCs w:val="18"/>
        </w:rPr>
        <w:t>Es cuanto tengo el honor de informar en cumplimiento del artículo 1</w:t>
      </w:r>
      <w:r w:rsidR="00E46E56">
        <w:rPr>
          <w:rFonts w:ascii="Arial" w:hAnsi="Arial" w:cs="Arial"/>
          <w:sz w:val="18"/>
          <w:szCs w:val="18"/>
        </w:rPr>
        <w:t>9</w:t>
      </w:r>
      <w:bookmarkStart w:id="0" w:name="_GoBack"/>
      <w:bookmarkEnd w:id="0"/>
      <w:r w:rsidRPr="005565A2">
        <w:rPr>
          <w:rFonts w:ascii="Arial" w:hAnsi="Arial" w:cs="Arial"/>
          <w:sz w:val="18"/>
          <w:szCs w:val="18"/>
        </w:rPr>
        <w:t xml:space="preserve">4 del Reglamento del Parlamento de Navarra. </w:t>
      </w:r>
    </w:p>
    <w:p w:rsidR="00EA453D" w:rsidRPr="005565A2" w:rsidRDefault="00EA453D" w:rsidP="005565A2">
      <w:pPr>
        <w:spacing w:line="360" w:lineRule="auto"/>
        <w:rPr>
          <w:rFonts w:ascii="Arial" w:hAnsi="Arial" w:cs="Arial"/>
          <w:sz w:val="18"/>
          <w:szCs w:val="18"/>
        </w:rPr>
      </w:pPr>
      <w:r w:rsidRPr="005565A2">
        <w:rPr>
          <w:rFonts w:ascii="Arial" w:hAnsi="Arial" w:cs="Arial"/>
          <w:sz w:val="18"/>
          <w:szCs w:val="18"/>
        </w:rPr>
        <w:t>Pamplona, 1 de diciembre de 2020</w:t>
      </w:r>
    </w:p>
    <w:p w:rsidR="00EA453D" w:rsidRPr="005565A2" w:rsidRDefault="00EA453D" w:rsidP="005565A2">
      <w:pPr>
        <w:spacing w:line="360" w:lineRule="auto"/>
        <w:rPr>
          <w:rFonts w:ascii="Arial" w:hAnsi="Arial" w:cs="Arial"/>
          <w:sz w:val="18"/>
          <w:szCs w:val="18"/>
        </w:rPr>
      </w:pPr>
      <w:r w:rsidRPr="005565A2">
        <w:rPr>
          <w:rFonts w:ascii="Arial" w:hAnsi="Arial" w:cs="Arial"/>
          <w:sz w:val="18"/>
          <w:szCs w:val="18"/>
        </w:rPr>
        <w:t>La Consejera de Derechos Sociales: María Carmen Maeztu Villafranca</w:t>
      </w:r>
    </w:p>
    <w:sectPr w:rsidR="00EA453D" w:rsidRPr="005565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2B5"/>
    <w:rsid w:val="003B32B5"/>
    <w:rsid w:val="005565A2"/>
    <w:rsid w:val="005F476B"/>
    <w:rsid w:val="007F4126"/>
    <w:rsid w:val="00BE4DEB"/>
    <w:rsid w:val="00E46E56"/>
    <w:rsid w:val="00EA45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EA453D"/>
    <w:pPr>
      <w:widowControl w:val="0"/>
      <w:autoSpaceDE w:val="0"/>
      <w:autoSpaceDN w:val="0"/>
      <w:adjustRightInd w:val="0"/>
      <w:spacing w:after="0" w:line="240" w:lineRule="auto"/>
    </w:pPr>
    <w:rPr>
      <w:rFonts w:ascii="Arial" w:eastAsia="Times New Roman" w:hAnsi="Arial" w:cs="Arial"/>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EA453D"/>
    <w:pPr>
      <w:widowControl w:val="0"/>
      <w:autoSpaceDE w:val="0"/>
      <w:autoSpaceDN w:val="0"/>
      <w:adjustRightInd w:val="0"/>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290</Words>
  <Characters>1596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5</cp:revision>
  <dcterms:created xsi:type="dcterms:W3CDTF">2020-12-10T13:01:00Z</dcterms:created>
  <dcterms:modified xsi:type="dcterms:W3CDTF">2021-02-02T13:13:00Z</dcterms:modified>
</cp:coreProperties>
</file>