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Gobernuaren </w:t>
      </w:r>
      <w:r>
        <w:rPr>
          <w:rStyle w:val="1"/>
          <w:caps w:val="true"/>
        </w:rPr>
        <w:t xml:space="preserve">Audenasa</w:t>
      </w:r>
      <w:r>
        <w:rPr>
          <w:rStyle w:val="1"/>
        </w:rPr>
        <w:t xml:space="preserve">rentzako ekarpena kalkulatzeko lantaldeari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honek eginiko 10-20/PES 109 espediente zenbakia duen galderaren erantzunean –Nafarroako Gobernuaren AUDENASArentzako ekarpena kalkulatzeari buruzkoa– ondokoa esaten zen: “Gaiaren garrantzia eta bere analisiaren konplexutasuna ikusirik, iragan maiatzaren 19an Audenasaren administrazio-kontseiluak, zeinaren % 50 Nafarroako Gobernuarena baita, erabaki zuen lantalde bat osatzea, egoera aztertu eta proposamen bat eginen duena, kasua bada, Nafarroako Gobernuari helarazteko”.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Nortzuek hartu duten parte lantalde horretan (izen-abizenak eta ordezkatzen duten erakundea).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Egin diren bilerak eta bilera horien datak.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Proposamena Nafarroako Gobernuari helarazi zitzaion data.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