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las infraestructuras deportivas de Navarra, formulada por el Ilmo. Sr. D. Alberto Bonilla Zafra.</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15 de febrero de 2021</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Don Alberto Bonilla Zafra, miembro de las Cortes de Navarra, adscrito al Grupo Parlamentario Navarra Suma, al amparo de lo dispuesto en el Reglamento de la Cámara, presenta una interpelación sobre la política general que va a desarrollar el Gobierno de Navarra en relación con las infraestructuras deportivas de Navarra.</w:t>
      </w:r>
    </w:p>
    <w:p>
      <w:pPr>
        <w:pStyle w:val="0"/>
        <w:suppressAutoHyphens w:val="false"/>
        <w:rPr>
          <w:rStyle w:val="1"/>
        </w:rPr>
      </w:pPr>
      <w:r>
        <w:rPr>
          <w:rStyle w:val="1"/>
        </w:rPr>
        <w:t xml:space="preserve">Pamplona, a 20 de enero de 2021</w:t>
      </w:r>
    </w:p>
    <w:p>
      <w:pPr>
        <w:pStyle w:val="0"/>
        <w:suppressAutoHyphens w:val="false"/>
        <w:rPr>
          <w:rStyle w:val="1"/>
        </w:rPr>
      </w:pPr>
      <w:r>
        <w:rPr>
          <w:rStyle w:val="1"/>
        </w:rPr>
        <w:t xml:space="preserve">El Parlamentario Foral: Alberto Bonilla Zafra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