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Ana Isabel Ansa Ascunce andreak aurkezturiko mozioa, zeinaren bidez Espainiako Gobernua premiatzen baita lehentasunezko txertaketa-taldeetan sar ditzan zenbait gaixotasun dauzkaten pertsonak.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Ana Ansa Ascunce andreak, Legebiltzarreko Erregelamenduan xedatuaren babesean, honako mozio hau aurkezten du, Osoko Bilkuran eztabaidatzeko.</w:t>
      </w:r>
    </w:p>
    <w:p>
      <w:pPr>
        <w:pStyle w:val="0"/>
        <w:suppressAutoHyphens w:val="false"/>
        <w:rPr>
          <w:rStyle w:val="1"/>
        </w:rPr>
      </w:pPr>
      <w:r>
        <w:rPr>
          <w:rStyle w:val="1"/>
        </w:rPr>
        <w:t xml:space="preserve">Honako hauek modu orokorrean aitortuta:</w:t>
      </w:r>
    </w:p>
    <w:p>
      <w:pPr>
        <w:pStyle w:val="0"/>
        <w:suppressAutoHyphens w:val="false"/>
        <w:rPr>
          <w:rStyle w:val="1"/>
        </w:rPr>
      </w:pPr>
      <w:r>
        <w:rPr>
          <w:rStyle w:val="1"/>
        </w:rPr>
        <w:t xml:space="preserve">– COVID-19aren pandemiaren larritasuna eta maila guztietan dituen ondorioak,</w:t>
      </w:r>
    </w:p>
    <w:p>
      <w:pPr>
        <w:pStyle w:val="0"/>
        <w:suppressAutoHyphens w:val="false"/>
        <w:rPr>
          <w:rStyle w:val="1"/>
        </w:rPr>
      </w:pPr>
      <w:r>
        <w:rPr>
          <w:rStyle w:val="1"/>
        </w:rPr>
        <w:t xml:space="preserve">– Eguneroko bizitzan, alor guztietan, dituen eragin guztiz desberdinak,</w:t>
      </w:r>
    </w:p>
    <w:p>
      <w:pPr>
        <w:pStyle w:val="0"/>
        <w:suppressAutoHyphens w:val="false"/>
        <w:rPr>
          <w:rStyle w:val="1"/>
        </w:rPr>
      </w:pPr>
      <w:r>
        <w:rPr>
          <w:rStyle w:val="1"/>
        </w:rPr>
        <w:t xml:space="preserve">– Arlo guztietatik (zientzia, osasuna, ekonomia, gizartea eta politika) pandemiaren aurka egiten ari diren ahalegin guztiak egokitzeko beharra,</w:t>
      </w:r>
    </w:p>
    <w:p>
      <w:pPr>
        <w:pStyle w:val="0"/>
        <w:suppressAutoHyphens w:val="false"/>
        <w:rPr>
          <w:rStyle w:val="1"/>
        </w:rPr>
      </w:pPr>
      <w:r>
        <w:rPr>
          <w:rStyle w:val="1"/>
        </w:rPr>
        <w:t xml:space="preserve">– Erne egoteko beharra, bai eta ahalegin horien planifikazioa egokitzekoa ere, infekzioaren ezaugarrietan eta populazioarekiko ezaugarriek dituzten aldaketen arabera,</w:t>
      </w:r>
    </w:p>
    <w:p>
      <w:pPr>
        <w:pStyle w:val="0"/>
        <w:suppressAutoHyphens w:val="false"/>
        <w:rPr>
          <w:rStyle w:val="1"/>
        </w:rPr>
      </w:pPr>
      <w:r>
        <w:rPr>
          <w:rStyle w:val="1"/>
        </w:rPr>
        <w:t xml:space="preserve">– Osasuneko profesionalak egiten ari diren lan itzela,</w:t>
      </w:r>
    </w:p>
    <w:p>
      <w:pPr>
        <w:pStyle w:val="0"/>
        <w:suppressAutoHyphens w:val="false"/>
        <w:rPr>
          <w:rStyle w:val="1"/>
        </w:rPr>
      </w:pPr>
      <w:r>
        <w:rPr>
          <w:rStyle w:val="1"/>
        </w:rPr>
        <w:t xml:space="preserve">– Ikerlarien lan goraipagarria,</w:t>
      </w:r>
    </w:p>
    <w:p>
      <w:pPr>
        <w:pStyle w:val="0"/>
        <w:suppressAutoHyphens w:val="false"/>
        <w:rPr>
          <w:rStyle w:val="1"/>
        </w:rPr>
      </w:pPr>
      <w:r>
        <w:rPr>
          <w:rStyle w:val="1"/>
        </w:rPr>
        <w:t xml:space="preserve">– Pandemiari erantzun koordinatu eta adostu bat emateko konpromisoa,</w:t>
      </w:r>
    </w:p>
    <w:p>
      <w:pPr>
        <w:pStyle w:val="0"/>
        <w:suppressAutoHyphens w:val="false"/>
        <w:rPr>
          <w:rStyle w:val="1"/>
        </w:rPr>
      </w:pPr>
      <w:r>
        <w:rPr>
          <w:rStyle w:val="1"/>
        </w:rPr>
        <w:t xml:space="preserve">– Arlo desberdinetako profesionalen diziplina anitzeko lana,</w:t>
      </w:r>
    </w:p>
    <w:p>
      <w:pPr>
        <w:pStyle w:val="0"/>
        <w:suppressAutoHyphens w:val="false"/>
        <w:rPr>
          <w:rStyle w:val="1"/>
        </w:rPr>
      </w:pPr>
      <w:r>
        <w:rPr>
          <w:rStyle w:val="1"/>
        </w:rPr>
        <w:t xml:space="preserve">– Hainbat arlotan lortutako adostasuna, pandemiaren ezaugarriak bezala aldakorra dena,</w:t>
      </w:r>
    </w:p>
    <w:p>
      <w:pPr>
        <w:pStyle w:val="0"/>
        <w:suppressAutoHyphens w:val="false"/>
        <w:rPr>
          <w:rStyle w:val="1"/>
        </w:rPr>
      </w:pPr>
      <w:r>
        <w:rPr>
          <w:rStyle w:val="1"/>
        </w:rPr>
        <w:t xml:space="preserve">– txertoen Programarako eta Erregistrorako Ponentziako COVID-19aren txertaketako lantalde teknikoak lortutako azken adostasuna, 2021eko otsailaren 9an jakitera emana, COVID-19ari aurre egiteko txertatze-estrategiaren hirugarren bertsioan, eta</w:t>
      </w:r>
    </w:p>
    <w:p>
      <w:pPr>
        <w:pStyle w:val="0"/>
        <w:suppressAutoHyphens w:val="false"/>
        <w:rPr>
          <w:rStyle w:val="1"/>
        </w:rPr>
      </w:pPr>
      <w:r>
        <w:rPr>
          <w:rStyle w:val="1"/>
        </w:rPr>
        <w:t xml:space="preserve">– Lantaldeak aipatzen duen bezala, estrategia modu jarraituan berrikusi eta eguneratzearen egokitasuna, ebidentzia berrien, txertoen eskuragarritasunaren eta egoera epidemiologikoaren arabera.</w:t>
      </w:r>
    </w:p>
    <w:p>
      <w:pPr>
        <w:pStyle w:val="0"/>
        <w:suppressAutoHyphens w:val="false"/>
        <w:rPr>
          <w:rStyle w:val="1"/>
        </w:rPr>
      </w:pPr>
      <w:r>
        <w:rPr>
          <w:rStyle w:val="1"/>
        </w:rPr>
        <w:t xml:space="preserve">– Beharraren, ekitatearen eta elkarrekikotasunaren printzipioen balioa, testu horretan aipatzen direnak eta geure egiten ditugunak.</w:t>
      </w:r>
    </w:p>
    <w:p>
      <w:pPr>
        <w:pStyle w:val="0"/>
        <w:suppressAutoHyphens w:val="false"/>
        <w:rPr>
          <w:rStyle w:val="1"/>
        </w:rPr>
      </w:pPr>
      <w:r>
        <w:rPr>
          <w:rStyle w:val="1"/>
        </w:rPr>
        <w:t xml:space="preserve">– Geure onarpena, bai osasuneko profesionalen 2. eguneraketako 3. taldea bikoizteari –3A eta 3B taldeetan– bai eta 6. taldea “Gizartearentzat funtsezko eginkizuna duten jarduneko kolektiboak” sartzeari ere.</w:t>
      </w:r>
    </w:p>
    <w:p>
      <w:pPr>
        <w:pStyle w:val="0"/>
        <w:suppressAutoHyphens w:val="false"/>
        <w:rPr>
          <w:rStyle w:val="1"/>
        </w:rPr>
      </w:pPr>
      <w:r>
        <w:rPr>
          <w:rStyle w:val="1"/>
        </w:rPr>
        <w:t xml:space="preserve">Ulertezin zaigu zenbait prozesu duten pertsonak, esaterako, minbizia, giltzurrun-gaixotasun kronikoa, biriketako gaixotasun buxatzaile kronikoa, Down-en sindromea, gaixotasun kardiologikoak, obesitate larria, haurdunaldia, organoen transplantea, tabako-ohitura, zelula faltziformeen gaixotasuna eta 2 motako diabetes mellitusa, txertaketan oraindik kontuan hartu ez izana. Izan ere, gaur egun ebidentzia nahikoa dago uste ahal izateko pertsona horiek larriki gaixotzeko arriskua dutela birusarekin kutsatuz gero, CDCek aitortu duten bezala.</w:t>
      </w:r>
    </w:p>
    <w:p>
      <w:pPr>
        <w:pStyle w:val="0"/>
        <w:suppressAutoHyphens w:val="false"/>
        <w:rPr>
          <w:rStyle w:val="1"/>
        </w:rPr>
      </w:pPr>
      <w:r>
        <w:rPr>
          <w:rStyle w:val="1"/>
        </w:rPr>
        <w:t xml:space="preserve">Hori dela-eta, ondoko erabaki proposamena aurkezten dugu:</w:t>
      </w:r>
    </w:p>
    <w:p>
      <w:pPr>
        <w:pStyle w:val="0"/>
        <w:suppressAutoHyphens w:val="false"/>
        <w:rPr>
          <w:rStyle w:val="1"/>
        </w:rPr>
      </w:pPr>
      <w:r>
        <w:rPr>
          <w:rStyle w:val="1"/>
        </w:rPr>
        <w:t xml:space="preserve">Nafarroako Parlamentuak Espainiako Gobernua premiatzen du, ahalik lasterren lehentasunezko txertaketa-taldeetan sar ditzan honako hauek dauzkaten pertsonak: minbizia, giltzurrun-gaixotasun kronikoa, biriketako gaixotasun buxatzaile kronikoa, Down-en sindromea, gaixotasun kardiologikoak, obesitate larria, haurdunaldia, organoen transplantea, tabako-ohitura, zelula faltziformeen gaixotasuna eta 2 motako diabetes mellitusa.</w:t>
      </w:r>
    </w:p>
    <w:p>
      <w:pPr>
        <w:pStyle w:val="0"/>
        <w:suppressAutoHyphens w:val="false"/>
        <w:rPr>
          <w:rStyle w:val="1"/>
        </w:rPr>
      </w:pPr>
      <w:r>
        <w:rPr>
          <w:rStyle w:val="1"/>
        </w:rPr>
        <w:t xml:space="preserve">Iruñean, 2021eko otsailaren 12an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